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附件</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textAlignment w:val="auto"/>
        <w:rPr>
          <w:rFonts w:hint="eastAsia" w:ascii="仿宋_GB2312" w:hAnsi="仿宋_GB2312"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auto"/>
        <w:rPr>
          <w:rFonts w:hint="eastAsia" w:ascii="方正小标宋简体" w:hAnsi="方正小标宋简体" w:eastAsia="方正小标宋简体" w:cs="方正小标宋简体"/>
          <w:color w:val="auto"/>
          <w:sz w:val="44"/>
          <w:szCs w:val="44"/>
        </w:rPr>
      </w:pPr>
      <w:bookmarkStart w:id="0" w:name="_GoBack"/>
      <w:r>
        <w:rPr>
          <w:rFonts w:hint="eastAsia" w:ascii="方正小标宋简体" w:hAnsi="方正小标宋简体" w:eastAsia="方正小标宋简体" w:cs="方正小标宋简体"/>
          <w:color w:val="auto"/>
          <w:sz w:val="44"/>
          <w:szCs w:val="44"/>
        </w:rPr>
        <w:t>第三轮</w:t>
      </w:r>
      <w:r>
        <w:rPr>
          <w:rFonts w:hint="eastAsia" w:ascii="方正小标宋简体" w:hAnsi="方正小标宋简体" w:eastAsia="方正小标宋简体" w:cs="方正小标宋简体"/>
          <w:color w:val="auto"/>
          <w:sz w:val="44"/>
          <w:szCs w:val="44"/>
          <w:lang w:eastAsia="zh-CN"/>
        </w:rPr>
        <w:t>省级生态环境</w:t>
      </w:r>
      <w:r>
        <w:rPr>
          <w:rFonts w:hint="eastAsia" w:ascii="方正小标宋简体" w:hAnsi="方正小标宋简体" w:eastAsia="方正小标宋简体" w:cs="方正小标宋简体"/>
          <w:color w:val="auto"/>
          <w:sz w:val="44"/>
          <w:szCs w:val="44"/>
        </w:rPr>
        <w:t>保护督察第</w:t>
      </w:r>
      <w:r>
        <w:rPr>
          <w:rFonts w:hint="eastAsia" w:ascii="方正小标宋简体" w:hAnsi="方正小标宋简体" w:eastAsia="方正小标宋简体" w:cs="方正小标宋简体"/>
          <w:color w:val="auto"/>
          <w:sz w:val="44"/>
          <w:szCs w:val="44"/>
          <w:lang w:val="en-US" w:eastAsia="zh-CN"/>
        </w:rPr>
        <w:t>13</w:t>
      </w:r>
      <w:r>
        <w:rPr>
          <w:rFonts w:hint="eastAsia" w:ascii="方正小标宋简体" w:hAnsi="方正小标宋简体" w:eastAsia="方正小标宋简体" w:cs="方正小标宋简体"/>
          <w:color w:val="auto"/>
          <w:sz w:val="44"/>
          <w:szCs w:val="44"/>
        </w:rPr>
        <w:t>项</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整改任务完成情况</w:t>
      </w:r>
    </w:p>
    <w:bookmarkEnd w:id="0"/>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textAlignment w:val="auto"/>
        <w:rPr>
          <w:rFonts w:hint="eastAsia" w:ascii="仿宋_GB2312" w:hAnsi="仿宋_GB2312"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2" w:firstLineChars="200"/>
        <w:textAlignment w:val="auto"/>
        <w:rPr>
          <w:rFonts w:hint="default"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rPr>
        <w:t>问题编号：</w:t>
      </w:r>
      <w:r>
        <w:rPr>
          <w:rFonts w:hint="eastAsia" w:ascii="仿宋_GB2312" w:hAnsi="仿宋_GB2312" w:eastAsia="仿宋_GB2312" w:cs="仿宋_GB2312"/>
          <w:b w:val="0"/>
          <w:bCs w:val="0"/>
          <w:color w:val="auto"/>
          <w:sz w:val="32"/>
          <w:szCs w:val="32"/>
          <w:lang w:val="en-US" w:eastAsia="zh-CN"/>
        </w:rPr>
        <w:t>问题13</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2" w:firstLineChars="200"/>
        <w:textAlignment w:val="auto"/>
        <w:rPr>
          <w:rFonts w:hint="eastAsia" w:ascii="仿宋_GB2312" w:hAnsi="Calibri" w:eastAsia="仿宋_GB2312" w:cs="仿宋_GB2312"/>
          <w:i w:val="0"/>
          <w:iCs w:val="0"/>
          <w:kern w:val="2"/>
          <w:sz w:val="32"/>
          <w:szCs w:val="32"/>
          <w:lang w:val="en-US" w:eastAsia="zh-CN" w:bidi="ar"/>
        </w:rPr>
      </w:pPr>
      <w:r>
        <w:rPr>
          <w:rFonts w:hint="eastAsia" w:ascii="仿宋_GB2312" w:hAnsi="仿宋_GB2312" w:eastAsia="仿宋_GB2312" w:cs="仿宋_GB2312"/>
          <w:b/>
          <w:bCs/>
          <w:color w:val="auto"/>
          <w:sz w:val="32"/>
          <w:szCs w:val="32"/>
        </w:rPr>
        <w:t>问题表述：</w:t>
      </w:r>
      <w:r>
        <w:rPr>
          <w:rFonts w:hint="eastAsia" w:ascii="仿宋_GB2312" w:hAnsi="Calibri" w:eastAsia="仿宋_GB2312" w:cs="仿宋_GB2312"/>
          <w:i w:val="0"/>
          <w:iCs w:val="0"/>
          <w:kern w:val="2"/>
          <w:sz w:val="32"/>
          <w:szCs w:val="32"/>
          <w:lang w:val="en-US" w:eastAsia="zh-CN" w:bidi="ar"/>
        </w:rPr>
        <w:t>部分矿山企业法律意识淡薄，存在无证开采、越</w:t>
      </w:r>
      <w:r>
        <w:rPr>
          <w:rFonts w:hint="default" w:ascii="仿宋_GB2312" w:hAnsi="Calibri" w:eastAsia="仿宋_GB2312" w:cs="仿宋_GB2312"/>
          <w:i w:val="0"/>
          <w:iCs w:val="0"/>
          <w:kern w:val="2"/>
          <w:sz w:val="32"/>
          <w:szCs w:val="32"/>
          <w:lang w:val="en-US" w:eastAsia="zh-CN" w:bidi="ar"/>
        </w:rPr>
        <w:t>界开采等问题。督察发现，临泽县壕洼建筑用石英砂矿超采矿许可范围外采挖矿石5296.19立方米，形成采坑总面积2704.85平方米。肃南龙祥大瓷窑石灰石矿越界开采违法占地475.61亩。张掖浩大矿业公司石英岩、山丹县通运砂石料厂、高台县鑫磊建材有限责任公司分别违规占用草地 13.63亩、69亩、7.62亩。鑫通达砂矿厂区东侧长期存在挖沙取土行为，破坏土地60亩。</w:t>
      </w:r>
    </w:p>
    <w:p>
      <w:pPr>
        <w:keepNext w:val="0"/>
        <w:keepLines w:val="0"/>
        <w:pageBreakBefore w:val="0"/>
        <w:widowControl/>
        <w:suppressLineNumbers w:val="0"/>
        <w:kinsoku/>
        <w:wordWrap/>
        <w:overflowPunct/>
        <w:topLinePunct w:val="0"/>
        <w:autoSpaceDN/>
        <w:bidi w:val="0"/>
        <w:adjustRightInd/>
        <w:spacing w:line="600" w:lineRule="exact"/>
        <w:ind w:left="0" w:leftChars="0" w:firstLine="642" w:firstLineChars="200"/>
        <w:jc w:val="left"/>
        <w:textAlignment w:val="auto"/>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rPr>
        <w:t>整改目标：</w:t>
      </w:r>
      <w:r>
        <w:rPr>
          <w:rFonts w:hint="eastAsia" w:ascii="仿宋_GB2312" w:hAnsi="Calibri" w:eastAsia="仿宋_GB2312" w:cs="仿宋_GB2312"/>
          <w:i w:val="0"/>
          <w:iCs w:val="0"/>
          <w:kern w:val="2"/>
          <w:sz w:val="32"/>
          <w:szCs w:val="32"/>
          <w:lang w:val="en-US" w:eastAsia="zh-CN" w:bidi="ar"/>
        </w:rPr>
        <w:t>违法占地占草、越界开采、无证开采等违法行为依法查处，并恢复原有土地类型。</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2" w:firstLineChars="200"/>
        <w:jc w:val="both"/>
        <w:textAlignment w:val="auto"/>
        <w:rPr>
          <w:rFonts w:hint="eastAsia" w:ascii="仿宋_GB2312" w:hAnsi="仿宋_GB2312" w:eastAsia="仿宋_GB2312" w:cs="仿宋_GB2312"/>
          <w:b/>
          <w:bCs/>
          <w:color w:val="auto"/>
          <w:sz w:val="32"/>
          <w:szCs w:val="32"/>
          <w:u w:val="none" w:color="auto"/>
          <w:lang w:val="en-US" w:eastAsia="zh-CN"/>
        </w:rPr>
      </w:pPr>
      <w:r>
        <w:rPr>
          <w:rFonts w:hint="eastAsia" w:ascii="仿宋_GB2312" w:hAnsi="仿宋_GB2312" w:eastAsia="仿宋_GB2312" w:cs="仿宋_GB2312"/>
          <w:b/>
          <w:bCs/>
          <w:color w:val="auto"/>
          <w:sz w:val="32"/>
          <w:szCs w:val="32"/>
        </w:rPr>
        <w:t>整改时限：</w:t>
      </w:r>
      <w:r>
        <w:rPr>
          <w:rFonts w:hint="eastAsia" w:ascii="仿宋_GB2312" w:hAnsi="仿宋_GB2312" w:eastAsia="仿宋_GB2312" w:cs="仿宋_GB2312"/>
          <w:b w:val="0"/>
          <w:bCs w:val="0"/>
          <w:color w:val="auto"/>
          <w:sz w:val="32"/>
          <w:szCs w:val="32"/>
        </w:rPr>
        <w:t>202</w:t>
      </w:r>
      <w:r>
        <w:rPr>
          <w:rFonts w:hint="eastAsia" w:ascii="仿宋_GB2312" w:hAnsi="仿宋_GB2312" w:eastAsia="仿宋_GB2312" w:cs="仿宋_GB2312"/>
          <w:b w:val="0"/>
          <w:bCs w:val="0"/>
          <w:color w:val="auto"/>
          <w:sz w:val="32"/>
          <w:szCs w:val="32"/>
          <w:lang w:val="en-US" w:eastAsia="zh-CN"/>
        </w:rPr>
        <w:t>6</w:t>
      </w:r>
      <w:r>
        <w:rPr>
          <w:rFonts w:hint="eastAsia" w:ascii="仿宋_GB2312" w:hAnsi="仿宋_GB2312" w:eastAsia="仿宋_GB2312" w:cs="仿宋_GB2312"/>
          <w:b w:val="0"/>
          <w:bCs w:val="0"/>
          <w:color w:val="auto"/>
          <w:sz w:val="32"/>
          <w:szCs w:val="32"/>
        </w:rPr>
        <w:t>年</w:t>
      </w:r>
      <w:r>
        <w:rPr>
          <w:rFonts w:hint="eastAsia" w:ascii="仿宋_GB2312" w:hAnsi="仿宋_GB2312" w:eastAsia="仿宋_GB2312" w:cs="仿宋_GB2312"/>
          <w:b w:val="0"/>
          <w:bCs w:val="0"/>
          <w:color w:val="auto"/>
          <w:sz w:val="32"/>
          <w:szCs w:val="32"/>
          <w:lang w:val="en-US" w:eastAsia="zh-CN"/>
        </w:rPr>
        <w:t>6</w:t>
      </w:r>
      <w:r>
        <w:rPr>
          <w:rFonts w:hint="eastAsia" w:ascii="仿宋_GB2312" w:hAnsi="仿宋_GB2312" w:eastAsia="仿宋_GB2312" w:cs="仿宋_GB2312"/>
          <w:b w:val="0"/>
          <w:bCs w:val="0"/>
          <w:color w:val="auto"/>
          <w:sz w:val="32"/>
          <w:szCs w:val="32"/>
        </w:rPr>
        <w:t>月</w:t>
      </w:r>
      <w:r>
        <w:rPr>
          <w:rFonts w:hint="eastAsia" w:ascii="仿宋_GB2312" w:hAnsi="仿宋_GB2312" w:eastAsia="仿宋_GB2312" w:cs="仿宋_GB2312"/>
          <w:b w:val="0"/>
          <w:bCs w:val="0"/>
          <w:color w:val="auto"/>
          <w:sz w:val="32"/>
          <w:szCs w:val="32"/>
          <w:lang w:val="en-US" w:eastAsia="zh-CN"/>
        </w:rPr>
        <w:t>30</w:t>
      </w:r>
      <w:r>
        <w:rPr>
          <w:rFonts w:hint="eastAsia" w:ascii="仿宋_GB2312" w:hAnsi="仿宋_GB2312" w:eastAsia="仿宋_GB2312" w:cs="仿宋_GB2312"/>
          <w:b w:val="0"/>
          <w:bCs w:val="0"/>
          <w:color w:val="auto"/>
          <w:sz w:val="32"/>
          <w:szCs w:val="32"/>
        </w:rPr>
        <w:t>日前</w:t>
      </w:r>
    </w:p>
    <w:p>
      <w:pPr>
        <w:keepNext w:val="0"/>
        <w:keepLines w:val="0"/>
        <w:pageBreakBefore w:val="0"/>
        <w:kinsoku/>
        <w:wordWrap/>
        <w:overflowPunct/>
        <w:topLinePunct w:val="0"/>
        <w:autoSpaceDN/>
        <w:bidi w:val="0"/>
        <w:adjustRightInd/>
        <w:spacing w:line="600" w:lineRule="exact"/>
        <w:ind w:left="10" w:right="11" w:firstLine="642"/>
        <w:textAlignment w:val="auto"/>
        <w:rPr>
          <w:rFonts w:hint="default" w:ascii="仿宋_GB2312" w:hAnsi="Calibri" w:eastAsia="仿宋_GB2312" w:cs="仿宋_GB2312"/>
          <w:i w:val="0"/>
          <w:iCs w:val="0"/>
          <w:kern w:val="2"/>
          <w:sz w:val="32"/>
          <w:szCs w:val="32"/>
          <w:lang w:val="en-US" w:eastAsia="zh-CN" w:bidi="ar"/>
        </w:rPr>
      </w:pPr>
      <w:r>
        <w:rPr>
          <w:rFonts w:hint="eastAsia" w:ascii="仿宋_GB2312" w:hAnsi="仿宋_GB2312" w:eastAsia="仿宋_GB2312" w:cs="仿宋_GB2312"/>
          <w:b/>
          <w:bCs/>
          <w:color w:val="auto"/>
          <w:spacing w:val="-6"/>
          <w:sz w:val="32"/>
          <w:szCs w:val="32"/>
        </w:rPr>
        <w:t>整改实施主体：</w:t>
      </w:r>
      <w:r>
        <w:rPr>
          <w:rFonts w:hint="eastAsia" w:ascii="仿宋_GB2312" w:hAnsi="Calibri" w:eastAsia="仿宋_GB2312" w:cs="仿宋_GB2312"/>
          <w:i w:val="0"/>
          <w:iCs w:val="0"/>
          <w:kern w:val="2"/>
          <w:sz w:val="32"/>
          <w:szCs w:val="32"/>
          <w:lang w:val="en-US" w:eastAsia="zh-CN" w:bidi="ar"/>
        </w:rPr>
        <w:t>临泽县、高台县、山丹县、肃南县党委和人民政府，市自然资源局、市林草局</w:t>
      </w:r>
    </w:p>
    <w:p>
      <w:pPr>
        <w:keepNext w:val="0"/>
        <w:keepLines w:val="0"/>
        <w:pageBreakBefore w:val="0"/>
        <w:widowControl/>
        <w:suppressLineNumbers w:val="0"/>
        <w:kinsoku/>
        <w:wordWrap/>
        <w:overflowPunct/>
        <w:topLinePunct w:val="0"/>
        <w:autoSpaceDE w:val="0"/>
        <w:autoSpaceDN/>
        <w:bidi w:val="0"/>
        <w:adjustRightInd/>
        <w:snapToGrid/>
        <w:spacing w:beforeAutospacing="0" w:after="0" w:afterAutospacing="0" w:line="600" w:lineRule="exact"/>
        <w:ind w:left="0" w:leftChars="0" w:right="0" w:firstLine="642" w:firstLineChars="200"/>
        <w:jc w:val="both"/>
        <w:textAlignment w:val="auto"/>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bCs/>
          <w:color w:val="auto"/>
          <w:sz w:val="32"/>
          <w:szCs w:val="32"/>
        </w:rPr>
        <w:t>整改情况</w:t>
      </w:r>
      <w:r>
        <w:rPr>
          <w:rFonts w:hint="eastAsia" w:ascii="仿宋_GB2312" w:hAnsi="仿宋_GB2312" w:eastAsia="仿宋_GB2312" w:cs="仿宋_GB2312"/>
          <w:b/>
          <w:bCs/>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rPr>
          <w:rFonts w:hint="eastAsia" w:ascii="仿宋_GB2312" w:hAnsi="Calibri" w:eastAsia="仿宋_GB2312" w:cs="仿宋_GB2312"/>
          <w:i w:val="0"/>
          <w:iCs w:val="0"/>
          <w:kern w:val="2"/>
          <w:sz w:val="32"/>
          <w:szCs w:val="32"/>
          <w:lang w:val="en-US" w:eastAsia="zh-CN" w:bidi="ar"/>
        </w:rPr>
      </w:pPr>
      <w:r>
        <w:rPr>
          <w:rFonts w:hint="eastAsia" w:ascii="仿宋_GB2312" w:hAnsi="Calibri" w:eastAsia="仿宋_GB2312" w:cs="仿宋_GB2312"/>
          <w:i w:val="0"/>
          <w:iCs w:val="0"/>
          <w:kern w:val="2"/>
          <w:sz w:val="32"/>
          <w:szCs w:val="32"/>
          <w:lang w:val="en-US" w:eastAsia="zh-CN" w:bidi="ar"/>
        </w:rPr>
        <w:t>1.高台县鑫磊建材有限责任公司违规占用草地行为高台县林草局已立案查处，经调查占用草地17.86亩（含7.62亩），处以罚款17860元；经企业申请，高台县林草局已下发《使用草原审核同意书》（高林草准许字〔2025〕6号），批复同意企业使用草原30.77公顷（折461.5500亩）。</w:t>
      </w:r>
    </w:p>
    <w:p>
      <w:pPr>
        <w:keepNext w:val="0"/>
        <w:keepLines w:val="0"/>
        <w:pageBreakBefore w:val="0"/>
        <w:widowControl w:val="0"/>
        <w:kinsoku/>
        <w:wordWrap/>
        <w:overflowPunct/>
        <w:topLinePunct w:val="0"/>
        <w:autoSpaceDE/>
        <w:autoSpaceDN/>
        <w:bidi w:val="0"/>
        <w:adjustRightInd/>
        <w:snapToGrid/>
        <w:spacing w:line="600" w:lineRule="exact"/>
        <w:ind w:right="0" w:rightChars="0" w:firstLine="640" w:firstLineChars="200"/>
        <w:textAlignment w:val="auto"/>
        <w:rPr>
          <w:rFonts w:hint="eastAsia" w:ascii="仿宋_GB2312" w:hAnsi="Calibri" w:eastAsia="仿宋_GB2312" w:cs="仿宋_GB2312"/>
          <w:i w:val="0"/>
          <w:iCs w:val="0"/>
          <w:kern w:val="2"/>
          <w:sz w:val="32"/>
          <w:szCs w:val="32"/>
          <w:lang w:val="en-US" w:eastAsia="zh-CN" w:bidi="ar"/>
        </w:rPr>
      </w:pPr>
      <w:r>
        <w:rPr>
          <w:rFonts w:hint="eastAsia" w:ascii="仿宋_GB2312" w:hAnsi="Calibri" w:eastAsia="仿宋_GB2312" w:cs="仿宋_GB2312"/>
          <w:i w:val="0"/>
          <w:iCs w:val="0"/>
          <w:kern w:val="2"/>
          <w:sz w:val="32"/>
          <w:szCs w:val="32"/>
          <w:lang w:val="en-US" w:eastAsia="zh-CN" w:bidi="ar"/>
        </w:rPr>
        <w:t>2.高台鑫通达砂矿厂区东侧破坏土地行为高台县自然资源局已立案查处，并已督促责任主体通过砂石料异地转运和对采坑、陡坡削坡及废弃砂堆平整等方式对破坏土地进行了恢复治理，同时对场地进行了平整。</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2" w:firstLineChars="200"/>
        <w:textAlignment w:val="auto"/>
        <w:rPr>
          <w:sz w:val="32"/>
          <w:szCs w:val="32"/>
        </w:rPr>
      </w:pPr>
      <w:r>
        <w:rPr>
          <w:rFonts w:hint="eastAsia" w:ascii="仿宋_GB2312" w:hAnsi="仿宋_GB2312" w:eastAsia="仿宋_GB2312" w:cs="仿宋_GB2312"/>
          <w:b/>
          <w:bCs/>
          <w:color w:val="auto"/>
          <w:sz w:val="32"/>
          <w:szCs w:val="32"/>
        </w:rPr>
        <w:t>整改结论：</w:t>
      </w:r>
      <w:r>
        <w:rPr>
          <w:rFonts w:hint="eastAsia" w:ascii="仿宋_GB2312" w:hAnsi="仿宋_GB2312" w:eastAsia="仿宋_GB2312" w:cs="仿宋_GB2312"/>
          <w:color w:val="auto"/>
          <w:sz w:val="32"/>
          <w:szCs w:val="32"/>
        </w:rPr>
        <w:t>已完成整改</w:t>
      </w:r>
      <w:r>
        <w:rPr>
          <w:rFonts w:hint="eastAsia" w:ascii="仿宋_GB2312" w:hAnsi="仿宋_GB2312" w:eastAsia="仿宋_GB2312" w:cs="仿宋_GB2312"/>
          <w:color w:val="auto"/>
          <w:sz w:val="32"/>
          <w:szCs w:val="32"/>
          <w:lang w:eastAsia="zh-CN"/>
        </w:rPr>
        <w:t>。</w:t>
      </w:r>
    </w:p>
    <w:p/>
    <w:sectPr>
      <w:footerReference r:id="rId3" w:type="default"/>
      <w:pgSz w:w="11906" w:h="16838"/>
      <w:pgMar w:top="1984" w:right="1587" w:bottom="1587" w:left="1587" w:header="992" w:footer="1417"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2"/>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w:t>
                          </w:r>
                        </w:p>
                      </w:txbxContent>
                    </wps:txbx>
                    <wps:bodyPr wrap="none" lIns="0" tIns="0" rIns="0" bIns="0" upright="fals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BYAAABkcnMvUEsB&#10;AhQAFAAAAAgAh07iQM6pebnPAAAABQEAAA8AAAAAAAAAAQAgAAAAOAAAAGRycy9kb3ducmV2Lnht&#10;bFBLAQIUABQAAAAIAIdO4kCqizKUswEAAFIDAAAOAAAAAAAAAAEAIAAAADQBAABkcnMvZTJvRG9j&#10;LnhtbFBLBQYAAAAABgAGAFkBAABZBQAAAAA=&#10;">
              <v:path/>
              <v:fill on="f" focussize="0,0"/>
              <v:stroke on="f"/>
              <v:imagedata o:title=""/>
              <o:lock v:ext="edit" aspectratio="f"/>
              <v:textbox inset="0mm,0mm,0mm,0mm" style="mso-fit-shape-to-text:t;">
                <w:txbxContent>
                  <w:p>
                    <w:pPr>
                      <w:pStyle w:val="2"/>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5936B6"/>
    <w:rsid w:val="6F5936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2026-08-21T09:41:00Z</dcterms:created>
  <dc:creator>hhkj</dc:creator>
  <cp:lastModifiedBy>hhkj</cp:lastModifiedBy>
  <dcterms:modified xsi:type="dcterms:W3CDTF">2026-08-21T09:42:38Z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2052-11.8.2.10505</vt:lpwstr>
  </property>
</Properties>
</file>