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D24A0">
      <w:pPr>
        <w:keepNext w:val="0"/>
        <w:keepLines w:val="0"/>
        <w:pageBreakBefore w:val="0"/>
        <w:widowControl w:val="0"/>
        <w:tabs>
          <w:tab w:val="left" w:pos="474"/>
        </w:tabs>
        <w:kinsoku/>
        <w:wordWrap/>
        <w:overflowPunct w:val="0"/>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14:paraId="16B5D204">
      <w:pPr>
        <w:keepNext w:val="0"/>
        <w:keepLines w:val="0"/>
        <w:pageBreakBefore w:val="0"/>
        <w:widowControl w:val="0"/>
        <w:tabs>
          <w:tab w:val="left" w:pos="474"/>
        </w:tabs>
        <w:kinsoku/>
        <w:wordWrap/>
        <w:overflowPunct w:val="0"/>
        <w:topLinePunct w:val="0"/>
        <w:autoSpaceDE/>
        <w:autoSpaceDN/>
        <w:bidi w:val="0"/>
        <w:adjustRightInd/>
        <w:snapToGrid/>
        <w:spacing w:line="560" w:lineRule="exact"/>
        <w:jc w:val="center"/>
        <w:textAlignment w:val="auto"/>
        <w:rPr>
          <w:rFonts w:ascii="仿宋_GB2312"/>
          <w:color w:val="auto"/>
          <w:sz w:val="32"/>
          <w:szCs w:val="32"/>
        </w:rPr>
      </w:pPr>
    </w:p>
    <w:p w14:paraId="071B6A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关于加大保障农民工工资支付工作力度的通知</w:t>
      </w:r>
    </w:p>
    <w:p w14:paraId="6F24F1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（征求意见稿）</w:t>
      </w:r>
    </w:p>
    <w:p w14:paraId="31225D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59C3E5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0"/>
          <w:sz w:val="32"/>
          <w:szCs w:val="32"/>
          <w:lang w:eastAsia="zh-CN"/>
        </w:rPr>
        <w:t>保障农民工工资支付工作事关人民群众的切身利益，事关社会公平正义与社会和谐稳定。当前，</w:t>
      </w:r>
      <w:r>
        <w:rPr>
          <w:rFonts w:hint="eastAsia" w:ascii="仿宋_GB2312" w:hAnsi="仿宋_GB2312" w:eastAsia="仿宋_GB2312" w:cs="仿宋_GB2312"/>
          <w:color w:val="auto"/>
          <w:spacing w:val="0"/>
          <w:sz w:val="32"/>
          <w:szCs w:val="32"/>
        </w:rPr>
        <w:t>工程建设</w:t>
      </w:r>
      <w:r>
        <w:rPr>
          <w:rFonts w:hint="eastAsia" w:ascii="仿宋_GB2312" w:hAnsi="仿宋_GB2312" w:eastAsia="仿宋_GB2312" w:cs="仿宋_GB2312"/>
          <w:color w:val="auto"/>
          <w:spacing w:val="0"/>
          <w:sz w:val="32"/>
          <w:szCs w:val="32"/>
          <w:lang w:eastAsia="zh-CN"/>
        </w:rPr>
        <w:t>、劳动密集型</w:t>
      </w:r>
      <w:r>
        <w:rPr>
          <w:rFonts w:hint="eastAsia" w:ascii="仿宋_GB2312" w:hAnsi="仿宋_GB2312" w:eastAsia="仿宋_GB2312" w:cs="仿宋_GB2312"/>
          <w:color w:val="auto"/>
          <w:spacing w:val="0"/>
          <w:sz w:val="32"/>
          <w:szCs w:val="32"/>
        </w:rPr>
        <w:t>加工制造、住宿餐饮服务、文化旅游等</w:t>
      </w:r>
      <w:r>
        <w:rPr>
          <w:rFonts w:hint="eastAsia" w:ascii="仿宋_GB2312" w:hAnsi="仿宋_GB2312" w:eastAsia="仿宋_GB2312" w:cs="仿宋_GB2312"/>
          <w:color w:val="auto"/>
          <w:spacing w:val="0"/>
          <w:sz w:val="32"/>
          <w:szCs w:val="32"/>
          <w:lang w:eastAsia="zh-CN"/>
        </w:rPr>
        <w:t>传统</w:t>
      </w:r>
      <w:r>
        <w:rPr>
          <w:rFonts w:hint="eastAsia" w:ascii="仿宋_GB2312" w:hAnsi="仿宋_GB2312" w:eastAsia="仿宋_GB2312" w:cs="仿宋_GB2312"/>
          <w:color w:val="auto"/>
          <w:spacing w:val="0"/>
          <w:sz w:val="32"/>
          <w:szCs w:val="32"/>
        </w:rPr>
        <w:t>行业及新能源、新业态经济等</w:t>
      </w:r>
      <w:r>
        <w:rPr>
          <w:rFonts w:hint="eastAsia" w:ascii="仿宋_GB2312" w:hAnsi="仿宋_GB2312" w:eastAsia="仿宋_GB2312" w:cs="仿宋_GB2312"/>
          <w:color w:val="auto"/>
          <w:spacing w:val="0"/>
          <w:sz w:val="32"/>
          <w:szCs w:val="32"/>
          <w:lang w:eastAsia="zh-CN"/>
        </w:rPr>
        <w:t>新兴领域欠薪问题呈</w:t>
      </w:r>
      <w:r>
        <w:rPr>
          <w:rFonts w:hint="eastAsia" w:ascii="仿宋_GB2312" w:hAnsi="仿宋_GB2312" w:eastAsia="仿宋_GB2312" w:cs="仿宋_GB2312"/>
          <w:color w:val="auto"/>
          <w:spacing w:val="0"/>
          <w:sz w:val="32"/>
          <w:szCs w:val="32"/>
          <w:lang w:val="en-US" w:eastAsia="zh-CN"/>
        </w:rPr>
        <w:t>多发易发态势</w:t>
      </w:r>
      <w:r>
        <w:rPr>
          <w:rFonts w:hint="eastAsia" w:ascii="仿宋_GB2312" w:hAnsi="仿宋_GB2312" w:eastAsia="仿宋_GB2312" w:cs="仿宋_GB2312"/>
          <w:color w:val="auto"/>
          <w:spacing w:val="0"/>
          <w:sz w:val="32"/>
          <w:szCs w:val="32"/>
          <w:lang w:eastAsia="zh-CN"/>
        </w:rPr>
        <w:t>，为</w:t>
      </w:r>
      <w:r>
        <w:rPr>
          <w:rFonts w:hint="eastAsia" w:ascii="仿宋_GB2312" w:hAnsi="仿宋_GB2312" w:eastAsia="仿宋_GB2312" w:cs="仿宋_GB2312"/>
          <w:color w:val="auto"/>
          <w:sz w:val="32"/>
          <w:szCs w:val="32"/>
          <w:lang w:val="en-US" w:eastAsia="zh-CN"/>
        </w:rPr>
        <w:t>构建全县各级各部门各负其责、规范有序、相互协调、高效运行的治理欠薪工作格局，</w:t>
      </w:r>
      <w:r>
        <w:rPr>
          <w:rFonts w:hint="eastAsia" w:ascii="仿宋_GB2312" w:hAnsi="仿宋_GB2312" w:eastAsia="仿宋_GB2312" w:cs="仿宋_GB2312"/>
          <w:color w:val="auto"/>
          <w:spacing w:val="0"/>
          <w:sz w:val="32"/>
          <w:szCs w:val="32"/>
        </w:rPr>
        <w:t>全面提升劳动者薪酬权益保障水平，</w:t>
      </w:r>
      <w:r>
        <w:rPr>
          <w:rFonts w:hint="eastAsia" w:ascii="仿宋_GB2312" w:hAnsi="仿宋_GB2312" w:eastAsia="仿宋_GB2312" w:cs="仿宋_GB2312"/>
          <w:color w:val="auto"/>
          <w:sz w:val="32"/>
          <w:szCs w:val="32"/>
          <w:lang w:val="en-US" w:eastAsia="zh-CN"/>
        </w:rPr>
        <w:t>切实增强人民群众获得感、幸福感、安全感，现将有关事项通知如下。</w:t>
      </w:r>
    </w:p>
    <w:p w14:paraId="3CBD96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一、构建权责明晰的欠薪问题共治格局</w:t>
      </w:r>
    </w:p>
    <w:p w14:paraId="6406E60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w w:val="100"/>
          <w:sz w:val="32"/>
          <w:szCs w:val="32"/>
          <w:lang w:val="en-US" w:eastAsia="zh-CN"/>
        </w:rPr>
        <w:t>（一）强化项目准入审批管理。</w:t>
      </w:r>
      <w:r>
        <w:rPr>
          <w:rFonts w:hint="eastAsia" w:ascii="仿宋_GB2312" w:hAnsi="仿宋_GB2312" w:eastAsia="仿宋_GB2312" w:cs="仿宋_GB2312"/>
          <w:color w:val="auto"/>
          <w:spacing w:val="0"/>
          <w:sz w:val="32"/>
          <w:szCs w:val="32"/>
        </w:rPr>
        <w:t>发改、财政、住建、交通运输、水务、农业农村、公共资源交易中心等部门要强化项目审批、资金落实、招投标、施工许可等工作，依法在招标文件和合同中明确落实保障农民工工资支付各项制度的要求，并在项目审批后</w:t>
      </w:r>
      <w:r>
        <w:rPr>
          <w:rFonts w:hint="eastAsia" w:ascii="仿宋_GB2312" w:hAnsi="仿宋_GB2312" w:eastAsia="仿宋_GB2312" w:cs="仿宋_GB2312"/>
          <w:color w:val="auto"/>
          <w:spacing w:val="0"/>
          <w:sz w:val="32"/>
          <w:szCs w:val="32"/>
          <w:lang w:eastAsia="zh-CN"/>
        </w:rPr>
        <w:t>及时</w:t>
      </w:r>
      <w:r>
        <w:rPr>
          <w:rFonts w:hint="eastAsia" w:ascii="仿宋_GB2312" w:hAnsi="仿宋_GB2312" w:eastAsia="仿宋_GB2312" w:cs="仿宋_GB2312"/>
          <w:color w:val="auto"/>
          <w:spacing w:val="0"/>
          <w:sz w:val="32"/>
          <w:szCs w:val="32"/>
        </w:rPr>
        <w:t>将相关信息推送至</w:t>
      </w:r>
      <w:r>
        <w:rPr>
          <w:rFonts w:hint="eastAsia" w:ascii="仿宋_GB2312" w:hAnsi="仿宋_GB2312" w:eastAsia="仿宋_GB2312" w:cs="仿宋_GB2312"/>
          <w:color w:val="auto"/>
          <w:spacing w:val="0"/>
          <w:sz w:val="32"/>
          <w:szCs w:val="32"/>
          <w:lang w:eastAsia="zh-CN"/>
        </w:rPr>
        <w:t>县人社局</w:t>
      </w:r>
      <w:r>
        <w:rPr>
          <w:rFonts w:hint="eastAsia" w:ascii="仿宋_GB2312" w:hAnsi="仿宋_GB2312" w:eastAsia="仿宋_GB2312" w:cs="仿宋_GB2312"/>
          <w:color w:val="auto"/>
          <w:spacing w:val="0"/>
          <w:sz w:val="32"/>
          <w:szCs w:val="32"/>
        </w:rPr>
        <w:t>，由</w:t>
      </w:r>
      <w:r>
        <w:rPr>
          <w:rFonts w:hint="eastAsia" w:ascii="仿宋_GB2312" w:hAnsi="仿宋_GB2312" w:eastAsia="仿宋_GB2312" w:cs="仿宋_GB2312"/>
          <w:color w:val="auto"/>
          <w:spacing w:val="0"/>
          <w:sz w:val="32"/>
          <w:szCs w:val="32"/>
          <w:lang w:eastAsia="zh-CN"/>
        </w:rPr>
        <w:t>县人社局</w:t>
      </w:r>
      <w:r>
        <w:rPr>
          <w:rFonts w:hint="eastAsia" w:ascii="仿宋_GB2312" w:hAnsi="仿宋_GB2312" w:eastAsia="仿宋_GB2312" w:cs="仿宋_GB2312"/>
          <w:color w:val="auto"/>
          <w:spacing w:val="0"/>
          <w:sz w:val="32"/>
          <w:szCs w:val="32"/>
        </w:rPr>
        <w:t>和行业主管部门督促纳入甘肃省农民工工资支付管理公共服务平台实施监管。对没有明确资金来源的项目不予审批，对长期拖欠工程款的单位不予批准新建项目，对建设资金不落实的项目不予办理施工许可等建设手续。</w:t>
      </w:r>
    </w:p>
    <w:p w14:paraId="21BC719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w w:val="100"/>
          <w:sz w:val="32"/>
          <w:szCs w:val="32"/>
          <w:lang w:val="en-US" w:eastAsia="zh-CN"/>
        </w:rPr>
        <w:t>（二）规范工程建设市场秩序。</w:t>
      </w:r>
      <w:r>
        <w:rPr>
          <w:rFonts w:hint="eastAsia" w:ascii="仿宋_GB2312" w:hAnsi="仿宋_GB2312" w:eastAsia="仿宋_GB2312" w:cs="仿宋_GB2312"/>
          <w:color w:val="auto"/>
          <w:spacing w:val="0"/>
          <w:sz w:val="32"/>
          <w:szCs w:val="32"/>
          <w:lang w:eastAsia="zh-CN"/>
        </w:rPr>
        <w:t>发改、</w:t>
      </w:r>
      <w:r>
        <w:rPr>
          <w:rFonts w:hint="eastAsia" w:ascii="仿宋_GB2312" w:hAnsi="仿宋_GB2312" w:eastAsia="仿宋_GB2312" w:cs="仿宋_GB2312"/>
          <w:color w:val="auto"/>
          <w:spacing w:val="0"/>
          <w:sz w:val="32"/>
          <w:szCs w:val="32"/>
        </w:rPr>
        <w:t>住建、交通运输、水务等行业主管部门要建立健全市场准入和退出机制，严厉打击违法发包、转包和违法分包、挂靠等行为，对本领域欠薪问题进行督办落实。</w:t>
      </w:r>
      <w:r>
        <w:rPr>
          <w:rFonts w:hint="eastAsia" w:ascii="仿宋_GB2312" w:hAnsi="仿宋_GB2312" w:eastAsia="仿宋_GB2312" w:cs="仿宋_GB2312"/>
          <w:color w:val="auto"/>
          <w:spacing w:val="0"/>
          <w:sz w:val="32"/>
          <w:szCs w:val="32"/>
          <w:lang w:eastAsia="zh-CN"/>
        </w:rPr>
        <w:t>各镇、</w:t>
      </w:r>
      <w:r>
        <w:rPr>
          <w:rFonts w:hint="eastAsia" w:ascii="仿宋_GB2312" w:hAnsi="仿宋_GB2312" w:eastAsia="仿宋_GB2312" w:cs="仿宋_GB2312"/>
          <w:color w:val="auto"/>
          <w:spacing w:val="0"/>
          <w:sz w:val="32"/>
          <w:szCs w:val="32"/>
        </w:rPr>
        <w:t>市场监管、交通运输、</w:t>
      </w:r>
      <w:r>
        <w:rPr>
          <w:rFonts w:hint="eastAsia" w:ascii="仿宋_GB2312" w:hAnsi="仿宋_GB2312" w:eastAsia="仿宋_GB2312" w:cs="仿宋_GB2312"/>
          <w:color w:val="auto"/>
          <w:spacing w:val="0"/>
          <w:sz w:val="32"/>
          <w:szCs w:val="32"/>
          <w:lang w:eastAsia="zh-CN"/>
        </w:rPr>
        <w:t>工信</w:t>
      </w:r>
      <w:r>
        <w:rPr>
          <w:rFonts w:hint="eastAsia" w:ascii="仿宋_GB2312" w:hAnsi="仿宋_GB2312" w:eastAsia="仿宋_GB2312" w:cs="仿宋_GB2312"/>
          <w:color w:val="auto"/>
          <w:spacing w:val="0"/>
          <w:sz w:val="32"/>
          <w:szCs w:val="32"/>
        </w:rPr>
        <w:t>商务、文广旅游等部门</w:t>
      </w:r>
      <w:r>
        <w:rPr>
          <w:rFonts w:hint="eastAsia" w:ascii="仿宋_GB2312" w:hAnsi="仿宋_GB2312" w:eastAsia="仿宋_GB2312" w:cs="仿宋_GB2312"/>
          <w:color w:val="auto"/>
          <w:spacing w:val="0"/>
          <w:sz w:val="32"/>
          <w:szCs w:val="32"/>
          <w:lang w:eastAsia="zh-CN"/>
        </w:rPr>
        <w:t>要</w:t>
      </w:r>
      <w:r>
        <w:rPr>
          <w:rFonts w:hint="eastAsia" w:ascii="仿宋_GB2312" w:hAnsi="仿宋_GB2312" w:eastAsia="仿宋_GB2312" w:cs="仿宋_GB2312"/>
          <w:color w:val="auto"/>
          <w:spacing w:val="0"/>
          <w:sz w:val="32"/>
          <w:szCs w:val="32"/>
        </w:rPr>
        <w:t>加强对个体工商户、住宿、餐饮</w:t>
      </w:r>
      <w:r>
        <w:rPr>
          <w:rFonts w:hint="eastAsia" w:ascii="仿宋_GB2312" w:hAnsi="仿宋_GB2312" w:eastAsia="仿宋_GB2312" w:cs="仿宋_GB2312"/>
          <w:color w:val="auto"/>
          <w:spacing w:val="0"/>
          <w:sz w:val="32"/>
          <w:szCs w:val="32"/>
          <w:lang w:val="en-US" w:eastAsia="zh-CN"/>
        </w:rPr>
        <w:t>以及外卖、快递</w:t>
      </w:r>
      <w:r>
        <w:rPr>
          <w:rFonts w:hint="eastAsia" w:ascii="仿宋_GB2312" w:hAnsi="仿宋_GB2312" w:eastAsia="仿宋_GB2312" w:cs="仿宋_GB2312"/>
          <w:color w:val="auto"/>
          <w:spacing w:val="0"/>
          <w:sz w:val="32"/>
          <w:szCs w:val="32"/>
        </w:rPr>
        <w:t>等市场主体</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监管</w:t>
      </w:r>
      <w:r>
        <w:rPr>
          <w:rFonts w:hint="eastAsia" w:ascii="仿宋_GB2312" w:hAnsi="仿宋_GB2312" w:eastAsia="仿宋_GB2312" w:cs="仿宋_GB2312"/>
          <w:color w:val="auto"/>
          <w:spacing w:val="0"/>
          <w:sz w:val="32"/>
          <w:szCs w:val="32"/>
          <w:lang w:eastAsia="zh-CN"/>
        </w:rPr>
        <w:t>力度</w:t>
      </w:r>
      <w:r>
        <w:rPr>
          <w:rFonts w:hint="eastAsia" w:ascii="仿宋_GB2312" w:hAnsi="仿宋_GB2312" w:eastAsia="仿宋_GB2312" w:cs="仿宋_GB2312"/>
          <w:color w:val="auto"/>
          <w:spacing w:val="0"/>
          <w:sz w:val="32"/>
          <w:szCs w:val="32"/>
        </w:rPr>
        <w:t>，督促规范用工、诚信经营。用人单位拖欠农民工工资，情节严重或者造成严重不良社会影响的，</w:t>
      </w:r>
      <w:r>
        <w:rPr>
          <w:rFonts w:hint="eastAsia" w:ascii="仿宋_GB2312" w:hAnsi="仿宋_GB2312" w:eastAsia="仿宋_GB2312" w:cs="仿宋_GB2312"/>
          <w:color w:val="auto"/>
          <w:spacing w:val="0"/>
          <w:sz w:val="32"/>
          <w:szCs w:val="32"/>
          <w:lang w:eastAsia="zh-CN"/>
        </w:rPr>
        <w:t>及时</w:t>
      </w:r>
      <w:r>
        <w:rPr>
          <w:rFonts w:hint="eastAsia" w:ascii="仿宋_GB2312" w:hAnsi="仿宋_GB2312" w:eastAsia="仿宋_GB2312" w:cs="仿宋_GB2312"/>
          <w:color w:val="auto"/>
          <w:spacing w:val="0"/>
          <w:sz w:val="32"/>
          <w:szCs w:val="32"/>
        </w:rPr>
        <w:t>纳入拖欠农民工工资失信联合惩戒对象名单。</w:t>
      </w:r>
    </w:p>
    <w:p w14:paraId="5E45F0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pacing w:val="0"/>
          <w:sz w:val="32"/>
          <w:szCs w:val="32"/>
        </w:rPr>
      </w:pPr>
      <w:r>
        <w:rPr>
          <w:rFonts w:hint="eastAsia" w:ascii="楷体_GB2312" w:hAnsi="楷体_GB2312" w:eastAsia="楷体_GB2312" w:cs="楷体_GB2312"/>
          <w:b/>
          <w:bCs/>
          <w:color w:val="auto"/>
          <w:spacing w:val="0"/>
          <w:w w:val="100"/>
          <w:sz w:val="32"/>
          <w:szCs w:val="32"/>
          <w:lang w:val="en-US" w:eastAsia="zh-CN"/>
        </w:rPr>
        <w:t>（三）推进用工管理标准化。</w:t>
      </w:r>
      <w:r>
        <w:rPr>
          <w:rFonts w:hint="eastAsia" w:ascii="仿宋_GB2312" w:hAnsi="仿宋_GB2312" w:eastAsia="仿宋_GB2312" w:cs="仿宋_GB2312"/>
          <w:color w:val="auto"/>
          <w:spacing w:val="0"/>
          <w:sz w:val="32"/>
          <w:szCs w:val="32"/>
        </w:rPr>
        <w:t>人社、</w:t>
      </w:r>
      <w:r>
        <w:rPr>
          <w:rFonts w:hint="eastAsia" w:ascii="仿宋_GB2312" w:hAnsi="仿宋_GB2312" w:eastAsia="仿宋_GB2312" w:cs="仿宋_GB2312"/>
          <w:color w:val="auto"/>
          <w:spacing w:val="0"/>
          <w:sz w:val="32"/>
          <w:szCs w:val="32"/>
          <w:lang w:eastAsia="zh-CN"/>
        </w:rPr>
        <w:t>发改、工信商务、</w:t>
      </w:r>
      <w:r>
        <w:rPr>
          <w:rFonts w:hint="eastAsia" w:ascii="仿宋_GB2312" w:hAnsi="仿宋_GB2312" w:eastAsia="仿宋_GB2312" w:cs="仿宋_GB2312"/>
          <w:color w:val="auto"/>
          <w:spacing w:val="0"/>
          <w:sz w:val="32"/>
          <w:szCs w:val="32"/>
        </w:rPr>
        <w:t>住建、交通运输、水务、农业农村、</w:t>
      </w:r>
      <w:r>
        <w:rPr>
          <w:rFonts w:hint="eastAsia" w:ascii="仿宋_GB2312" w:hAnsi="仿宋_GB2312" w:eastAsia="仿宋_GB2312" w:cs="仿宋_GB2312"/>
          <w:color w:val="auto"/>
          <w:spacing w:val="0"/>
          <w:sz w:val="32"/>
          <w:szCs w:val="32"/>
          <w:lang w:eastAsia="zh-CN"/>
        </w:rPr>
        <w:t>教育、自然资源、文广旅游、林草、</w:t>
      </w:r>
      <w:r>
        <w:rPr>
          <w:rFonts w:hint="eastAsia" w:ascii="仿宋_GB2312" w:hAnsi="仿宋_GB2312" w:eastAsia="仿宋_GB2312" w:cs="仿宋_GB2312"/>
          <w:color w:val="auto"/>
          <w:spacing w:val="0"/>
          <w:sz w:val="32"/>
          <w:szCs w:val="32"/>
        </w:rPr>
        <w:t>国家金融监管总局高台监管支局等部门单位</w:t>
      </w:r>
      <w:r>
        <w:rPr>
          <w:rFonts w:hint="eastAsia" w:ascii="仿宋_GB2312" w:hAnsi="仿宋_GB2312" w:eastAsia="仿宋_GB2312" w:cs="仿宋_GB2312"/>
          <w:color w:val="auto"/>
          <w:spacing w:val="0"/>
          <w:sz w:val="32"/>
          <w:szCs w:val="32"/>
          <w:lang w:val="en-US" w:eastAsia="zh-CN"/>
        </w:rPr>
        <w:t>要</w:t>
      </w:r>
      <w:r>
        <w:rPr>
          <w:rFonts w:hint="eastAsia" w:ascii="仿宋_GB2312" w:hAnsi="Times New Roman" w:eastAsia="仿宋_GB2312" w:cs="Times New Roman"/>
          <w:snapToGrid/>
          <w:color w:val="auto"/>
          <w:kern w:val="2"/>
          <w:sz w:val="32"/>
          <w:szCs w:val="32"/>
          <w:lang w:val="en-US" w:eastAsia="zh-CN" w:bidi="ar-SA"/>
        </w:rPr>
        <w:t>严格按照《甘肃省工程建设领域劳动用工标准化管理指导手册（2023版）》各项标准，</w:t>
      </w:r>
      <w:r>
        <w:rPr>
          <w:rFonts w:hint="eastAsia" w:ascii="仿宋_GB2312" w:hAnsi="仿宋_GB2312" w:eastAsia="仿宋_GB2312" w:cs="仿宋_GB2312"/>
          <w:color w:val="auto"/>
          <w:spacing w:val="0"/>
          <w:sz w:val="32"/>
          <w:szCs w:val="32"/>
          <w:lang w:eastAsia="zh-CN"/>
        </w:rPr>
        <w:t>秉持</w:t>
      </w:r>
      <w:r>
        <w:rPr>
          <w:rFonts w:hint="eastAsia" w:ascii="仿宋_GB2312" w:hAnsi="仿宋_GB2312" w:eastAsia="仿宋_GB2312" w:cs="仿宋_GB2312"/>
          <w:color w:val="auto"/>
          <w:spacing w:val="0"/>
          <w:sz w:val="32"/>
          <w:szCs w:val="32"/>
          <w:lang w:val="zh-CN" w:eastAsia="zh-CN"/>
        </w:rPr>
        <w:t>“摸清底数、分批实施、动态监管、应创尽创”的总体思路，全面推进</w:t>
      </w:r>
      <w:r>
        <w:rPr>
          <w:rFonts w:hint="eastAsia" w:ascii="仿宋_GB2312" w:hAnsi="Times New Roman" w:eastAsia="仿宋_GB2312" w:cs="Times New Roman"/>
          <w:snapToGrid/>
          <w:color w:val="auto"/>
          <w:kern w:val="2"/>
          <w:sz w:val="32"/>
          <w:szCs w:val="32"/>
          <w:lang w:val="en-US" w:eastAsia="zh-CN" w:bidi="ar-SA"/>
        </w:rPr>
        <w:t>本行业领域</w:t>
      </w:r>
      <w:r>
        <w:rPr>
          <w:rFonts w:hint="eastAsia" w:ascii="仿宋_GB2312" w:hAnsi="仿宋_GB2312" w:eastAsia="仿宋_GB2312" w:cs="仿宋_GB2312"/>
          <w:color w:val="auto"/>
          <w:spacing w:val="0"/>
          <w:sz w:val="32"/>
          <w:szCs w:val="32"/>
          <w:lang w:val="en-US" w:eastAsia="zh-CN"/>
        </w:rPr>
        <w:t>在建工程项目标准化建设工作，</w:t>
      </w:r>
      <w:r>
        <w:rPr>
          <w:rFonts w:hint="eastAsia" w:ascii="仿宋_GB2312" w:hAnsi="仿宋_GB2312" w:eastAsia="仿宋_GB2312" w:cs="仿宋_GB2312"/>
          <w:color w:val="auto"/>
          <w:spacing w:val="0"/>
          <w:sz w:val="32"/>
          <w:szCs w:val="32"/>
        </w:rPr>
        <w:t>督促严格落实农民工实名制管理、工程款支付担保、农民工工资专用账户、工资保证金、施工总承包单位代发工资、设置维权告示牌等制度，确保农民工工资按月足额支付。市场监管、交通运输、工信商务、文广旅游</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人社等部门应参照相关标准，保障外卖、快递、网约车、</w:t>
      </w:r>
      <w:r>
        <w:rPr>
          <w:rFonts w:hint="eastAsia" w:ascii="仿宋_GB2312" w:hAnsi="仿宋_GB2312" w:eastAsia="仿宋_GB2312" w:cs="仿宋_GB2312"/>
          <w:color w:val="auto"/>
          <w:spacing w:val="0"/>
          <w:sz w:val="32"/>
          <w:szCs w:val="32"/>
          <w:lang w:eastAsia="zh-CN"/>
        </w:rPr>
        <w:t>直播带货</w:t>
      </w:r>
      <w:r>
        <w:rPr>
          <w:rFonts w:hint="eastAsia" w:ascii="仿宋_GB2312" w:hAnsi="仿宋_GB2312" w:eastAsia="仿宋_GB2312" w:cs="仿宋_GB2312"/>
          <w:color w:val="auto"/>
          <w:spacing w:val="0"/>
          <w:sz w:val="32"/>
          <w:szCs w:val="32"/>
        </w:rPr>
        <w:t>等新业态领域劳动者基本权益，</w:t>
      </w:r>
      <w:r>
        <w:rPr>
          <w:rFonts w:hint="eastAsia" w:ascii="仿宋_GB2312" w:hAnsi="仿宋_GB2312" w:eastAsia="仿宋_GB2312" w:cs="仿宋_GB2312"/>
          <w:color w:val="auto"/>
          <w:spacing w:val="0"/>
          <w:sz w:val="32"/>
          <w:szCs w:val="32"/>
          <w:lang w:eastAsia="zh-CN"/>
        </w:rPr>
        <w:t>确保</w:t>
      </w:r>
      <w:r>
        <w:rPr>
          <w:rFonts w:hint="eastAsia" w:ascii="仿宋_GB2312" w:hAnsi="仿宋_GB2312" w:eastAsia="仿宋_GB2312" w:cs="仿宋_GB2312"/>
          <w:color w:val="auto"/>
          <w:spacing w:val="0"/>
          <w:sz w:val="32"/>
          <w:szCs w:val="32"/>
        </w:rPr>
        <w:t>新业态劳动者劳动报酬按时足额发放。</w:t>
      </w:r>
    </w:p>
    <w:p w14:paraId="1B1705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pacing w:val="0"/>
          <w:w w:val="100"/>
          <w:sz w:val="32"/>
          <w:szCs w:val="32"/>
          <w:lang w:val="en-US" w:eastAsia="zh-CN"/>
        </w:rPr>
        <w:t>（四）刚性保障工资支付链条。</w:t>
      </w:r>
      <w:r>
        <w:rPr>
          <w:rFonts w:hint="eastAsia" w:ascii="仿宋_GB2312" w:hAnsi="仿宋_GB2312" w:eastAsia="仿宋_GB2312" w:cs="仿宋_GB2312"/>
          <w:color w:val="auto"/>
          <w:spacing w:val="0"/>
          <w:sz w:val="32"/>
          <w:szCs w:val="32"/>
        </w:rPr>
        <w:t>发改、财政</w:t>
      </w:r>
      <w:r>
        <w:rPr>
          <w:rFonts w:hint="eastAsia" w:ascii="仿宋_GB2312" w:hAnsi="仿宋_GB2312" w:eastAsia="仿宋_GB2312" w:cs="仿宋_GB2312"/>
          <w:color w:val="auto"/>
          <w:spacing w:val="0"/>
          <w:sz w:val="32"/>
          <w:szCs w:val="32"/>
          <w:lang w:eastAsia="zh-CN"/>
        </w:rPr>
        <w:t>等</w:t>
      </w:r>
      <w:r>
        <w:rPr>
          <w:rFonts w:hint="eastAsia" w:ascii="仿宋_GB2312" w:hAnsi="仿宋_GB2312" w:eastAsia="仿宋_GB2312" w:cs="仿宋_GB2312"/>
          <w:color w:val="auto"/>
          <w:spacing w:val="0"/>
          <w:sz w:val="32"/>
          <w:szCs w:val="32"/>
        </w:rPr>
        <w:t>部门</w:t>
      </w:r>
      <w:r>
        <w:rPr>
          <w:rFonts w:hint="eastAsia" w:ascii="仿宋_GB2312" w:hAnsi="仿宋_GB2312" w:eastAsia="仿宋_GB2312" w:cs="仿宋_GB2312"/>
          <w:color w:val="auto"/>
          <w:spacing w:val="0"/>
          <w:sz w:val="32"/>
          <w:szCs w:val="32"/>
          <w:lang w:eastAsia="zh-CN"/>
        </w:rPr>
        <w:t>要</w:t>
      </w:r>
      <w:r>
        <w:rPr>
          <w:rFonts w:hint="eastAsia" w:ascii="仿宋_GB2312" w:eastAsia="仿宋_GB2312"/>
          <w:color w:val="auto"/>
          <w:sz w:val="32"/>
          <w:szCs w:val="32"/>
        </w:rPr>
        <w:t>加强对政府投资项目</w:t>
      </w:r>
      <w:r>
        <w:rPr>
          <w:rFonts w:hint="eastAsia" w:ascii="仿宋_GB2312" w:eastAsia="仿宋_GB2312"/>
          <w:color w:val="auto"/>
          <w:sz w:val="32"/>
          <w:szCs w:val="32"/>
          <w:lang w:eastAsia="zh-CN"/>
        </w:rPr>
        <w:t>和县属国企建设项目的资金监管</w:t>
      </w:r>
      <w:r>
        <w:rPr>
          <w:rFonts w:hint="eastAsia" w:ascii="仿宋_GB2312" w:eastAsia="仿宋_GB2312"/>
          <w:color w:val="auto"/>
          <w:sz w:val="32"/>
          <w:szCs w:val="32"/>
        </w:rPr>
        <w:t>，严格审查资金来源和筹措方式，按规定及时拨付</w:t>
      </w:r>
      <w:r>
        <w:rPr>
          <w:rFonts w:hint="eastAsia" w:ascii="仿宋_GB2312" w:eastAsia="仿宋_GB2312"/>
          <w:color w:val="auto"/>
          <w:sz w:val="32"/>
          <w:szCs w:val="32"/>
          <w:lang w:eastAsia="zh-CN"/>
        </w:rPr>
        <w:t>建设</w:t>
      </w:r>
      <w:r>
        <w:rPr>
          <w:rFonts w:hint="eastAsia" w:ascii="仿宋_GB2312" w:eastAsia="仿宋_GB2312"/>
          <w:color w:val="auto"/>
          <w:sz w:val="32"/>
          <w:szCs w:val="32"/>
        </w:rPr>
        <w:t>资金</w:t>
      </w:r>
      <w:r>
        <w:rPr>
          <w:rFonts w:hint="eastAsia" w:ascii="仿宋_GB2312" w:eastAsia="仿宋_GB2312"/>
          <w:color w:val="auto"/>
          <w:sz w:val="32"/>
          <w:szCs w:val="32"/>
          <w:lang w:eastAsia="zh-CN"/>
        </w:rPr>
        <w:t>，确保</w:t>
      </w:r>
      <w:r>
        <w:rPr>
          <w:rFonts w:hint="eastAsia" w:ascii="仿宋_GB2312" w:hAnsi="仿宋_GB2312" w:eastAsia="仿宋_GB2312" w:cs="仿宋_GB2312"/>
          <w:color w:val="auto"/>
          <w:spacing w:val="0"/>
          <w:sz w:val="32"/>
          <w:szCs w:val="32"/>
        </w:rPr>
        <w:t>政府项目、</w:t>
      </w:r>
      <w:r>
        <w:rPr>
          <w:rFonts w:hint="eastAsia" w:ascii="仿宋_GB2312" w:eastAsia="仿宋_GB2312"/>
          <w:color w:val="auto"/>
          <w:sz w:val="32"/>
          <w:szCs w:val="32"/>
          <w:lang w:eastAsia="zh-CN"/>
        </w:rPr>
        <w:t>县属</w:t>
      </w:r>
      <w:r>
        <w:rPr>
          <w:rFonts w:hint="eastAsia" w:ascii="仿宋_GB2312" w:hAnsi="仿宋_GB2312" w:eastAsia="仿宋_GB2312" w:cs="仿宋_GB2312"/>
          <w:color w:val="auto"/>
          <w:spacing w:val="0"/>
          <w:sz w:val="32"/>
          <w:szCs w:val="32"/>
        </w:rPr>
        <w:t>国企项目工程款支付不低于已完成工程价款的80%</w:t>
      </w:r>
      <w:r>
        <w:rPr>
          <w:rFonts w:hint="eastAsia" w:ascii="仿宋_GB2312" w:hAnsi="仿宋_GB2312" w:eastAsia="仿宋_GB2312" w:cs="仿宋_GB2312"/>
          <w:color w:val="auto"/>
          <w:spacing w:val="0"/>
          <w:sz w:val="32"/>
          <w:szCs w:val="32"/>
          <w:lang w:eastAsia="zh-CN"/>
        </w:rPr>
        <w:t>，要</w:t>
      </w:r>
      <w:r>
        <w:rPr>
          <w:rFonts w:hint="eastAsia" w:ascii="仿宋_GB2312" w:hAnsi="仿宋_GB2312" w:eastAsia="仿宋_GB2312" w:cs="仿宋_GB2312"/>
          <w:color w:val="auto"/>
          <w:spacing w:val="0"/>
          <w:sz w:val="32"/>
          <w:szCs w:val="32"/>
        </w:rPr>
        <w:t>优先拨付人工费用，从源头解决因</w:t>
      </w:r>
      <w:r>
        <w:rPr>
          <w:rFonts w:hint="eastAsia" w:ascii="仿宋_GB2312" w:hAnsi="仿宋_GB2312" w:eastAsia="仿宋_GB2312" w:cs="仿宋_GB2312"/>
          <w:color w:val="auto"/>
          <w:spacing w:val="0"/>
          <w:sz w:val="32"/>
          <w:szCs w:val="32"/>
          <w:lang w:eastAsia="zh-CN"/>
        </w:rPr>
        <w:t>拖欠工程</w:t>
      </w:r>
      <w:r>
        <w:rPr>
          <w:rFonts w:hint="eastAsia" w:ascii="仿宋_GB2312" w:hAnsi="仿宋_GB2312" w:eastAsia="仿宋_GB2312" w:cs="仿宋_GB2312"/>
          <w:color w:val="auto"/>
          <w:spacing w:val="0"/>
          <w:sz w:val="32"/>
          <w:szCs w:val="32"/>
        </w:rPr>
        <w:t>款导致的欠薪问题。发改、</w:t>
      </w:r>
      <w:r>
        <w:rPr>
          <w:rFonts w:hint="eastAsia" w:ascii="仿宋_GB2312" w:hAnsi="仿宋_GB2312" w:eastAsia="仿宋_GB2312" w:cs="仿宋_GB2312"/>
          <w:color w:val="auto"/>
          <w:spacing w:val="0"/>
          <w:sz w:val="32"/>
          <w:szCs w:val="32"/>
          <w:lang w:eastAsia="zh-CN"/>
        </w:rPr>
        <w:t>工信商务、</w:t>
      </w:r>
      <w:r>
        <w:rPr>
          <w:rFonts w:hint="eastAsia" w:ascii="仿宋_GB2312" w:hAnsi="仿宋_GB2312" w:eastAsia="仿宋_GB2312" w:cs="仿宋_GB2312"/>
          <w:color w:val="auto"/>
          <w:spacing w:val="0"/>
          <w:sz w:val="32"/>
          <w:szCs w:val="32"/>
        </w:rPr>
        <w:t>住建、交通运输、水务</w:t>
      </w:r>
      <w:r>
        <w:rPr>
          <w:rFonts w:hint="eastAsia" w:ascii="仿宋_GB2312" w:hAnsi="仿宋_GB2312" w:eastAsia="仿宋_GB2312" w:cs="仿宋_GB2312"/>
          <w:color w:val="auto"/>
          <w:spacing w:val="0"/>
          <w:sz w:val="32"/>
          <w:szCs w:val="32"/>
          <w:lang w:eastAsia="zh-CN"/>
        </w:rPr>
        <w:t>、农业农村</w:t>
      </w:r>
      <w:r>
        <w:rPr>
          <w:rFonts w:hint="eastAsia" w:ascii="仿宋_GB2312" w:hAnsi="仿宋_GB2312" w:eastAsia="仿宋_GB2312" w:cs="仿宋_GB2312"/>
          <w:color w:val="auto"/>
          <w:spacing w:val="0"/>
          <w:sz w:val="32"/>
          <w:szCs w:val="32"/>
        </w:rPr>
        <w:t>等相关行业主管部门</w:t>
      </w:r>
      <w:r>
        <w:rPr>
          <w:rFonts w:hint="eastAsia" w:ascii="仿宋_GB2312" w:hAnsi="仿宋_GB2312" w:eastAsia="仿宋_GB2312" w:cs="仿宋_GB2312"/>
          <w:color w:val="auto"/>
          <w:spacing w:val="0"/>
          <w:sz w:val="32"/>
          <w:szCs w:val="32"/>
          <w:lang w:val="en-US" w:eastAsia="zh-CN"/>
        </w:rPr>
        <w:t>要</w:t>
      </w:r>
      <w:r>
        <w:rPr>
          <w:rFonts w:hint="eastAsia" w:ascii="仿宋_GB2312" w:hAnsi="仿宋_GB2312" w:eastAsia="仿宋_GB2312" w:cs="仿宋_GB2312"/>
          <w:color w:val="auto"/>
          <w:spacing w:val="0"/>
          <w:sz w:val="32"/>
          <w:szCs w:val="32"/>
        </w:rPr>
        <w:t>扎实推进工程款支付担保制度，落实工程款履约担保，加强建设项目施工过程结算。财政、项目建设单位严格落实工程款和人工费用分账管理制度，根据施工合同约定数额和工程进度，按照房屋建筑工程不低于30%，市政、交通运输、水利工程不低于15%，铁路、民航工程项目不低于20%的比例，按月将人工费用足额拨付至农民工工资专用账户</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拨付周期不得超过1个月</w:t>
      </w:r>
      <w:r>
        <w:rPr>
          <w:rFonts w:hint="eastAsia" w:ascii="仿宋_GB2312" w:hAnsi="仿宋_GB2312" w:eastAsia="仿宋_GB2312" w:cs="仿宋_GB2312"/>
          <w:color w:val="auto"/>
          <w:spacing w:val="0"/>
          <w:sz w:val="32"/>
          <w:szCs w:val="32"/>
        </w:rPr>
        <w:t>。建设单位未依法提供工程款支付担保、未按照合同约定拨付人工费用的，由行业主管部门和</w:t>
      </w:r>
      <w:r>
        <w:rPr>
          <w:rFonts w:hint="eastAsia" w:ascii="仿宋_GB2312" w:hAnsi="仿宋_GB2312" w:eastAsia="仿宋_GB2312" w:cs="仿宋_GB2312"/>
          <w:color w:val="auto"/>
          <w:spacing w:val="0"/>
          <w:sz w:val="32"/>
          <w:szCs w:val="32"/>
          <w:lang w:eastAsia="zh-CN"/>
        </w:rPr>
        <w:t>县人社局</w:t>
      </w:r>
      <w:r>
        <w:rPr>
          <w:rFonts w:hint="eastAsia" w:ascii="仿宋_GB2312" w:hAnsi="仿宋_GB2312" w:eastAsia="仿宋_GB2312" w:cs="仿宋_GB2312"/>
          <w:color w:val="auto"/>
          <w:spacing w:val="0"/>
          <w:sz w:val="32"/>
          <w:szCs w:val="32"/>
        </w:rPr>
        <w:t>责令限期改正、给予行政处理、责令项目停工等。</w:t>
      </w:r>
    </w:p>
    <w:p w14:paraId="7E0A0CD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pacing w:val="0"/>
          <w:w w:val="100"/>
          <w:sz w:val="32"/>
          <w:szCs w:val="32"/>
          <w:lang w:val="en-US" w:eastAsia="zh-CN"/>
        </w:rPr>
        <w:t>（五）</w:t>
      </w:r>
      <w:r>
        <w:rPr>
          <w:rFonts w:hint="eastAsia" w:ascii="楷体_GB2312" w:hAnsi="楷体_GB2312" w:eastAsia="楷体_GB2312" w:cs="楷体_GB2312"/>
          <w:b/>
          <w:bCs/>
          <w:color w:val="auto"/>
          <w:spacing w:val="0"/>
          <w:w w:val="100"/>
          <w:sz w:val="32"/>
          <w:szCs w:val="32"/>
          <w:lang w:val="en-US" w:eastAsia="en-US"/>
        </w:rPr>
        <w:t>推进日常检查全覆盖。</w:t>
      </w:r>
      <w:r>
        <w:rPr>
          <w:rFonts w:hint="eastAsia" w:ascii="仿宋_GB2312" w:hAnsi="Times New Roman" w:eastAsia="仿宋_GB2312" w:cs="Times New Roman"/>
          <w:snapToGrid/>
          <w:color w:val="auto"/>
          <w:kern w:val="2"/>
          <w:sz w:val="32"/>
          <w:szCs w:val="32"/>
          <w:lang w:val="en-US" w:eastAsia="zh-CN" w:bidi="ar-SA"/>
        </w:rPr>
        <w:t>人社部门和各行业主管部门</w:t>
      </w:r>
      <w:r>
        <w:rPr>
          <w:rFonts w:hint="eastAsia" w:ascii="仿宋_GB2312" w:hAnsi="仿宋_GB2312" w:eastAsia="仿宋_GB2312" w:cs="仿宋_GB2312"/>
          <w:color w:val="auto"/>
          <w:spacing w:val="0"/>
          <w:sz w:val="32"/>
          <w:szCs w:val="32"/>
        </w:rPr>
        <w:t>要</w:t>
      </w:r>
      <w:r>
        <w:rPr>
          <w:rFonts w:hint="eastAsia" w:ascii="仿宋_GB2312" w:hAnsi="仿宋_GB2312" w:eastAsia="仿宋_GB2312" w:cs="仿宋_GB2312"/>
          <w:color w:val="auto"/>
          <w:spacing w:val="0"/>
          <w:sz w:val="32"/>
          <w:szCs w:val="32"/>
          <w:lang w:eastAsia="zh-CN"/>
        </w:rPr>
        <w:t>充分利用</w:t>
      </w:r>
      <w:r>
        <w:rPr>
          <w:rFonts w:hint="eastAsia" w:ascii="仿宋_GB2312" w:hAnsi="仿宋_GB2312" w:eastAsia="仿宋_GB2312" w:cs="仿宋_GB2312"/>
          <w:color w:val="auto"/>
          <w:spacing w:val="0"/>
          <w:sz w:val="32"/>
          <w:szCs w:val="32"/>
        </w:rPr>
        <w:t>日常巡查、专项执法检查和举报投诉专查</w:t>
      </w:r>
      <w:r>
        <w:rPr>
          <w:rFonts w:hint="eastAsia" w:eastAsia="仿宋_GB2312" w:cs="仿宋_GB2312"/>
          <w:color w:val="auto"/>
          <w:spacing w:val="0"/>
          <w:sz w:val="32"/>
          <w:szCs w:val="32"/>
          <w:lang w:eastAsia="zh-CN"/>
        </w:rPr>
        <w:t>等手段</w:t>
      </w:r>
      <w:r>
        <w:rPr>
          <w:rFonts w:hint="eastAsia" w:ascii="仿宋_GB2312" w:hAnsi="仿宋_GB2312" w:eastAsia="仿宋_GB2312" w:cs="仿宋_GB2312"/>
          <w:color w:val="auto"/>
          <w:spacing w:val="0"/>
          <w:sz w:val="32"/>
          <w:szCs w:val="32"/>
        </w:rPr>
        <w:t>加强欠薪隐患排查，督促</w:t>
      </w:r>
      <w:r>
        <w:rPr>
          <w:rFonts w:hint="eastAsia" w:ascii="仿宋_GB2312" w:hAnsi="仿宋_GB2312" w:eastAsia="仿宋_GB2312" w:cs="仿宋_GB2312"/>
          <w:color w:val="auto"/>
          <w:spacing w:val="0"/>
          <w:sz w:val="32"/>
          <w:szCs w:val="32"/>
          <w:lang w:eastAsia="zh-CN"/>
        </w:rPr>
        <w:t>用工</w:t>
      </w:r>
      <w:r>
        <w:rPr>
          <w:rFonts w:hint="eastAsia" w:ascii="仿宋_GB2312" w:hAnsi="仿宋_GB2312" w:eastAsia="仿宋_GB2312" w:cs="仿宋_GB2312"/>
          <w:color w:val="auto"/>
          <w:spacing w:val="0"/>
          <w:sz w:val="32"/>
          <w:szCs w:val="32"/>
        </w:rPr>
        <w:t>企业落实工程施工过程结算制度，</w:t>
      </w:r>
      <w:r>
        <w:rPr>
          <w:rFonts w:hint="eastAsia" w:ascii="仿宋_GB2312" w:hAnsi="仿宋_GB2312" w:eastAsia="仿宋_GB2312" w:cs="仿宋_GB2312"/>
          <w:color w:val="auto"/>
          <w:spacing w:val="0"/>
          <w:sz w:val="32"/>
          <w:szCs w:val="32"/>
          <w:lang w:val="en-US" w:eastAsia="zh-CN"/>
        </w:rPr>
        <w:t>并</w:t>
      </w:r>
      <w:r>
        <w:rPr>
          <w:rFonts w:hint="eastAsia" w:ascii="仿宋_GB2312" w:hAnsi="仿宋_GB2312" w:eastAsia="仿宋_GB2312" w:cs="仿宋_GB2312"/>
          <w:color w:val="auto"/>
          <w:spacing w:val="0"/>
          <w:sz w:val="32"/>
          <w:szCs w:val="32"/>
        </w:rPr>
        <w:t>将实名制管理、人工费拨付、工程款进度结算纳入重点检查事项清单，减少工程结算纠纷。</w:t>
      </w:r>
      <w:r>
        <w:rPr>
          <w:rFonts w:hint="eastAsia" w:ascii="仿宋_GB2312" w:hAnsi="仿宋_GB2312" w:eastAsia="仿宋_GB2312" w:cs="仿宋_GB2312"/>
          <w:color w:val="auto"/>
          <w:spacing w:val="0"/>
          <w:sz w:val="32"/>
          <w:szCs w:val="32"/>
          <w:lang w:eastAsia="zh-CN"/>
        </w:rPr>
        <w:t>同</w:t>
      </w:r>
      <w:bookmarkStart w:id="0" w:name="_GoBack"/>
      <w:bookmarkEnd w:id="0"/>
      <w:r>
        <w:rPr>
          <w:rFonts w:hint="eastAsia" w:ascii="仿宋_GB2312" w:hAnsi="仿宋_GB2312" w:eastAsia="仿宋_GB2312" w:cs="仿宋_GB2312"/>
          <w:color w:val="auto"/>
          <w:spacing w:val="0"/>
          <w:sz w:val="32"/>
          <w:szCs w:val="32"/>
          <w:lang w:eastAsia="zh-CN"/>
        </w:rPr>
        <w:t>时，</w:t>
      </w:r>
      <w:r>
        <w:rPr>
          <w:rFonts w:hint="eastAsia" w:ascii="仿宋_GB2312" w:hAnsi="仿宋_GB2312" w:eastAsia="仿宋_GB2312" w:cs="仿宋_GB2312"/>
          <w:color w:val="auto"/>
          <w:spacing w:val="0"/>
          <w:sz w:val="32"/>
          <w:szCs w:val="32"/>
        </w:rPr>
        <w:t>将平台企业及其合作企业的用工协议、报酬支付规则、实际支付情况等纳入监管范围，定期开展针对新业态领域的</w:t>
      </w:r>
      <w:r>
        <w:rPr>
          <w:rFonts w:hint="eastAsia" w:ascii="仿宋_GB2312" w:hAnsi="仿宋_GB2312" w:eastAsia="仿宋_GB2312" w:cs="仿宋_GB2312"/>
          <w:color w:val="auto"/>
          <w:spacing w:val="0"/>
          <w:sz w:val="32"/>
          <w:szCs w:val="32"/>
          <w:lang w:eastAsia="zh-CN"/>
        </w:rPr>
        <w:t>专项检查</w:t>
      </w:r>
      <w:r>
        <w:rPr>
          <w:rFonts w:hint="eastAsia" w:ascii="仿宋_GB2312" w:hAnsi="仿宋_GB2312" w:eastAsia="仿宋_GB2312" w:cs="仿宋_GB2312"/>
          <w:color w:val="auto"/>
          <w:spacing w:val="0"/>
          <w:sz w:val="32"/>
          <w:szCs w:val="32"/>
        </w:rPr>
        <w:t>。施工总承包单位、分包单位未实行劳动用工实名制管理、未按规定开设或使用农民工工资专户的，由相关行业</w:t>
      </w:r>
      <w:r>
        <w:rPr>
          <w:rFonts w:hint="eastAsia" w:ascii="仿宋_GB2312" w:hAnsi="仿宋_GB2312" w:eastAsia="仿宋_GB2312" w:cs="仿宋_GB2312"/>
          <w:color w:val="auto"/>
          <w:spacing w:val="0"/>
          <w:sz w:val="32"/>
          <w:szCs w:val="32"/>
          <w:lang w:val="en-US" w:eastAsia="zh-CN"/>
        </w:rPr>
        <w:t>主管</w:t>
      </w:r>
      <w:r>
        <w:rPr>
          <w:rFonts w:hint="eastAsia" w:ascii="仿宋_GB2312" w:hAnsi="仿宋_GB2312" w:eastAsia="仿宋_GB2312" w:cs="仿宋_GB2312"/>
          <w:color w:val="auto"/>
          <w:spacing w:val="0"/>
          <w:sz w:val="32"/>
          <w:szCs w:val="32"/>
        </w:rPr>
        <w:t>部门</w:t>
      </w:r>
      <w:r>
        <w:rPr>
          <w:rFonts w:hint="eastAsia" w:ascii="仿宋_GB2312" w:hAnsi="仿宋_GB2312" w:eastAsia="仿宋_GB2312" w:cs="仿宋_GB2312"/>
          <w:color w:val="auto"/>
          <w:spacing w:val="0"/>
          <w:sz w:val="32"/>
          <w:szCs w:val="32"/>
          <w:lang w:val="en-US" w:eastAsia="zh-CN"/>
        </w:rPr>
        <w:t>和县人社局</w:t>
      </w:r>
      <w:r>
        <w:rPr>
          <w:rFonts w:hint="eastAsia" w:ascii="仿宋_GB2312" w:hAnsi="仿宋_GB2312" w:eastAsia="仿宋_GB2312" w:cs="仿宋_GB2312"/>
          <w:color w:val="auto"/>
          <w:spacing w:val="0"/>
          <w:sz w:val="32"/>
          <w:szCs w:val="32"/>
        </w:rPr>
        <w:t>作出责令限期改正或行政处罚、限制承接新工程、降低资质等级、吊销资质证书等行政处理。</w:t>
      </w:r>
    </w:p>
    <w:p w14:paraId="1CF868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pacing w:val="0"/>
          <w:w w:val="100"/>
          <w:sz w:val="32"/>
          <w:szCs w:val="32"/>
          <w:lang w:val="en-US" w:eastAsia="zh-CN"/>
        </w:rPr>
        <w:t>（六）强化工作调度机制。</w:t>
      </w:r>
      <w:r>
        <w:rPr>
          <w:rFonts w:hint="eastAsia" w:ascii="仿宋_GB2312" w:hAnsi="仿宋_GB2312" w:eastAsia="仿宋_GB2312" w:cs="仿宋_GB2312"/>
          <w:color w:val="auto"/>
          <w:sz w:val="32"/>
          <w:szCs w:val="32"/>
          <w:lang w:val="en-US" w:eastAsia="zh-CN"/>
        </w:rPr>
        <w:t>各镇、各有关部门要</w:t>
      </w:r>
      <w:r>
        <w:rPr>
          <w:rFonts w:hint="eastAsia" w:ascii="仿宋_GB2312" w:hAnsi="仿宋_GB2312" w:eastAsia="仿宋_GB2312" w:cs="仿宋_GB2312"/>
          <w:color w:val="auto"/>
          <w:spacing w:val="0"/>
          <w:sz w:val="32"/>
          <w:szCs w:val="32"/>
          <w:lang w:eastAsia="zh-CN"/>
        </w:rPr>
        <w:t>把保障农民工工资支付工作</w:t>
      </w:r>
      <w:r>
        <w:rPr>
          <w:rFonts w:hint="eastAsia" w:ascii="仿宋_GB2312" w:hAnsi="仿宋_GB2312" w:eastAsia="仿宋_GB2312" w:cs="仿宋_GB2312"/>
          <w:color w:val="auto"/>
          <w:spacing w:val="0"/>
          <w:sz w:val="32"/>
          <w:szCs w:val="32"/>
        </w:rPr>
        <w:t>作为整治群众身边不正之风和腐败问题的具体实践，</w:t>
      </w:r>
      <w:r>
        <w:rPr>
          <w:rFonts w:hint="eastAsia" w:ascii="仿宋_GB2312" w:hAnsi="仿宋_GB2312" w:eastAsia="仿宋_GB2312" w:cs="仿宋_GB2312"/>
          <w:color w:val="auto"/>
          <w:sz w:val="32"/>
          <w:szCs w:val="32"/>
          <w:lang w:val="en-US" w:eastAsia="zh-CN"/>
        </w:rPr>
        <w:t>严格按照《中共高台县委办公室 高台县人民政府办公室关于转发〈张掖市根治拖欠农民工工资工作实施细则〉的通知》（</w:t>
      </w:r>
      <w:r>
        <w:rPr>
          <w:rFonts w:hint="eastAsia" w:ascii="仿宋_GB2312" w:hAnsi="仿宋" w:eastAsia="仿宋_GB2312"/>
          <w:sz w:val="32"/>
          <w:szCs w:val="32"/>
        </w:rPr>
        <w:t>高办发〔202</w:t>
      </w: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19</w:t>
      </w:r>
      <w:r>
        <w:rPr>
          <w:rFonts w:hint="eastAsia" w:ascii="仿宋_GB2312" w:hAnsi="仿宋" w:eastAsia="仿宋_GB2312"/>
          <w:sz w:val="32"/>
          <w:szCs w:val="32"/>
        </w:rPr>
        <w:t>号</w:t>
      </w:r>
      <w:r>
        <w:rPr>
          <w:rFonts w:hint="eastAsia" w:ascii="仿宋_GB2312" w:hAnsi="仿宋_GB2312" w:eastAsia="仿宋_GB2312" w:cs="仿宋_GB2312"/>
          <w:color w:val="auto"/>
          <w:sz w:val="32"/>
          <w:szCs w:val="32"/>
          <w:lang w:val="en-US" w:eastAsia="zh-CN"/>
        </w:rPr>
        <w:t>）要求，加大风险排查、责任落实、专班推进、资金筹措力度，实现欠薪问题高效处置、动态清零。建立健全部门间线索移送、案件交办、协同处置等工作机制，将新业态劳动报酬纠纷纳入统一协调处置范围，对重大、疑难欠薪案件或重大舆情案件，按照部门责任进行联合办案，快速高效化解各类欠薪问题，确保不发生因欠薪引发的群体性事件、个人极端事件和重大网络舆情。</w:t>
      </w:r>
    </w:p>
    <w:p w14:paraId="7A29AA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b w:val="0"/>
          <w:bCs w:val="0"/>
          <w:color w:val="auto"/>
          <w:sz w:val="32"/>
          <w:szCs w:val="32"/>
          <w:lang w:val="en-US" w:eastAsia="zh-CN"/>
        </w:rPr>
        <w:t>加大欠薪纠纷防范化解</w:t>
      </w:r>
    </w:p>
    <w:p w14:paraId="276E4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bCs/>
          <w:color w:val="auto"/>
          <w:spacing w:val="0"/>
          <w:w w:val="100"/>
          <w:sz w:val="32"/>
          <w:szCs w:val="32"/>
          <w:lang w:val="en-US" w:eastAsia="zh-CN"/>
        </w:rPr>
        <w:t>（一）拓宽劳动者维权途径。</w:t>
      </w:r>
      <w:r>
        <w:rPr>
          <w:rFonts w:hint="eastAsia" w:ascii="仿宋_GB2312" w:hAnsi="仿宋_GB2312" w:eastAsia="仿宋_GB2312" w:cs="仿宋_GB2312"/>
          <w:color w:val="auto"/>
          <w:spacing w:val="0"/>
          <w:sz w:val="32"/>
          <w:szCs w:val="32"/>
          <w:lang w:eastAsia="zh-CN"/>
        </w:rPr>
        <w:t>充分</w:t>
      </w:r>
      <w:r>
        <w:rPr>
          <w:rFonts w:hint="eastAsia" w:ascii="仿宋_GB2312" w:hAnsi="仿宋_GB2312" w:eastAsia="仿宋_GB2312" w:cs="仿宋_GB2312"/>
          <w:color w:val="auto"/>
          <w:spacing w:val="0"/>
          <w:sz w:val="32"/>
          <w:szCs w:val="32"/>
        </w:rPr>
        <w:t>发挥甘肃省农民工工资支付管理公共服务平台</w:t>
      </w:r>
      <w:r>
        <w:rPr>
          <w:rFonts w:hint="eastAsia" w:ascii="仿宋_GB2312" w:hAnsi="仿宋_GB2312" w:eastAsia="仿宋_GB2312" w:cs="仿宋_GB2312"/>
          <w:color w:val="auto"/>
          <w:spacing w:val="0"/>
          <w:sz w:val="32"/>
          <w:szCs w:val="32"/>
          <w:lang w:eastAsia="zh-CN"/>
        </w:rPr>
        <w:t>预警监测、</w:t>
      </w:r>
      <w:r>
        <w:rPr>
          <w:rFonts w:hint="eastAsia" w:ascii="仿宋_GB2312" w:hAnsi="仿宋_GB2312" w:eastAsia="仿宋_GB2312" w:cs="仿宋_GB2312"/>
          <w:color w:val="auto"/>
          <w:spacing w:val="0"/>
          <w:sz w:val="32"/>
          <w:szCs w:val="32"/>
        </w:rPr>
        <w:t>全国根治欠薪线索反映平台和甘肃省根治欠薪线索反映平台</w:t>
      </w:r>
      <w:r>
        <w:rPr>
          <w:rFonts w:hint="eastAsia" w:ascii="仿宋_GB2312" w:hAnsi="仿宋_GB2312" w:eastAsia="仿宋_GB2312" w:cs="仿宋_GB2312"/>
          <w:color w:val="auto"/>
          <w:spacing w:val="0"/>
          <w:sz w:val="32"/>
          <w:szCs w:val="32"/>
          <w:lang w:eastAsia="zh-CN"/>
        </w:rPr>
        <w:t>等</w:t>
      </w:r>
      <w:r>
        <w:rPr>
          <w:rFonts w:hint="eastAsia" w:ascii="仿宋_GB2312" w:hAnsi="仿宋_GB2312" w:eastAsia="仿宋_GB2312" w:cs="仿宋_GB2312"/>
          <w:color w:val="auto"/>
          <w:spacing w:val="0"/>
          <w:sz w:val="32"/>
          <w:szCs w:val="32"/>
        </w:rPr>
        <w:t>主渠道作用，全</w:t>
      </w:r>
      <w:r>
        <w:rPr>
          <w:rFonts w:hint="eastAsia" w:ascii="仿宋_GB2312" w:hAnsi="仿宋_GB2312" w:eastAsia="仿宋_GB2312" w:cs="仿宋_GB2312"/>
          <w:color w:val="auto"/>
          <w:spacing w:val="0"/>
          <w:sz w:val="32"/>
          <w:szCs w:val="32"/>
          <w:lang w:eastAsia="zh-CN"/>
        </w:rPr>
        <w:t>面</w:t>
      </w:r>
      <w:r>
        <w:rPr>
          <w:rFonts w:hint="eastAsia" w:ascii="仿宋_GB2312" w:hAnsi="仿宋_GB2312" w:eastAsia="仿宋_GB2312" w:cs="仿宋_GB2312"/>
          <w:color w:val="auto"/>
          <w:spacing w:val="0"/>
          <w:sz w:val="32"/>
          <w:szCs w:val="32"/>
        </w:rPr>
        <w:t>掌握现场投诉窗口、信访以及12345等各类政务服务平台维权线索</w:t>
      </w:r>
      <w:r>
        <w:rPr>
          <w:rFonts w:hint="eastAsia" w:ascii="仿宋_GB2312" w:hAnsi="仿宋_GB2312" w:eastAsia="仿宋_GB2312" w:cs="仿宋_GB2312"/>
          <w:color w:val="auto"/>
          <w:spacing w:val="0"/>
          <w:sz w:val="32"/>
          <w:szCs w:val="32"/>
          <w:lang w:eastAsia="zh-CN"/>
        </w:rPr>
        <w:t>，严格落实首问责任制，建立问题台账，</w:t>
      </w:r>
      <w:r>
        <w:rPr>
          <w:rFonts w:hint="eastAsia" w:ascii="仿宋_GB2312" w:hAnsi="仿宋_GB2312" w:eastAsia="仿宋_GB2312" w:cs="仿宋_GB2312"/>
          <w:color w:val="auto"/>
          <w:spacing w:val="0"/>
          <w:sz w:val="32"/>
          <w:szCs w:val="32"/>
          <w:lang w:val="en-US" w:eastAsia="zh-CN"/>
        </w:rPr>
        <w:t>做到欠薪项目清、欠薪金额清、涉及人数清、各方责任清、根治措施清</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确保劳动者投诉</w:t>
      </w:r>
      <w:r>
        <w:rPr>
          <w:rFonts w:hint="eastAsia" w:ascii="仿宋_GB2312" w:hAnsi="仿宋_GB2312" w:eastAsia="仿宋_GB2312" w:cs="仿宋_GB2312"/>
          <w:color w:val="auto"/>
          <w:spacing w:val="0"/>
          <w:sz w:val="32"/>
          <w:szCs w:val="32"/>
          <w:lang w:eastAsia="zh-CN"/>
        </w:rPr>
        <w:t>渠道畅通</w:t>
      </w:r>
      <w:r>
        <w:rPr>
          <w:rFonts w:hint="eastAsia" w:ascii="仿宋_GB2312" w:hAnsi="仿宋_GB2312" w:eastAsia="仿宋_GB2312" w:cs="仿宋_GB2312"/>
          <w:color w:val="auto"/>
          <w:spacing w:val="0"/>
          <w:sz w:val="32"/>
          <w:szCs w:val="32"/>
        </w:rPr>
        <w:t>、响应及时、处理到位。</w:t>
      </w:r>
    </w:p>
    <w:p w14:paraId="607D68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bCs/>
          <w:color w:val="auto"/>
          <w:spacing w:val="0"/>
          <w:w w:val="100"/>
          <w:sz w:val="32"/>
          <w:szCs w:val="32"/>
          <w:lang w:val="en-US" w:eastAsia="zh-CN"/>
        </w:rPr>
        <w:t>（二）落实“三倒查”机制。</w:t>
      </w:r>
      <w:r>
        <w:rPr>
          <w:rFonts w:hint="eastAsia" w:ascii="仿宋_GB2312" w:hAnsi="仿宋_GB2312" w:eastAsia="仿宋_GB2312" w:cs="仿宋_GB2312"/>
          <w:color w:val="auto"/>
          <w:sz w:val="32"/>
          <w:szCs w:val="32"/>
          <w:lang w:val="en-US" w:eastAsia="zh-CN"/>
        </w:rPr>
        <w:t>各镇、各行业主管部门要对本辖区、本行业的欠薪案件实行查项目整体工资支付情况、查保障工资支付制度落实情况、查部门监管责任落实情况的“三倒查”机制。对政府项目发生严重欠薪违法行为，欠薪问题久拖不决或发生重大舆情的，从项目立项审批、土地出让、招投标、工程款和人工费用拨付、工资保障制度落实、欠薪立案查处等方面全面核查监管责任和处置责任，倒查各环节违法违纪问题，依法依规追责问责</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snapToGrid/>
          <w:color w:val="auto"/>
          <w:kern w:val="60"/>
          <w:sz w:val="32"/>
          <w:szCs w:val="32"/>
          <w:lang w:val="en-US" w:eastAsia="zh-CN"/>
        </w:rPr>
        <w:t>推动拖欠农民工工资问题源头治理。</w:t>
      </w:r>
    </w:p>
    <w:p w14:paraId="602257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w w:val="100"/>
          <w:sz w:val="32"/>
          <w:szCs w:val="32"/>
        </w:rPr>
      </w:pPr>
      <w:r>
        <w:rPr>
          <w:rFonts w:hint="eastAsia" w:ascii="楷体_GB2312" w:hAnsi="楷体_GB2312" w:eastAsia="楷体_GB2312" w:cs="楷体_GB2312"/>
          <w:b/>
          <w:bCs/>
          <w:color w:val="auto"/>
          <w:spacing w:val="0"/>
          <w:w w:val="100"/>
          <w:sz w:val="32"/>
          <w:szCs w:val="32"/>
          <w:lang w:val="en-US" w:eastAsia="zh-CN"/>
        </w:rPr>
        <w:t>（三）强化行刑衔接。</w:t>
      </w:r>
      <w:r>
        <w:rPr>
          <w:rFonts w:hint="eastAsia" w:ascii="仿宋_GB2312" w:hAnsi="仿宋_GB2312" w:eastAsia="仿宋_GB2312" w:cs="仿宋_GB2312"/>
          <w:color w:val="auto"/>
          <w:sz w:val="32"/>
          <w:szCs w:val="32"/>
          <w:lang w:val="en-US" w:eastAsia="zh-CN"/>
        </w:rPr>
        <w:t>严格执行</w:t>
      </w:r>
      <w:r>
        <w:rPr>
          <w:rFonts w:hint="eastAsia" w:ascii="仿宋_GB2312" w:hAnsi="仿宋_GB2312" w:eastAsia="仿宋_GB2312" w:cs="仿宋_GB2312"/>
          <w:color w:val="auto"/>
          <w:spacing w:val="0"/>
          <w:w w:val="100"/>
          <w:sz w:val="32"/>
          <w:szCs w:val="32"/>
        </w:rPr>
        <w:t>人社、公安、法院、检察院、司法“五位一体”联动协作机制，</w:t>
      </w:r>
      <w:r>
        <w:rPr>
          <w:rFonts w:hint="eastAsia" w:ascii="仿宋_GB2312" w:hAnsi="仿宋_GB2312" w:eastAsia="仿宋_GB2312" w:cs="仿宋_GB2312"/>
          <w:color w:val="auto"/>
          <w:sz w:val="32"/>
          <w:szCs w:val="32"/>
          <w:lang w:val="en-US" w:eastAsia="zh-CN"/>
        </w:rPr>
        <w:t>县人社局要主动加大与司法机构在涉嫌拒不支付劳动报酬犯罪案件查处、生效清欠文书执行等方面的协作力度，</w:t>
      </w:r>
      <w:r>
        <w:rPr>
          <w:rFonts w:hint="eastAsia" w:ascii="仿宋_GB2312" w:hAnsi="仿宋_GB2312" w:eastAsia="仿宋_GB2312" w:cs="仿宋_GB2312"/>
          <w:color w:val="auto"/>
          <w:spacing w:val="0"/>
          <w:w w:val="100"/>
          <w:sz w:val="32"/>
          <w:szCs w:val="32"/>
        </w:rPr>
        <w:t>开辟农民工欠薪案件“绿色通道”</w:t>
      </w:r>
      <w:r>
        <w:rPr>
          <w:rFonts w:hint="eastAsia" w:ascii="仿宋_GB2312" w:hAnsi="仿宋_GB2312" w:eastAsia="仿宋_GB2312" w:cs="仿宋_GB2312"/>
          <w:color w:val="auto"/>
          <w:spacing w:val="0"/>
          <w:w w:val="100"/>
          <w:sz w:val="32"/>
          <w:szCs w:val="32"/>
          <w:lang w:eastAsia="zh-CN"/>
        </w:rPr>
        <w:t>。对涉及新业态领域、利用复杂用工关系掩盖欠薪实质的案件，加强部门会商研判，准确适用法律。</w:t>
      </w:r>
      <w:r>
        <w:rPr>
          <w:rFonts w:hint="eastAsia" w:ascii="仿宋_GB2312" w:hAnsi="仿宋_GB2312" w:eastAsia="仿宋_GB2312" w:cs="仿宋_GB2312"/>
          <w:color w:val="auto"/>
          <w:sz w:val="32"/>
          <w:szCs w:val="32"/>
          <w:lang w:val="en-US" w:eastAsia="zh-CN"/>
        </w:rPr>
        <w:t>对涉嫌拒不支付劳动报酬犯罪案件，公安机关要提前介入；对拒不按期清偿欠薪的，法院要快速执行、保障支付；对涉嫌拒不支付劳动报酬犯罪案件移送立案和执行情况，人民检察院要跟踪监督、派员协助，</w:t>
      </w:r>
      <w:r>
        <w:rPr>
          <w:rFonts w:hint="eastAsia" w:ascii="仿宋_GB2312" w:hAnsi="仿宋_GB2312" w:eastAsia="仿宋_GB2312" w:cs="仿宋_GB2312"/>
          <w:color w:val="auto"/>
          <w:spacing w:val="0"/>
          <w:w w:val="100"/>
          <w:sz w:val="32"/>
          <w:szCs w:val="32"/>
        </w:rPr>
        <w:t>实现快速受理、快速裁决</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快速审判、快速执行。</w:t>
      </w:r>
    </w:p>
    <w:p w14:paraId="63150B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pacing w:val="0"/>
          <w:w w:val="100"/>
          <w:sz w:val="32"/>
          <w:szCs w:val="32"/>
          <w:lang w:val="en-US" w:eastAsia="zh-CN"/>
        </w:rPr>
        <w:t>（四）强化信用惩戒。</w:t>
      </w:r>
      <w:r>
        <w:rPr>
          <w:rFonts w:hint="eastAsia" w:ascii="仿宋_GB2312" w:hAnsi="仿宋_GB2312" w:eastAsia="仿宋_GB2312" w:cs="仿宋_GB2312"/>
          <w:color w:val="auto"/>
          <w:sz w:val="32"/>
          <w:szCs w:val="32"/>
          <w:lang w:val="en-US" w:eastAsia="zh-CN"/>
        </w:rPr>
        <w:t>要持续加强重大劳动保障违法行为公布和欠薪失信联合惩戒工作力度，充分发挥信用监管和联合惩戒的教育、规范、震慑作用，依法依规开展失信名单认定、列入、公开、推送、信用修复等信用管理工作，强化对恶意欠薪违法行为的信用约束。</w:t>
      </w:r>
      <w:r>
        <w:rPr>
          <w:rFonts w:hint="eastAsia" w:ascii="仿宋_GB2312" w:hAnsi="仿宋_GB2312" w:eastAsia="仿宋_GB2312" w:cs="仿宋_GB2312"/>
          <w:color w:val="auto"/>
          <w:sz w:val="32"/>
          <w:szCs w:val="32"/>
          <w:highlight w:val="none"/>
          <w:lang w:val="en-US" w:eastAsia="zh-CN"/>
        </w:rPr>
        <w:t>社会信用体系建设牵头部门要</w:t>
      </w:r>
      <w:r>
        <w:rPr>
          <w:rFonts w:hint="eastAsia" w:ascii="仿宋_GB2312" w:hAnsi="仿宋_GB2312" w:eastAsia="仿宋_GB2312" w:cs="仿宋_GB2312"/>
          <w:color w:val="auto"/>
          <w:sz w:val="32"/>
          <w:szCs w:val="32"/>
          <w:lang w:val="en-US" w:eastAsia="zh-CN"/>
        </w:rPr>
        <w:t>健全完善拖欠农民工工资失信联合惩戒对象名单接收、共享机制，将失信名单共享至相关部门，督促相关部门对被列入失信名单的企业及个人，依规依法在政府资金支持、政府采购、招投标、融资贷款、市场准入、税收优惠、评优评先、交通出行等方面予以限制，使欠薪企业一处违法、处处受限，形成有力震慑。</w:t>
      </w:r>
    </w:p>
    <w:p w14:paraId="0D1328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bCs/>
          <w:color w:val="auto"/>
          <w:spacing w:val="0"/>
          <w:w w:val="100"/>
          <w:sz w:val="32"/>
          <w:szCs w:val="32"/>
          <w:lang w:val="en-US" w:eastAsia="zh-CN"/>
        </w:rPr>
        <w:t>（五）强化应急处置。</w:t>
      </w:r>
      <w:r>
        <w:rPr>
          <w:rFonts w:hint="eastAsia" w:ascii="仿宋_GB2312" w:hAnsi="仿宋_GB2312" w:eastAsia="仿宋_GB2312" w:cs="仿宋_GB2312"/>
          <w:color w:val="auto"/>
          <w:sz w:val="32"/>
          <w:szCs w:val="32"/>
          <w:lang w:val="en-US" w:eastAsia="zh-CN"/>
        </w:rPr>
        <w:t>宣传、网信、公安、信访、工会和人社部门要共同建立健全涉薪舆情监控处置机制，发现敏感舆情第一时间通报相关镇和部门单位，坚持舆情处置不过夜，线上线下同步处置。对存在的欠薪问题应立即解决，控制舆情发酵蔓延；对采取恶意散播虚假信息、造谣传谣等非法手段讨薪或以讨薪为名实施敲诈勒索的，应立即责成消除不良影响，对构成违反治安管理行为的依法给予处理处罚，对涉嫌犯罪的依法追究刑事责任。完善应急处置预案，对发生的群体性事件和极端事件，做到迅速响应、妥善处置，确保不引发区域性、系统性、规模性风险。</w:t>
      </w:r>
    </w:p>
    <w:p w14:paraId="3F8D15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三、健全工作保障机制</w:t>
      </w:r>
    </w:p>
    <w:p w14:paraId="75FE727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（一）提高认识，加强组织领导。</w:t>
      </w:r>
      <w:r>
        <w:rPr>
          <w:rFonts w:hint="eastAsia" w:ascii="仿宋_GB2312" w:hAnsi="仿宋_GB2312" w:eastAsia="仿宋_GB2312" w:cs="仿宋_GB2312"/>
          <w:color w:val="auto"/>
          <w:sz w:val="32"/>
          <w:szCs w:val="32"/>
          <w:lang w:val="en-US" w:eastAsia="zh-CN"/>
        </w:rPr>
        <w:t>各镇、各有关部门要进一步提高思想认识，把集中整治作为</w:t>
      </w:r>
      <w:r>
        <w:rPr>
          <w:rFonts w:hint="eastAsia" w:ascii="仿宋_GB2312" w:hAnsi="仿宋_GB2312" w:eastAsia="仿宋_GB2312" w:cs="仿宋_GB2312"/>
          <w:b w:val="0"/>
          <w:bCs w:val="0"/>
          <w:color w:val="auto"/>
          <w:sz w:val="32"/>
          <w:szCs w:val="32"/>
          <w:lang w:val="en-US" w:eastAsia="zh-CN"/>
        </w:rPr>
        <w:t>维护安全稳定的</w:t>
      </w:r>
      <w:r>
        <w:rPr>
          <w:rFonts w:hint="eastAsia" w:ascii="仿宋_GB2312" w:hAnsi="仿宋_GB2312" w:eastAsia="仿宋_GB2312" w:cs="仿宋_GB2312"/>
          <w:color w:val="auto"/>
          <w:sz w:val="32"/>
          <w:szCs w:val="32"/>
          <w:lang w:val="en-US" w:eastAsia="zh-CN"/>
        </w:rPr>
        <w:t>重大政治任务，增强做好保障农民工工资支付工作的使命感、责任感、紧迫感，把政府项目、国企项目欠薪问题和拖欠农民工工资问题专项整治工作全过程抓在手上，不断拧紧责任链条，高效率调度、高标准推进、严要求落实，全面压实属地政府管理责任、行业部门监管责任、用人单位主体责任，以强有力的工作举措推动专项整治走深走实。</w:t>
      </w:r>
    </w:p>
    <w:p w14:paraId="2FB7E2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（二）主动担责，凝聚治欠合力。</w:t>
      </w:r>
      <w:r>
        <w:rPr>
          <w:rFonts w:hint="eastAsia" w:ascii="仿宋_GB2312" w:hAnsi="仿宋_GB2312" w:eastAsia="仿宋_GB2312" w:cs="仿宋_GB2312"/>
          <w:color w:val="auto"/>
          <w:sz w:val="32"/>
          <w:szCs w:val="32"/>
          <w:lang w:val="en-US" w:eastAsia="zh-CN"/>
        </w:rPr>
        <w:t>各镇、各行业主管部门要树立</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管行业必须管农民工工资支付，管资金必须管工资源头保障，管业务必须管欠薪问题治理</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的工作理念，将保障农民工工资支付工作作为开展集中整治的重要切入点，对号入座、主动作为，对本辖区、本行业工程建设项目进行全面梳理，排查可能存在的欠薪风险隐患，同时要加强对本领域内平台经济等新业态用工情况的摸排与风险研判，通过典型案件解剖分析，对治理欠薪工作制度建设和执行落实情况进行全面评估、查找不足，进一步健全完善制度体系，加快堵塞制度漏洞，积极主动抓好本部门本系统治理欠薪工作，共同推动解决欠薪突出问题。</w:t>
      </w:r>
    </w:p>
    <w:p w14:paraId="51AA19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pPr>
      <w:r>
        <w:rPr>
          <w:rFonts w:hint="eastAsia" w:ascii="楷体_GB2312" w:hAnsi="楷体_GB2312" w:eastAsia="楷体_GB2312" w:cs="楷体_GB2312"/>
          <w:b/>
          <w:bCs/>
          <w:color w:val="auto"/>
          <w:spacing w:val="0"/>
          <w:sz w:val="32"/>
          <w:szCs w:val="32"/>
          <w:lang w:val="en-US" w:eastAsia="zh-CN"/>
        </w:rPr>
        <w:t>（三）加强宣传，</w:t>
      </w:r>
      <w:r>
        <w:rPr>
          <w:rFonts w:hint="eastAsia" w:ascii="楷体_GB2312" w:hAnsi="楷体_GB2312" w:eastAsia="楷体_GB2312" w:cs="楷体_GB2312"/>
          <w:b/>
          <w:bCs/>
          <w:color w:val="auto"/>
          <w:spacing w:val="0"/>
          <w:sz w:val="32"/>
          <w:szCs w:val="32"/>
        </w:rPr>
        <w:t>营造</w:t>
      </w:r>
      <w:r>
        <w:rPr>
          <w:rFonts w:hint="eastAsia" w:ascii="楷体_GB2312" w:hAnsi="楷体_GB2312" w:eastAsia="楷体_GB2312" w:cs="楷体_GB2312"/>
          <w:b/>
          <w:bCs/>
          <w:color w:val="auto"/>
          <w:spacing w:val="0"/>
          <w:sz w:val="32"/>
          <w:szCs w:val="32"/>
          <w:lang w:eastAsia="zh-CN"/>
        </w:rPr>
        <w:t>良好</w:t>
      </w:r>
      <w:r>
        <w:rPr>
          <w:rFonts w:hint="eastAsia" w:ascii="楷体_GB2312" w:hAnsi="楷体_GB2312" w:eastAsia="楷体_GB2312" w:cs="楷体_GB2312"/>
          <w:b/>
          <w:bCs/>
          <w:color w:val="auto"/>
          <w:spacing w:val="0"/>
          <w:sz w:val="32"/>
          <w:szCs w:val="32"/>
        </w:rPr>
        <w:t>氛围。</w:t>
      </w:r>
      <w:r>
        <w:rPr>
          <w:rFonts w:hint="eastAsia" w:ascii="仿宋_GB2312" w:hAnsi="Times New Roman" w:eastAsia="仿宋_GB2312" w:cs="Times New Roman"/>
          <w:snapToGrid/>
          <w:color w:val="auto"/>
          <w:kern w:val="2"/>
          <w:sz w:val="32"/>
          <w:szCs w:val="32"/>
          <w:lang w:val="en-US" w:eastAsia="zh-CN" w:bidi="ar-SA"/>
        </w:rPr>
        <w:t>各镇、各有关部门要</w:t>
      </w:r>
      <w:r>
        <w:rPr>
          <w:rFonts w:hint="eastAsia" w:ascii="仿宋_GB2312" w:hAnsi="仿宋_GB2312" w:eastAsia="仿宋_GB2312" w:cs="仿宋_GB2312"/>
          <w:color w:val="auto"/>
          <w:spacing w:val="0"/>
          <w:sz w:val="32"/>
          <w:szCs w:val="32"/>
        </w:rPr>
        <w:t>通过新媒体、</w:t>
      </w:r>
      <w:r>
        <w:rPr>
          <w:rFonts w:hint="eastAsia" w:ascii="仿宋_GB2312" w:hAnsi="仿宋_GB2312" w:eastAsia="仿宋_GB2312" w:cs="仿宋_GB2312"/>
          <w:color w:val="auto"/>
          <w:spacing w:val="0"/>
          <w:sz w:val="32"/>
          <w:szCs w:val="32"/>
          <w:lang w:val="en-US" w:eastAsia="zh-CN"/>
        </w:rPr>
        <w:t>送法入企</w:t>
      </w:r>
      <w:r>
        <w:rPr>
          <w:rFonts w:hint="eastAsia" w:ascii="仿宋_GB2312" w:hAnsi="仿宋_GB2312" w:eastAsia="仿宋_GB2312" w:cs="仿宋_GB2312"/>
          <w:color w:val="auto"/>
          <w:spacing w:val="0"/>
          <w:sz w:val="32"/>
          <w:szCs w:val="32"/>
        </w:rPr>
        <w:t>等“线上+线下”相结</w:t>
      </w:r>
      <w:r>
        <w:rPr>
          <w:rFonts w:hint="eastAsia" w:ascii="仿宋_GB2312" w:hAnsi="仿宋_GB2312" w:eastAsia="仿宋_GB2312" w:cs="仿宋_GB2312"/>
          <w:color w:val="auto"/>
          <w:spacing w:val="0"/>
          <w:sz w:val="32"/>
          <w:szCs w:val="32"/>
          <w:lang w:eastAsia="zh-CN"/>
        </w:rPr>
        <w:t>合的</w:t>
      </w:r>
      <w:r>
        <w:rPr>
          <w:rFonts w:hint="eastAsia" w:ascii="仿宋_GB2312" w:hAnsi="仿宋_GB2312" w:eastAsia="仿宋_GB2312" w:cs="仿宋_GB2312"/>
          <w:color w:val="auto"/>
          <w:spacing w:val="0"/>
          <w:sz w:val="32"/>
          <w:szCs w:val="32"/>
        </w:rPr>
        <w:t>方式，广泛宣传《保障农民工工资支付条例》等相关法规</w:t>
      </w:r>
      <w:r>
        <w:rPr>
          <w:rFonts w:hint="eastAsia" w:ascii="仿宋_GB2312" w:hAnsi="仿宋_GB2312" w:eastAsia="仿宋_GB2312" w:cs="仿宋_GB2312"/>
          <w:color w:val="auto"/>
          <w:spacing w:val="0"/>
          <w:sz w:val="32"/>
          <w:szCs w:val="32"/>
          <w:lang w:val="en-US" w:eastAsia="zh-CN"/>
        </w:rPr>
        <w:t>政策</w:t>
      </w:r>
      <w:r>
        <w:rPr>
          <w:rFonts w:hint="eastAsia" w:ascii="仿宋_GB2312" w:hAnsi="仿宋_GB2312" w:eastAsia="仿宋_GB2312" w:cs="仿宋_GB2312"/>
          <w:color w:val="auto"/>
          <w:spacing w:val="0"/>
          <w:sz w:val="32"/>
          <w:szCs w:val="32"/>
        </w:rPr>
        <w:t>，明晰保障工资支付相关责任及后果，促进各方认真履职尽责。深入开展</w:t>
      </w:r>
      <w:r>
        <w:rPr>
          <w:rFonts w:hint="eastAsia" w:ascii="仿宋_GB2312" w:hAnsi="仿宋_GB2312" w:eastAsia="仿宋_GB2312" w:cs="仿宋_GB2312"/>
          <w:color w:val="auto"/>
          <w:spacing w:val="0"/>
          <w:sz w:val="32"/>
          <w:szCs w:val="32"/>
          <w:lang w:val="en-US" w:eastAsia="zh-CN"/>
        </w:rPr>
        <w:t>法律</w:t>
      </w:r>
      <w:r>
        <w:rPr>
          <w:rFonts w:hint="eastAsia" w:ascii="仿宋_GB2312" w:hAnsi="仿宋_GB2312" w:eastAsia="仿宋_GB2312" w:cs="仿宋_GB2312"/>
          <w:color w:val="auto"/>
          <w:spacing w:val="0"/>
          <w:sz w:val="32"/>
          <w:szCs w:val="32"/>
        </w:rPr>
        <w:t>政策宣传进工地、进企业活动，引导用人单位增强依法用工、按时足额支付工资的法律意识，努力营造关心支持保障农民工工资支付的良好社会氛围。</w:t>
      </w:r>
    </w:p>
    <w:sectPr>
      <w:headerReference r:id="rId3" w:type="default"/>
      <w:footerReference r:id="rId4" w:type="default"/>
      <w:pgSz w:w="11906" w:h="16838"/>
      <w:pgMar w:top="2098" w:right="1474" w:bottom="1985" w:left="1587" w:header="851" w:footer="141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2EEE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-101600</wp:posOffset>
              </wp:positionV>
              <wp:extent cx="76835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83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1F21F">
                          <w:pPr>
                            <w:pStyle w:val="7"/>
                            <w:ind w:firstLine="280" w:firstLine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pt;height:144pt;width:60.5pt;mso-position-horizontal:outside;mso-position-horizontal-relative:margin;z-index:251659264;mso-width-relative:page;mso-height-relative:page;" filled="f" stroked="f" coordsize="21600,21600" o:gfxdata="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45nQHVAAAACAEAAA8AAAAAAAAAAQAgAAAAIgAAAGRycy9kb3ducmV2Lnht&#10;bFBLAQIUABQAAAAIAIdO4kAQTh/LNQIAAGIEAAAOAAAAAAAAAAEAIAAAACQBAABkcnMvZTJvRG9j&#10;LnhtbFBLBQYAAAAABgAGAFkBAADLBQAAAAA=&#10;">
              <v:fill on="f" focussize="0,0"/>
              <v:stroke on="f" weight="0.5pt"/>
              <v:imagedata o:title=""/>
              <o:lock v:ext="edit" aspectratio="f"/>
              <v:textbox inset="0mm,0mm,0mm,0mm" style="mso-fit-shape-to-text:t;">
                <w:txbxContent>
                  <w:p w14:paraId="0271F21F">
                    <w:pPr>
                      <w:pStyle w:val="7"/>
                      <w:ind w:firstLine="280" w:firstLine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8DE0">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MTdiNGNkMzAyMDUyMzk4MTQxZTI0NTVmYzE0ZTAifQ=="/>
  </w:docVars>
  <w:rsids>
    <w:rsidRoot w:val="008F30FA"/>
    <w:rsid w:val="000001C4"/>
    <w:rsid w:val="00000852"/>
    <w:rsid w:val="00001033"/>
    <w:rsid w:val="00003F53"/>
    <w:rsid w:val="000118E6"/>
    <w:rsid w:val="000134AB"/>
    <w:rsid w:val="00014706"/>
    <w:rsid w:val="00015019"/>
    <w:rsid w:val="00017426"/>
    <w:rsid w:val="0002019D"/>
    <w:rsid w:val="00020C7D"/>
    <w:rsid w:val="000213BC"/>
    <w:rsid w:val="00021D69"/>
    <w:rsid w:val="00026033"/>
    <w:rsid w:val="00026C7E"/>
    <w:rsid w:val="00030228"/>
    <w:rsid w:val="000324EE"/>
    <w:rsid w:val="00033179"/>
    <w:rsid w:val="0003598B"/>
    <w:rsid w:val="00035F93"/>
    <w:rsid w:val="000362DC"/>
    <w:rsid w:val="00036E1A"/>
    <w:rsid w:val="00037EB9"/>
    <w:rsid w:val="00040CA1"/>
    <w:rsid w:val="00042B88"/>
    <w:rsid w:val="00043C58"/>
    <w:rsid w:val="00043E84"/>
    <w:rsid w:val="0004627B"/>
    <w:rsid w:val="00050EA7"/>
    <w:rsid w:val="000515C1"/>
    <w:rsid w:val="00052D9D"/>
    <w:rsid w:val="000546D8"/>
    <w:rsid w:val="00054C7E"/>
    <w:rsid w:val="00055309"/>
    <w:rsid w:val="00057D50"/>
    <w:rsid w:val="00060DE2"/>
    <w:rsid w:val="00061210"/>
    <w:rsid w:val="0006364E"/>
    <w:rsid w:val="00066B74"/>
    <w:rsid w:val="00070389"/>
    <w:rsid w:val="00075670"/>
    <w:rsid w:val="00077302"/>
    <w:rsid w:val="00085ED9"/>
    <w:rsid w:val="00087AD7"/>
    <w:rsid w:val="00087C4A"/>
    <w:rsid w:val="00091227"/>
    <w:rsid w:val="00092796"/>
    <w:rsid w:val="00092ED0"/>
    <w:rsid w:val="00094123"/>
    <w:rsid w:val="000A13EA"/>
    <w:rsid w:val="000A3BBD"/>
    <w:rsid w:val="000A44FA"/>
    <w:rsid w:val="000A469F"/>
    <w:rsid w:val="000A558C"/>
    <w:rsid w:val="000A5AF7"/>
    <w:rsid w:val="000A7ACC"/>
    <w:rsid w:val="000B0281"/>
    <w:rsid w:val="000B3E24"/>
    <w:rsid w:val="000B4597"/>
    <w:rsid w:val="000B5228"/>
    <w:rsid w:val="000B5B2A"/>
    <w:rsid w:val="000B6304"/>
    <w:rsid w:val="000B70CC"/>
    <w:rsid w:val="000B7732"/>
    <w:rsid w:val="000B793D"/>
    <w:rsid w:val="000C134C"/>
    <w:rsid w:val="000C1C98"/>
    <w:rsid w:val="000C2235"/>
    <w:rsid w:val="000C58E4"/>
    <w:rsid w:val="000C6905"/>
    <w:rsid w:val="000C76BC"/>
    <w:rsid w:val="000D1329"/>
    <w:rsid w:val="000D1D48"/>
    <w:rsid w:val="000D256D"/>
    <w:rsid w:val="000D542A"/>
    <w:rsid w:val="000D6772"/>
    <w:rsid w:val="000D677C"/>
    <w:rsid w:val="000D76BC"/>
    <w:rsid w:val="000D7DA9"/>
    <w:rsid w:val="000E3850"/>
    <w:rsid w:val="000E3CF6"/>
    <w:rsid w:val="000E511B"/>
    <w:rsid w:val="000E52A2"/>
    <w:rsid w:val="000E6798"/>
    <w:rsid w:val="000E7CE8"/>
    <w:rsid w:val="000E7FF7"/>
    <w:rsid w:val="000F20D3"/>
    <w:rsid w:val="000F23B3"/>
    <w:rsid w:val="000F45BA"/>
    <w:rsid w:val="001013DC"/>
    <w:rsid w:val="001051EC"/>
    <w:rsid w:val="00106DD2"/>
    <w:rsid w:val="001105E0"/>
    <w:rsid w:val="001110CA"/>
    <w:rsid w:val="00112E4F"/>
    <w:rsid w:val="00115F45"/>
    <w:rsid w:val="00116309"/>
    <w:rsid w:val="00117765"/>
    <w:rsid w:val="001217FA"/>
    <w:rsid w:val="0012219D"/>
    <w:rsid w:val="00122536"/>
    <w:rsid w:val="0012394A"/>
    <w:rsid w:val="00124650"/>
    <w:rsid w:val="00124C97"/>
    <w:rsid w:val="00127341"/>
    <w:rsid w:val="0012740D"/>
    <w:rsid w:val="00130232"/>
    <w:rsid w:val="001326A6"/>
    <w:rsid w:val="001332FE"/>
    <w:rsid w:val="001343C3"/>
    <w:rsid w:val="0013597D"/>
    <w:rsid w:val="00135F7A"/>
    <w:rsid w:val="00140578"/>
    <w:rsid w:val="001406CC"/>
    <w:rsid w:val="00140F25"/>
    <w:rsid w:val="001442EE"/>
    <w:rsid w:val="0014450E"/>
    <w:rsid w:val="00144A69"/>
    <w:rsid w:val="00146E40"/>
    <w:rsid w:val="001477D3"/>
    <w:rsid w:val="00147DB8"/>
    <w:rsid w:val="00150B3D"/>
    <w:rsid w:val="001524CC"/>
    <w:rsid w:val="001525C1"/>
    <w:rsid w:val="00154CA8"/>
    <w:rsid w:val="00156A43"/>
    <w:rsid w:val="0015707E"/>
    <w:rsid w:val="00160ED0"/>
    <w:rsid w:val="00162E55"/>
    <w:rsid w:val="00164919"/>
    <w:rsid w:val="00165ADB"/>
    <w:rsid w:val="00165B02"/>
    <w:rsid w:val="00165F45"/>
    <w:rsid w:val="001661E1"/>
    <w:rsid w:val="0016675F"/>
    <w:rsid w:val="00166BA4"/>
    <w:rsid w:val="00167046"/>
    <w:rsid w:val="00167D3A"/>
    <w:rsid w:val="001704C0"/>
    <w:rsid w:val="00171A78"/>
    <w:rsid w:val="00171FD9"/>
    <w:rsid w:val="001723BD"/>
    <w:rsid w:val="00172E94"/>
    <w:rsid w:val="001740BA"/>
    <w:rsid w:val="001747CF"/>
    <w:rsid w:val="00181554"/>
    <w:rsid w:val="0018613A"/>
    <w:rsid w:val="00187060"/>
    <w:rsid w:val="00187125"/>
    <w:rsid w:val="001913C7"/>
    <w:rsid w:val="00191444"/>
    <w:rsid w:val="0019151D"/>
    <w:rsid w:val="00192D78"/>
    <w:rsid w:val="00195B6E"/>
    <w:rsid w:val="00195E05"/>
    <w:rsid w:val="00197845"/>
    <w:rsid w:val="001A19A3"/>
    <w:rsid w:val="001A3F22"/>
    <w:rsid w:val="001A3F62"/>
    <w:rsid w:val="001A498A"/>
    <w:rsid w:val="001A5879"/>
    <w:rsid w:val="001A594F"/>
    <w:rsid w:val="001B0CD2"/>
    <w:rsid w:val="001B33C1"/>
    <w:rsid w:val="001B4507"/>
    <w:rsid w:val="001C229A"/>
    <w:rsid w:val="001C3306"/>
    <w:rsid w:val="001C779A"/>
    <w:rsid w:val="001D089A"/>
    <w:rsid w:val="001D14C1"/>
    <w:rsid w:val="001D2914"/>
    <w:rsid w:val="001D2944"/>
    <w:rsid w:val="001D3163"/>
    <w:rsid w:val="001D3FC3"/>
    <w:rsid w:val="001D49F2"/>
    <w:rsid w:val="001D6E6A"/>
    <w:rsid w:val="001D71FE"/>
    <w:rsid w:val="001D7B17"/>
    <w:rsid w:val="001E02FE"/>
    <w:rsid w:val="001E1889"/>
    <w:rsid w:val="001E26CD"/>
    <w:rsid w:val="001E294E"/>
    <w:rsid w:val="001E6AF0"/>
    <w:rsid w:val="001E7212"/>
    <w:rsid w:val="001F17EF"/>
    <w:rsid w:val="001F6FA4"/>
    <w:rsid w:val="001F7932"/>
    <w:rsid w:val="00203588"/>
    <w:rsid w:val="002046C5"/>
    <w:rsid w:val="002105BB"/>
    <w:rsid w:val="002110D1"/>
    <w:rsid w:val="002164EB"/>
    <w:rsid w:val="002245E1"/>
    <w:rsid w:val="00225C84"/>
    <w:rsid w:val="00226CCE"/>
    <w:rsid w:val="00227EF7"/>
    <w:rsid w:val="00230BB8"/>
    <w:rsid w:val="00230D43"/>
    <w:rsid w:val="00230EC5"/>
    <w:rsid w:val="002359DA"/>
    <w:rsid w:val="00235C91"/>
    <w:rsid w:val="002368D3"/>
    <w:rsid w:val="00237414"/>
    <w:rsid w:val="002375F5"/>
    <w:rsid w:val="00240D14"/>
    <w:rsid w:val="002428F8"/>
    <w:rsid w:val="00242C2A"/>
    <w:rsid w:val="002449F7"/>
    <w:rsid w:val="002450B8"/>
    <w:rsid w:val="0024601E"/>
    <w:rsid w:val="002468D3"/>
    <w:rsid w:val="00250029"/>
    <w:rsid w:val="002502BD"/>
    <w:rsid w:val="00251270"/>
    <w:rsid w:val="00251DA2"/>
    <w:rsid w:val="0025301F"/>
    <w:rsid w:val="00253182"/>
    <w:rsid w:val="002537FB"/>
    <w:rsid w:val="002541CF"/>
    <w:rsid w:val="00260BDE"/>
    <w:rsid w:val="002614A8"/>
    <w:rsid w:val="00261955"/>
    <w:rsid w:val="00261BA7"/>
    <w:rsid w:val="002630D1"/>
    <w:rsid w:val="00265B82"/>
    <w:rsid w:val="00266BE0"/>
    <w:rsid w:val="00266FDE"/>
    <w:rsid w:val="00267C83"/>
    <w:rsid w:val="00271771"/>
    <w:rsid w:val="002734A0"/>
    <w:rsid w:val="002734E8"/>
    <w:rsid w:val="00274334"/>
    <w:rsid w:val="00274620"/>
    <w:rsid w:val="0027529C"/>
    <w:rsid w:val="00275319"/>
    <w:rsid w:val="00276D9A"/>
    <w:rsid w:val="00276F95"/>
    <w:rsid w:val="00277C60"/>
    <w:rsid w:val="0028566B"/>
    <w:rsid w:val="00286E6C"/>
    <w:rsid w:val="00287B22"/>
    <w:rsid w:val="002932AA"/>
    <w:rsid w:val="00293386"/>
    <w:rsid w:val="00295E9D"/>
    <w:rsid w:val="0029720E"/>
    <w:rsid w:val="002A1D0C"/>
    <w:rsid w:val="002A3B47"/>
    <w:rsid w:val="002A741F"/>
    <w:rsid w:val="002A7F44"/>
    <w:rsid w:val="002B1048"/>
    <w:rsid w:val="002B18C4"/>
    <w:rsid w:val="002B18D2"/>
    <w:rsid w:val="002B30B5"/>
    <w:rsid w:val="002B4D95"/>
    <w:rsid w:val="002B4FB1"/>
    <w:rsid w:val="002B5BF4"/>
    <w:rsid w:val="002B5DCD"/>
    <w:rsid w:val="002C1271"/>
    <w:rsid w:val="002C2510"/>
    <w:rsid w:val="002C2BA8"/>
    <w:rsid w:val="002C4CA0"/>
    <w:rsid w:val="002C683D"/>
    <w:rsid w:val="002C6DB9"/>
    <w:rsid w:val="002C7DB0"/>
    <w:rsid w:val="002D047B"/>
    <w:rsid w:val="002D13A5"/>
    <w:rsid w:val="002D6751"/>
    <w:rsid w:val="002D6917"/>
    <w:rsid w:val="002D7BD7"/>
    <w:rsid w:val="002E0A76"/>
    <w:rsid w:val="002E23B6"/>
    <w:rsid w:val="002F0EDA"/>
    <w:rsid w:val="002F21B1"/>
    <w:rsid w:val="002F4767"/>
    <w:rsid w:val="002F5DF4"/>
    <w:rsid w:val="002F6F68"/>
    <w:rsid w:val="002F73FB"/>
    <w:rsid w:val="00301B9B"/>
    <w:rsid w:val="00301C90"/>
    <w:rsid w:val="00302889"/>
    <w:rsid w:val="00303945"/>
    <w:rsid w:val="00305E81"/>
    <w:rsid w:val="0030650B"/>
    <w:rsid w:val="00306C20"/>
    <w:rsid w:val="003075B0"/>
    <w:rsid w:val="00310C88"/>
    <w:rsid w:val="00311B4F"/>
    <w:rsid w:val="003122D4"/>
    <w:rsid w:val="00312439"/>
    <w:rsid w:val="00313339"/>
    <w:rsid w:val="0031469E"/>
    <w:rsid w:val="00314DF2"/>
    <w:rsid w:val="00315788"/>
    <w:rsid w:val="003157B0"/>
    <w:rsid w:val="003157EC"/>
    <w:rsid w:val="00317522"/>
    <w:rsid w:val="00317F31"/>
    <w:rsid w:val="00325435"/>
    <w:rsid w:val="00326CE8"/>
    <w:rsid w:val="00327D92"/>
    <w:rsid w:val="00331927"/>
    <w:rsid w:val="003342BD"/>
    <w:rsid w:val="00334489"/>
    <w:rsid w:val="00334E26"/>
    <w:rsid w:val="00340753"/>
    <w:rsid w:val="00341C5E"/>
    <w:rsid w:val="00341F52"/>
    <w:rsid w:val="003431A5"/>
    <w:rsid w:val="00344C4D"/>
    <w:rsid w:val="00345752"/>
    <w:rsid w:val="00346077"/>
    <w:rsid w:val="0034632A"/>
    <w:rsid w:val="003503F7"/>
    <w:rsid w:val="00351D23"/>
    <w:rsid w:val="0035502F"/>
    <w:rsid w:val="003562D7"/>
    <w:rsid w:val="00356961"/>
    <w:rsid w:val="0035740C"/>
    <w:rsid w:val="003602C3"/>
    <w:rsid w:val="00360711"/>
    <w:rsid w:val="00360EDB"/>
    <w:rsid w:val="00363167"/>
    <w:rsid w:val="00363615"/>
    <w:rsid w:val="0036379C"/>
    <w:rsid w:val="0036504A"/>
    <w:rsid w:val="00367994"/>
    <w:rsid w:val="00372903"/>
    <w:rsid w:val="00372E24"/>
    <w:rsid w:val="00374162"/>
    <w:rsid w:val="00377BD9"/>
    <w:rsid w:val="00377EF8"/>
    <w:rsid w:val="003803B9"/>
    <w:rsid w:val="00382063"/>
    <w:rsid w:val="003822A6"/>
    <w:rsid w:val="0038394D"/>
    <w:rsid w:val="0038434A"/>
    <w:rsid w:val="00384B4E"/>
    <w:rsid w:val="003862D5"/>
    <w:rsid w:val="00386936"/>
    <w:rsid w:val="00386CE0"/>
    <w:rsid w:val="00387741"/>
    <w:rsid w:val="003879BA"/>
    <w:rsid w:val="00392335"/>
    <w:rsid w:val="00392707"/>
    <w:rsid w:val="00397432"/>
    <w:rsid w:val="003A0198"/>
    <w:rsid w:val="003A1758"/>
    <w:rsid w:val="003A25CA"/>
    <w:rsid w:val="003A4FCA"/>
    <w:rsid w:val="003A6A20"/>
    <w:rsid w:val="003B027E"/>
    <w:rsid w:val="003B0CE3"/>
    <w:rsid w:val="003B2983"/>
    <w:rsid w:val="003B3074"/>
    <w:rsid w:val="003B58EC"/>
    <w:rsid w:val="003B74D2"/>
    <w:rsid w:val="003C0775"/>
    <w:rsid w:val="003C0E90"/>
    <w:rsid w:val="003C38CF"/>
    <w:rsid w:val="003C5B5D"/>
    <w:rsid w:val="003C7032"/>
    <w:rsid w:val="003C72E1"/>
    <w:rsid w:val="003D48B6"/>
    <w:rsid w:val="003D5204"/>
    <w:rsid w:val="003D6DB8"/>
    <w:rsid w:val="003E064C"/>
    <w:rsid w:val="003E2317"/>
    <w:rsid w:val="003E2C22"/>
    <w:rsid w:val="003E2E4A"/>
    <w:rsid w:val="003E3013"/>
    <w:rsid w:val="003E30F9"/>
    <w:rsid w:val="003E42AB"/>
    <w:rsid w:val="003E571B"/>
    <w:rsid w:val="003E7486"/>
    <w:rsid w:val="003E7AC9"/>
    <w:rsid w:val="003E7FA4"/>
    <w:rsid w:val="003F107A"/>
    <w:rsid w:val="003F35E0"/>
    <w:rsid w:val="003F36FF"/>
    <w:rsid w:val="003F444A"/>
    <w:rsid w:val="003F452A"/>
    <w:rsid w:val="003F4546"/>
    <w:rsid w:val="003F64F3"/>
    <w:rsid w:val="003F64F5"/>
    <w:rsid w:val="003F6E9F"/>
    <w:rsid w:val="00400B98"/>
    <w:rsid w:val="00403842"/>
    <w:rsid w:val="00404385"/>
    <w:rsid w:val="0040482D"/>
    <w:rsid w:val="00406261"/>
    <w:rsid w:val="0040649E"/>
    <w:rsid w:val="00406A55"/>
    <w:rsid w:val="00411D6D"/>
    <w:rsid w:val="00413331"/>
    <w:rsid w:val="00414074"/>
    <w:rsid w:val="00414F87"/>
    <w:rsid w:val="0041543E"/>
    <w:rsid w:val="00415B13"/>
    <w:rsid w:val="004164E6"/>
    <w:rsid w:val="00417A30"/>
    <w:rsid w:val="00420C3B"/>
    <w:rsid w:val="0042146D"/>
    <w:rsid w:val="004222EB"/>
    <w:rsid w:val="00422523"/>
    <w:rsid w:val="00423787"/>
    <w:rsid w:val="00423D4C"/>
    <w:rsid w:val="0042625F"/>
    <w:rsid w:val="00426BE6"/>
    <w:rsid w:val="00427E24"/>
    <w:rsid w:val="00430050"/>
    <w:rsid w:val="004300C4"/>
    <w:rsid w:val="00430315"/>
    <w:rsid w:val="00432563"/>
    <w:rsid w:val="00432ADA"/>
    <w:rsid w:val="00434A17"/>
    <w:rsid w:val="004358F7"/>
    <w:rsid w:val="004359E4"/>
    <w:rsid w:val="00435CBD"/>
    <w:rsid w:val="00436594"/>
    <w:rsid w:val="0043786D"/>
    <w:rsid w:val="00442000"/>
    <w:rsid w:val="00442C80"/>
    <w:rsid w:val="00442CD2"/>
    <w:rsid w:val="00443884"/>
    <w:rsid w:val="0044508C"/>
    <w:rsid w:val="00450CC0"/>
    <w:rsid w:val="004514AE"/>
    <w:rsid w:val="004514DC"/>
    <w:rsid w:val="00452CCB"/>
    <w:rsid w:val="0045373E"/>
    <w:rsid w:val="00455F8B"/>
    <w:rsid w:val="00456766"/>
    <w:rsid w:val="00460074"/>
    <w:rsid w:val="00462452"/>
    <w:rsid w:val="00464AAE"/>
    <w:rsid w:val="0046612D"/>
    <w:rsid w:val="004667F7"/>
    <w:rsid w:val="0046714D"/>
    <w:rsid w:val="00467BDD"/>
    <w:rsid w:val="0047084A"/>
    <w:rsid w:val="00471D4A"/>
    <w:rsid w:val="00471E4A"/>
    <w:rsid w:val="00480128"/>
    <w:rsid w:val="004801A2"/>
    <w:rsid w:val="00481357"/>
    <w:rsid w:val="00481EB9"/>
    <w:rsid w:val="004833B5"/>
    <w:rsid w:val="0048507C"/>
    <w:rsid w:val="00485338"/>
    <w:rsid w:val="00485508"/>
    <w:rsid w:val="004856B0"/>
    <w:rsid w:val="004865D2"/>
    <w:rsid w:val="00486CEE"/>
    <w:rsid w:val="00487301"/>
    <w:rsid w:val="00492E49"/>
    <w:rsid w:val="00494115"/>
    <w:rsid w:val="00494E51"/>
    <w:rsid w:val="00496BFC"/>
    <w:rsid w:val="004A1F68"/>
    <w:rsid w:val="004A1F88"/>
    <w:rsid w:val="004A2136"/>
    <w:rsid w:val="004A403F"/>
    <w:rsid w:val="004A4EFE"/>
    <w:rsid w:val="004A588D"/>
    <w:rsid w:val="004A6F70"/>
    <w:rsid w:val="004A7CA2"/>
    <w:rsid w:val="004B140E"/>
    <w:rsid w:val="004B461C"/>
    <w:rsid w:val="004B6A5C"/>
    <w:rsid w:val="004C02DA"/>
    <w:rsid w:val="004C03DA"/>
    <w:rsid w:val="004C1BD6"/>
    <w:rsid w:val="004C2158"/>
    <w:rsid w:val="004C2980"/>
    <w:rsid w:val="004C37EA"/>
    <w:rsid w:val="004C3EE5"/>
    <w:rsid w:val="004C4026"/>
    <w:rsid w:val="004C4A7F"/>
    <w:rsid w:val="004C53A0"/>
    <w:rsid w:val="004C7653"/>
    <w:rsid w:val="004D0A62"/>
    <w:rsid w:val="004D0B6B"/>
    <w:rsid w:val="004D1502"/>
    <w:rsid w:val="004D2215"/>
    <w:rsid w:val="004E00C4"/>
    <w:rsid w:val="004E14EB"/>
    <w:rsid w:val="004E1953"/>
    <w:rsid w:val="004E288D"/>
    <w:rsid w:val="004E349B"/>
    <w:rsid w:val="004E4789"/>
    <w:rsid w:val="004E57A5"/>
    <w:rsid w:val="004E71F0"/>
    <w:rsid w:val="004E7B3F"/>
    <w:rsid w:val="004E7F4C"/>
    <w:rsid w:val="004F206B"/>
    <w:rsid w:val="004F277D"/>
    <w:rsid w:val="004F600C"/>
    <w:rsid w:val="004F646F"/>
    <w:rsid w:val="004F6621"/>
    <w:rsid w:val="00500C14"/>
    <w:rsid w:val="00505411"/>
    <w:rsid w:val="00510464"/>
    <w:rsid w:val="0051225B"/>
    <w:rsid w:val="005123D0"/>
    <w:rsid w:val="00512F20"/>
    <w:rsid w:val="0051705B"/>
    <w:rsid w:val="00517D96"/>
    <w:rsid w:val="00520EF9"/>
    <w:rsid w:val="00522229"/>
    <w:rsid w:val="00522505"/>
    <w:rsid w:val="00522998"/>
    <w:rsid w:val="00522FB8"/>
    <w:rsid w:val="0052307C"/>
    <w:rsid w:val="00523D92"/>
    <w:rsid w:val="005245E7"/>
    <w:rsid w:val="00525E3A"/>
    <w:rsid w:val="00531DC6"/>
    <w:rsid w:val="00535580"/>
    <w:rsid w:val="00535E86"/>
    <w:rsid w:val="005361C8"/>
    <w:rsid w:val="00541B38"/>
    <w:rsid w:val="00544855"/>
    <w:rsid w:val="00545002"/>
    <w:rsid w:val="00545B99"/>
    <w:rsid w:val="0055103D"/>
    <w:rsid w:val="00551BBC"/>
    <w:rsid w:val="00553817"/>
    <w:rsid w:val="00553AE2"/>
    <w:rsid w:val="00553C81"/>
    <w:rsid w:val="00554B43"/>
    <w:rsid w:val="00555C5F"/>
    <w:rsid w:val="00555CA4"/>
    <w:rsid w:val="005563CB"/>
    <w:rsid w:val="00561ED8"/>
    <w:rsid w:val="005633C3"/>
    <w:rsid w:val="00566020"/>
    <w:rsid w:val="00566258"/>
    <w:rsid w:val="005711B7"/>
    <w:rsid w:val="00571ECE"/>
    <w:rsid w:val="00573024"/>
    <w:rsid w:val="00573621"/>
    <w:rsid w:val="005738E2"/>
    <w:rsid w:val="00574330"/>
    <w:rsid w:val="00574903"/>
    <w:rsid w:val="00575A3E"/>
    <w:rsid w:val="00575B53"/>
    <w:rsid w:val="00581124"/>
    <w:rsid w:val="00581534"/>
    <w:rsid w:val="00581589"/>
    <w:rsid w:val="005832CB"/>
    <w:rsid w:val="00583510"/>
    <w:rsid w:val="00583C1F"/>
    <w:rsid w:val="00584D21"/>
    <w:rsid w:val="0058721E"/>
    <w:rsid w:val="00590F11"/>
    <w:rsid w:val="0059123D"/>
    <w:rsid w:val="00591E74"/>
    <w:rsid w:val="00593C1B"/>
    <w:rsid w:val="00593C4C"/>
    <w:rsid w:val="005940E5"/>
    <w:rsid w:val="00596869"/>
    <w:rsid w:val="005A0B74"/>
    <w:rsid w:val="005A3026"/>
    <w:rsid w:val="005A370C"/>
    <w:rsid w:val="005A3FAD"/>
    <w:rsid w:val="005A6583"/>
    <w:rsid w:val="005A65B4"/>
    <w:rsid w:val="005A6A2B"/>
    <w:rsid w:val="005B0E83"/>
    <w:rsid w:val="005B143E"/>
    <w:rsid w:val="005B2FD3"/>
    <w:rsid w:val="005B3C38"/>
    <w:rsid w:val="005B78FD"/>
    <w:rsid w:val="005C0035"/>
    <w:rsid w:val="005C0C47"/>
    <w:rsid w:val="005C2816"/>
    <w:rsid w:val="005C2A68"/>
    <w:rsid w:val="005C3623"/>
    <w:rsid w:val="005C4EDF"/>
    <w:rsid w:val="005C5580"/>
    <w:rsid w:val="005C57F2"/>
    <w:rsid w:val="005C7276"/>
    <w:rsid w:val="005D0844"/>
    <w:rsid w:val="005D17D5"/>
    <w:rsid w:val="005D1CBC"/>
    <w:rsid w:val="005D1DDE"/>
    <w:rsid w:val="005D53DD"/>
    <w:rsid w:val="005D5A39"/>
    <w:rsid w:val="005D600C"/>
    <w:rsid w:val="005D6454"/>
    <w:rsid w:val="005D6929"/>
    <w:rsid w:val="005D6AB5"/>
    <w:rsid w:val="005D6FF4"/>
    <w:rsid w:val="005D7F64"/>
    <w:rsid w:val="005E114A"/>
    <w:rsid w:val="005E368D"/>
    <w:rsid w:val="005E7953"/>
    <w:rsid w:val="005E7F0E"/>
    <w:rsid w:val="005F1F79"/>
    <w:rsid w:val="005F4954"/>
    <w:rsid w:val="00604E4D"/>
    <w:rsid w:val="00605928"/>
    <w:rsid w:val="00606931"/>
    <w:rsid w:val="00610313"/>
    <w:rsid w:val="00610A9B"/>
    <w:rsid w:val="00611861"/>
    <w:rsid w:val="006129BA"/>
    <w:rsid w:val="00613FCA"/>
    <w:rsid w:val="006144C0"/>
    <w:rsid w:val="00621124"/>
    <w:rsid w:val="006228EE"/>
    <w:rsid w:val="00624C7B"/>
    <w:rsid w:val="00625E4F"/>
    <w:rsid w:val="006271AB"/>
    <w:rsid w:val="00627B45"/>
    <w:rsid w:val="0063040F"/>
    <w:rsid w:val="0063286E"/>
    <w:rsid w:val="0063333A"/>
    <w:rsid w:val="00634F3F"/>
    <w:rsid w:val="00635100"/>
    <w:rsid w:val="00636E69"/>
    <w:rsid w:val="0064193D"/>
    <w:rsid w:val="00643560"/>
    <w:rsid w:val="00643DA2"/>
    <w:rsid w:val="006440C0"/>
    <w:rsid w:val="006444E8"/>
    <w:rsid w:val="00644B89"/>
    <w:rsid w:val="00644BDC"/>
    <w:rsid w:val="006451E6"/>
    <w:rsid w:val="0064549C"/>
    <w:rsid w:val="00646F63"/>
    <w:rsid w:val="00647E41"/>
    <w:rsid w:val="00647E8F"/>
    <w:rsid w:val="00650B10"/>
    <w:rsid w:val="00651028"/>
    <w:rsid w:val="00651AE5"/>
    <w:rsid w:val="00654A64"/>
    <w:rsid w:val="006554FD"/>
    <w:rsid w:val="006567EB"/>
    <w:rsid w:val="00660BE5"/>
    <w:rsid w:val="00661D8F"/>
    <w:rsid w:val="00663D59"/>
    <w:rsid w:val="006645E4"/>
    <w:rsid w:val="00665A15"/>
    <w:rsid w:val="0066698F"/>
    <w:rsid w:val="006672CC"/>
    <w:rsid w:val="0066780A"/>
    <w:rsid w:val="0067280B"/>
    <w:rsid w:val="006733DD"/>
    <w:rsid w:val="00673DEA"/>
    <w:rsid w:val="00674710"/>
    <w:rsid w:val="006748D8"/>
    <w:rsid w:val="006748F1"/>
    <w:rsid w:val="00674ACC"/>
    <w:rsid w:val="00674D9B"/>
    <w:rsid w:val="0067695D"/>
    <w:rsid w:val="00680260"/>
    <w:rsid w:val="006803B0"/>
    <w:rsid w:val="0068058D"/>
    <w:rsid w:val="0068239A"/>
    <w:rsid w:val="006831C8"/>
    <w:rsid w:val="0068766F"/>
    <w:rsid w:val="00690B7B"/>
    <w:rsid w:val="0069382E"/>
    <w:rsid w:val="00693C89"/>
    <w:rsid w:val="00693EF2"/>
    <w:rsid w:val="00694DAF"/>
    <w:rsid w:val="00695DD1"/>
    <w:rsid w:val="00697F3B"/>
    <w:rsid w:val="006A1532"/>
    <w:rsid w:val="006A2EFD"/>
    <w:rsid w:val="006A4A8F"/>
    <w:rsid w:val="006A518A"/>
    <w:rsid w:val="006A6226"/>
    <w:rsid w:val="006A693E"/>
    <w:rsid w:val="006A6E60"/>
    <w:rsid w:val="006A7072"/>
    <w:rsid w:val="006A7AD5"/>
    <w:rsid w:val="006B32F2"/>
    <w:rsid w:val="006B3D80"/>
    <w:rsid w:val="006B4473"/>
    <w:rsid w:val="006B6C2B"/>
    <w:rsid w:val="006C00A8"/>
    <w:rsid w:val="006C1742"/>
    <w:rsid w:val="006C28DB"/>
    <w:rsid w:val="006C541C"/>
    <w:rsid w:val="006C5E56"/>
    <w:rsid w:val="006C6B61"/>
    <w:rsid w:val="006C6BD3"/>
    <w:rsid w:val="006C6FEC"/>
    <w:rsid w:val="006C72C9"/>
    <w:rsid w:val="006D2960"/>
    <w:rsid w:val="006D2CC6"/>
    <w:rsid w:val="006D5B28"/>
    <w:rsid w:val="006D5D3A"/>
    <w:rsid w:val="006D7D9C"/>
    <w:rsid w:val="006E05DD"/>
    <w:rsid w:val="006E13C0"/>
    <w:rsid w:val="006E4E73"/>
    <w:rsid w:val="006E4FD0"/>
    <w:rsid w:val="006E787D"/>
    <w:rsid w:val="006F0627"/>
    <w:rsid w:val="006F0751"/>
    <w:rsid w:val="006F08E3"/>
    <w:rsid w:val="006F24F7"/>
    <w:rsid w:val="006F4092"/>
    <w:rsid w:val="00700397"/>
    <w:rsid w:val="00700CCA"/>
    <w:rsid w:val="00701E3A"/>
    <w:rsid w:val="007040C8"/>
    <w:rsid w:val="00704622"/>
    <w:rsid w:val="00707162"/>
    <w:rsid w:val="00707F1D"/>
    <w:rsid w:val="0071090F"/>
    <w:rsid w:val="00710A49"/>
    <w:rsid w:val="007124F2"/>
    <w:rsid w:val="0071380C"/>
    <w:rsid w:val="00713FF8"/>
    <w:rsid w:val="007168E0"/>
    <w:rsid w:val="00720E43"/>
    <w:rsid w:val="0072336F"/>
    <w:rsid w:val="007276D8"/>
    <w:rsid w:val="00732CE4"/>
    <w:rsid w:val="00733B72"/>
    <w:rsid w:val="007346B5"/>
    <w:rsid w:val="0073571B"/>
    <w:rsid w:val="00735789"/>
    <w:rsid w:val="007363E6"/>
    <w:rsid w:val="00736D57"/>
    <w:rsid w:val="0073749F"/>
    <w:rsid w:val="00740690"/>
    <w:rsid w:val="00741F5F"/>
    <w:rsid w:val="00745BC3"/>
    <w:rsid w:val="00747B1A"/>
    <w:rsid w:val="00747BFD"/>
    <w:rsid w:val="00747C7A"/>
    <w:rsid w:val="00754848"/>
    <w:rsid w:val="007564A6"/>
    <w:rsid w:val="00756858"/>
    <w:rsid w:val="00757D6B"/>
    <w:rsid w:val="007609BB"/>
    <w:rsid w:val="00760E90"/>
    <w:rsid w:val="007623B0"/>
    <w:rsid w:val="007627AA"/>
    <w:rsid w:val="007643B7"/>
    <w:rsid w:val="00764BD0"/>
    <w:rsid w:val="0076636E"/>
    <w:rsid w:val="007712B1"/>
    <w:rsid w:val="00771ACA"/>
    <w:rsid w:val="00771F98"/>
    <w:rsid w:val="00772354"/>
    <w:rsid w:val="00772552"/>
    <w:rsid w:val="00773CF6"/>
    <w:rsid w:val="00774D58"/>
    <w:rsid w:val="00777E53"/>
    <w:rsid w:val="007816E0"/>
    <w:rsid w:val="00782EA2"/>
    <w:rsid w:val="0078470A"/>
    <w:rsid w:val="00785333"/>
    <w:rsid w:val="00785C16"/>
    <w:rsid w:val="00786202"/>
    <w:rsid w:val="00786357"/>
    <w:rsid w:val="00786FAA"/>
    <w:rsid w:val="00787C33"/>
    <w:rsid w:val="007907E4"/>
    <w:rsid w:val="00791C8B"/>
    <w:rsid w:val="00791CEA"/>
    <w:rsid w:val="00794D51"/>
    <w:rsid w:val="00796689"/>
    <w:rsid w:val="007A0C35"/>
    <w:rsid w:val="007A2626"/>
    <w:rsid w:val="007A2C30"/>
    <w:rsid w:val="007A3563"/>
    <w:rsid w:val="007A612C"/>
    <w:rsid w:val="007A691F"/>
    <w:rsid w:val="007B0117"/>
    <w:rsid w:val="007B2219"/>
    <w:rsid w:val="007B35F8"/>
    <w:rsid w:val="007B5BCC"/>
    <w:rsid w:val="007C0498"/>
    <w:rsid w:val="007C0CD8"/>
    <w:rsid w:val="007C4B33"/>
    <w:rsid w:val="007C5993"/>
    <w:rsid w:val="007C62A0"/>
    <w:rsid w:val="007C7536"/>
    <w:rsid w:val="007C7EDD"/>
    <w:rsid w:val="007D3C87"/>
    <w:rsid w:val="007D4059"/>
    <w:rsid w:val="007D42AE"/>
    <w:rsid w:val="007D4D0F"/>
    <w:rsid w:val="007D4F02"/>
    <w:rsid w:val="007D5AFB"/>
    <w:rsid w:val="007D674F"/>
    <w:rsid w:val="007E0291"/>
    <w:rsid w:val="007E04A7"/>
    <w:rsid w:val="007E0DC5"/>
    <w:rsid w:val="007E2340"/>
    <w:rsid w:val="007E3C66"/>
    <w:rsid w:val="007E480F"/>
    <w:rsid w:val="007E5410"/>
    <w:rsid w:val="007E619F"/>
    <w:rsid w:val="007F04EB"/>
    <w:rsid w:val="007F1A86"/>
    <w:rsid w:val="007F339E"/>
    <w:rsid w:val="007F3762"/>
    <w:rsid w:val="007F463A"/>
    <w:rsid w:val="007F4E45"/>
    <w:rsid w:val="007F5C37"/>
    <w:rsid w:val="007F6E59"/>
    <w:rsid w:val="007F7B61"/>
    <w:rsid w:val="0080013A"/>
    <w:rsid w:val="00800BFF"/>
    <w:rsid w:val="008020EF"/>
    <w:rsid w:val="008027F2"/>
    <w:rsid w:val="0080282A"/>
    <w:rsid w:val="00802A3C"/>
    <w:rsid w:val="00803100"/>
    <w:rsid w:val="0080379A"/>
    <w:rsid w:val="0080719A"/>
    <w:rsid w:val="0080730B"/>
    <w:rsid w:val="008079B5"/>
    <w:rsid w:val="00811378"/>
    <w:rsid w:val="00811B75"/>
    <w:rsid w:val="00815590"/>
    <w:rsid w:val="00815D54"/>
    <w:rsid w:val="00816206"/>
    <w:rsid w:val="0081754F"/>
    <w:rsid w:val="00827856"/>
    <w:rsid w:val="00830180"/>
    <w:rsid w:val="00833A01"/>
    <w:rsid w:val="00834B75"/>
    <w:rsid w:val="008362AC"/>
    <w:rsid w:val="00836F4A"/>
    <w:rsid w:val="00840B05"/>
    <w:rsid w:val="0084105B"/>
    <w:rsid w:val="008420AF"/>
    <w:rsid w:val="00842842"/>
    <w:rsid w:val="0084360A"/>
    <w:rsid w:val="00843E93"/>
    <w:rsid w:val="00844774"/>
    <w:rsid w:val="00846D72"/>
    <w:rsid w:val="00850258"/>
    <w:rsid w:val="00850A78"/>
    <w:rsid w:val="00850BD2"/>
    <w:rsid w:val="0085156D"/>
    <w:rsid w:val="0085551F"/>
    <w:rsid w:val="008563CD"/>
    <w:rsid w:val="00856D89"/>
    <w:rsid w:val="00857412"/>
    <w:rsid w:val="00860A98"/>
    <w:rsid w:val="00862F95"/>
    <w:rsid w:val="0086416F"/>
    <w:rsid w:val="008659D7"/>
    <w:rsid w:val="00865E12"/>
    <w:rsid w:val="00867640"/>
    <w:rsid w:val="008676E2"/>
    <w:rsid w:val="00870EFC"/>
    <w:rsid w:val="00871EF9"/>
    <w:rsid w:val="00872C78"/>
    <w:rsid w:val="0087354F"/>
    <w:rsid w:val="00874A27"/>
    <w:rsid w:val="008750DA"/>
    <w:rsid w:val="0087565B"/>
    <w:rsid w:val="008760B8"/>
    <w:rsid w:val="00883F93"/>
    <w:rsid w:val="008849EA"/>
    <w:rsid w:val="00884A96"/>
    <w:rsid w:val="00885DD2"/>
    <w:rsid w:val="00885E10"/>
    <w:rsid w:val="0088620E"/>
    <w:rsid w:val="00887BFA"/>
    <w:rsid w:val="00890198"/>
    <w:rsid w:val="008905DE"/>
    <w:rsid w:val="00891A7A"/>
    <w:rsid w:val="00891F89"/>
    <w:rsid w:val="00895785"/>
    <w:rsid w:val="00895E80"/>
    <w:rsid w:val="00896847"/>
    <w:rsid w:val="00896B6B"/>
    <w:rsid w:val="008A1123"/>
    <w:rsid w:val="008A2A5D"/>
    <w:rsid w:val="008A2ED7"/>
    <w:rsid w:val="008A368D"/>
    <w:rsid w:val="008A4E4E"/>
    <w:rsid w:val="008A57D0"/>
    <w:rsid w:val="008B04CE"/>
    <w:rsid w:val="008B216A"/>
    <w:rsid w:val="008B29D7"/>
    <w:rsid w:val="008B3E31"/>
    <w:rsid w:val="008B44C5"/>
    <w:rsid w:val="008B734E"/>
    <w:rsid w:val="008B7B10"/>
    <w:rsid w:val="008C37D3"/>
    <w:rsid w:val="008C7463"/>
    <w:rsid w:val="008C7F25"/>
    <w:rsid w:val="008D2A2F"/>
    <w:rsid w:val="008D2CEE"/>
    <w:rsid w:val="008D4071"/>
    <w:rsid w:val="008D5A81"/>
    <w:rsid w:val="008E0122"/>
    <w:rsid w:val="008E2543"/>
    <w:rsid w:val="008E330A"/>
    <w:rsid w:val="008E349C"/>
    <w:rsid w:val="008E38FC"/>
    <w:rsid w:val="008E646B"/>
    <w:rsid w:val="008E6975"/>
    <w:rsid w:val="008F03DB"/>
    <w:rsid w:val="008F192C"/>
    <w:rsid w:val="008F1A60"/>
    <w:rsid w:val="008F2EAD"/>
    <w:rsid w:val="008F30FA"/>
    <w:rsid w:val="008F3286"/>
    <w:rsid w:val="008F5099"/>
    <w:rsid w:val="008F58A6"/>
    <w:rsid w:val="008F5B6D"/>
    <w:rsid w:val="008F6564"/>
    <w:rsid w:val="008F7D72"/>
    <w:rsid w:val="00901ABF"/>
    <w:rsid w:val="00901D72"/>
    <w:rsid w:val="009025EF"/>
    <w:rsid w:val="00902F82"/>
    <w:rsid w:val="00903D02"/>
    <w:rsid w:val="0090456A"/>
    <w:rsid w:val="0090483F"/>
    <w:rsid w:val="00912356"/>
    <w:rsid w:val="009126B5"/>
    <w:rsid w:val="00912E3E"/>
    <w:rsid w:val="00914766"/>
    <w:rsid w:val="0091681C"/>
    <w:rsid w:val="00917D6B"/>
    <w:rsid w:val="009205D8"/>
    <w:rsid w:val="00920A3A"/>
    <w:rsid w:val="00920B09"/>
    <w:rsid w:val="009225A7"/>
    <w:rsid w:val="0092332D"/>
    <w:rsid w:val="00923AF9"/>
    <w:rsid w:val="00923E2E"/>
    <w:rsid w:val="00924E57"/>
    <w:rsid w:val="009272E6"/>
    <w:rsid w:val="00927727"/>
    <w:rsid w:val="00931E4F"/>
    <w:rsid w:val="00932CFA"/>
    <w:rsid w:val="00935906"/>
    <w:rsid w:val="009417D0"/>
    <w:rsid w:val="0094327F"/>
    <w:rsid w:val="00944AD4"/>
    <w:rsid w:val="00945B8B"/>
    <w:rsid w:val="00947460"/>
    <w:rsid w:val="0094748F"/>
    <w:rsid w:val="009523CF"/>
    <w:rsid w:val="00954067"/>
    <w:rsid w:val="009544EE"/>
    <w:rsid w:val="00955949"/>
    <w:rsid w:val="0096035B"/>
    <w:rsid w:val="0096194E"/>
    <w:rsid w:val="0096460E"/>
    <w:rsid w:val="00966D1C"/>
    <w:rsid w:val="0097308E"/>
    <w:rsid w:val="00974E7D"/>
    <w:rsid w:val="00975553"/>
    <w:rsid w:val="00976FB3"/>
    <w:rsid w:val="00977C5D"/>
    <w:rsid w:val="00982016"/>
    <w:rsid w:val="009831CE"/>
    <w:rsid w:val="00983989"/>
    <w:rsid w:val="009845D9"/>
    <w:rsid w:val="0098565A"/>
    <w:rsid w:val="0098722E"/>
    <w:rsid w:val="00990286"/>
    <w:rsid w:val="009904CE"/>
    <w:rsid w:val="00990694"/>
    <w:rsid w:val="009923E2"/>
    <w:rsid w:val="00992A7A"/>
    <w:rsid w:val="00993790"/>
    <w:rsid w:val="00993D81"/>
    <w:rsid w:val="00994285"/>
    <w:rsid w:val="0099548C"/>
    <w:rsid w:val="009959C6"/>
    <w:rsid w:val="00995E14"/>
    <w:rsid w:val="009A0DF4"/>
    <w:rsid w:val="009A1870"/>
    <w:rsid w:val="009A3E04"/>
    <w:rsid w:val="009A607A"/>
    <w:rsid w:val="009B123B"/>
    <w:rsid w:val="009B38EA"/>
    <w:rsid w:val="009B4AE1"/>
    <w:rsid w:val="009B7283"/>
    <w:rsid w:val="009B7312"/>
    <w:rsid w:val="009B7B5F"/>
    <w:rsid w:val="009C05B7"/>
    <w:rsid w:val="009C2195"/>
    <w:rsid w:val="009C3068"/>
    <w:rsid w:val="009C6295"/>
    <w:rsid w:val="009D4CC4"/>
    <w:rsid w:val="009D4E38"/>
    <w:rsid w:val="009D4F10"/>
    <w:rsid w:val="009D5867"/>
    <w:rsid w:val="009D6298"/>
    <w:rsid w:val="009D6E45"/>
    <w:rsid w:val="009D7161"/>
    <w:rsid w:val="009D7389"/>
    <w:rsid w:val="009E165B"/>
    <w:rsid w:val="009E18CB"/>
    <w:rsid w:val="009E60D5"/>
    <w:rsid w:val="009F099A"/>
    <w:rsid w:val="009F0E86"/>
    <w:rsid w:val="009F1803"/>
    <w:rsid w:val="009F2E71"/>
    <w:rsid w:val="009F47AC"/>
    <w:rsid w:val="009F4B7A"/>
    <w:rsid w:val="009F51AA"/>
    <w:rsid w:val="009F5743"/>
    <w:rsid w:val="009F68F1"/>
    <w:rsid w:val="009F74AD"/>
    <w:rsid w:val="009F7815"/>
    <w:rsid w:val="009F7B73"/>
    <w:rsid w:val="00A0024A"/>
    <w:rsid w:val="00A002D5"/>
    <w:rsid w:val="00A00516"/>
    <w:rsid w:val="00A01905"/>
    <w:rsid w:val="00A024E5"/>
    <w:rsid w:val="00A02510"/>
    <w:rsid w:val="00A0350A"/>
    <w:rsid w:val="00A04537"/>
    <w:rsid w:val="00A0627D"/>
    <w:rsid w:val="00A1028C"/>
    <w:rsid w:val="00A1344F"/>
    <w:rsid w:val="00A146F8"/>
    <w:rsid w:val="00A15230"/>
    <w:rsid w:val="00A16301"/>
    <w:rsid w:val="00A176A3"/>
    <w:rsid w:val="00A245E7"/>
    <w:rsid w:val="00A316B7"/>
    <w:rsid w:val="00A31AB6"/>
    <w:rsid w:val="00A32A29"/>
    <w:rsid w:val="00A43387"/>
    <w:rsid w:val="00A508E8"/>
    <w:rsid w:val="00A51363"/>
    <w:rsid w:val="00A51AC3"/>
    <w:rsid w:val="00A527A6"/>
    <w:rsid w:val="00A60AD3"/>
    <w:rsid w:val="00A62762"/>
    <w:rsid w:val="00A64664"/>
    <w:rsid w:val="00A651B5"/>
    <w:rsid w:val="00A65708"/>
    <w:rsid w:val="00A659C9"/>
    <w:rsid w:val="00A65FE8"/>
    <w:rsid w:val="00A67434"/>
    <w:rsid w:val="00A678E0"/>
    <w:rsid w:val="00A70039"/>
    <w:rsid w:val="00A70118"/>
    <w:rsid w:val="00A72299"/>
    <w:rsid w:val="00A722FB"/>
    <w:rsid w:val="00A73591"/>
    <w:rsid w:val="00A7417C"/>
    <w:rsid w:val="00A74671"/>
    <w:rsid w:val="00A74B77"/>
    <w:rsid w:val="00A74BA2"/>
    <w:rsid w:val="00A81691"/>
    <w:rsid w:val="00A843B3"/>
    <w:rsid w:val="00A90FAF"/>
    <w:rsid w:val="00A918B5"/>
    <w:rsid w:val="00A918E5"/>
    <w:rsid w:val="00A937D5"/>
    <w:rsid w:val="00A953BB"/>
    <w:rsid w:val="00A973FA"/>
    <w:rsid w:val="00AA24A8"/>
    <w:rsid w:val="00AA2767"/>
    <w:rsid w:val="00AA3C8C"/>
    <w:rsid w:val="00AA592B"/>
    <w:rsid w:val="00AA7891"/>
    <w:rsid w:val="00AA7E6A"/>
    <w:rsid w:val="00AB193E"/>
    <w:rsid w:val="00AB3D16"/>
    <w:rsid w:val="00AB56AD"/>
    <w:rsid w:val="00AB5B56"/>
    <w:rsid w:val="00AB6090"/>
    <w:rsid w:val="00AB6FDD"/>
    <w:rsid w:val="00AB7109"/>
    <w:rsid w:val="00AB7B0A"/>
    <w:rsid w:val="00AB7B8D"/>
    <w:rsid w:val="00AC179D"/>
    <w:rsid w:val="00AC6C53"/>
    <w:rsid w:val="00AC729C"/>
    <w:rsid w:val="00AC7642"/>
    <w:rsid w:val="00AC76A0"/>
    <w:rsid w:val="00AD23D1"/>
    <w:rsid w:val="00AD2F43"/>
    <w:rsid w:val="00AD33C7"/>
    <w:rsid w:val="00AD400E"/>
    <w:rsid w:val="00AD4780"/>
    <w:rsid w:val="00AD4D67"/>
    <w:rsid w:val="00AD55CF"/>
    <w:rsid w:val="00AD586F"/>
    <w:rsid w:val="00AD5A78"/>
    <w:rsid w:val="00AE0554"/>
    <w:rsid w:val="00AE2CE9"/>
    <w:rsid w:val="00AE37BA"/>
    <w:rsid w:val="00AE4A1D"/>
    <w:rsid w:val="00AE4F6E"/>
    <w:rsid w:val="00AE690E"/>
    <w:rsid w:val="00AF0581"/>
    <w:rsid w:val="00AF164C"/>
    <w:rsid w:val="00AF73D4"/>
    <w:rsid w:val="00B0075B"/>
    <w:rsid w:val="00B00A86"/>
    <w:rsid w:val="00B0158F"/>
    <w:rsid w:val="00B02E50"/>
    <w:rsid w:val="00B04F18"/>
    <w:rsid w:val="00B0554C"/>
    <w:rsid w:val="00B0565C"/>
    <w:rsid w:val="00B063A3"/>
    <w:rsid w:val="00B0732D"/>
    <w:rsid w:val="00B1031D"/>
    <w:rsid w:val="00B108AE"/>
    <w:rsid w:val="00B11688"/>
    <w:rsid w:val="00B11E16"/>
    <w:rsid w:val="00B1432C"/>
    <w:rsid w:val="00B15669"/>
    <w:rsid w:val="00B1705A"/>
    <w:rsid w:val="00B20792"/>
    <w:rsid w:val="00B20F45"/>
    <w:rsid w:val="00B21B0F"/>
    <w:rsid w:val="00B2212B"/>
    <w:rsid w:val="00B2237F"/>
    <w:rsid w:val="00B22497"/>
    <w:rsid w:val="00B22C7B"/>
    <w:rsid w:val="00B2750E"/>
    <w:rsid w:val="00B31150"/>
    <w:rsid w:val="00B3230A"/>
    <w:rsid w:val="00B32E5D"/>
    <w:rsid w:val="00B32F67"/>
    <w:rsid w:val="00B37A2F"/>
    <w:rsid w:val="00B408D6"/>
    <w:rsid w:val="00B40A95"/>
    <w:rsid w:val="00B40FBA"/>
    <w:rsid w:val="00B4184F"/>
    <w:rsid w:val="00B456D5"/>
    <w:rsid w:val="00B45D6E"/>
    <w:rsid w:val="00B47746"/>
    <w:rsid w:val="00B514A2"/>
    <w:rsid w:val="00B526C8"/>
    <w:rsid w:val="00B52B80"/>
    <w:rsid w:val="00B53F19"/>
    <w:rsid w:val="00B55DA4"/>
    <w:rsid w:val="00B56422"/>
    <w:rsid w:val="00B576BB"/>
    <w:rsid w:val="00B621E6"/>
    <w:rsid w:val="00B641DD"/>
    <w:rsid w:val="00B64DB6"/>
    <w:rsid w:val="00B65558"/>
    <w:rsid w:val="00B65B02"/>
    <w:rsid w:val="00B6706C"/>
    <w:rsid w:val="00B67D9E"/>
    <w:rsid w:val="00B7190D"/>
    <w:rsid w:val="00B7231B"/>
    <w:rsid w:val="00B757A2"/>
    <w:rsid w:val="00B766C6"/>
    <w:rsid w:val="00B81D11"/>
    <w:rsid w:val="00B84F02"/>
    <w:rsid w:val="00B856CB"/>
    <w:rsid w:val="00B87FA3"/>
    <w:rsid w:val="00B91766"/>
    <w:rsid w:val="00B937E4"/>
    <w:rsid w:val="00B93818"/>
    <w:rsid w:val="00B93E94"/>
    <w:rsid w:val="00B95BA6"/>
    <w:rsid w:val="00B95C10"/>
    <w:rsid w:val="00BA03F0"/>
    <w:rsid w:val="00BA0D67"/>
    <w:rsid w:val="00BA1023"/>
    <w:rsid w:val="00BA49B7"/>
    <w:rsid w:val="00BA5107"/>
    <w:rsid w:val="00BA70BA"/>
    <w:rsid w:val="00BA734B"/>
    <w:rsid w:val="00BA7C1F"/>
    <w:rsid w:val="00BB0799"/>
    <w:rsid w:val="00BB1BA1"/>
    <w:rsid w:val="00BB47A8"/>
    <w:rsid w:val="00BB54FE"/>
    <w:rsid w:val="00BB5553"/>
    <w:rsid w:val="00BB578E"/>
    <w:rsid w:val="00BB5F1F"/>
    <w:rsid w:val="00BB6D58"/>
    <w:rsid w:val="00BC0072"/>
    <w:rsid w:val="00BC1C09"/>
    <w:rsid w:val="00BC28E8"/>
    <w:rsid w:val="00BC30C0"/>
    <w:rsid w:val="00BC4285"/>
    <w:rsid w:val="00BC46FB"/>
    <w:rsid w:val="00BD197A"/>
    <w:rsid w:val="00BD2024"/>
    <w:rsid w:val="00BD286F"/>
    <w:rsid w:val="00BD28A4"/>
    <w:rsid w:val="00BD2E36"/>
    <w:rsid w:val="00BD3E98"/>
    <w:rsid w:val="00BD4C1D"/>
    <w:rsid w:val="00BD5260"/>
    <w:rsid w:val="00BD7B87"/>
    <w:rsid w:val="00BE1F8A"/>
    <w:rsid w:val="00BE37B7"/>
    <w:rsid w:val="00BE3C6A"/>
    <w:rsid w:val="00BE3F59"/>
    <w:rsid w:val="00BE5A3D"/>
    <w:rsid w:val="00BE6811"/>
    <w:rsid w:val="00BF0802"/>
    <w:rsid w:val="00BF157B"/>
    <w:rsid w:val="00BF4871"/>
    <w:rsid w:val="00BF6FD2"/>
    <w:rsid w:val="00BF7051"/>
    <w:rsid w:val="00BF7E8F"/>
    <w:rsid w:val="00C0080C"/>
    <w:rsid w:val="00C00E28"/>
    <w:rsid w:val="00C0227A"/>
    <w:rsid w:val="00C04D85"/>
    <w:rsid w:val="00C0661F"/>
    <w:rsid w:val="00C07192"/>
    <w:rsid w:val="00C07332"/>
    <w:rsid w:val="00C075AA"/>
    <w:rsid w:val="00C07A97"/>
    <w:rsid w:val="00C07E36"/>
    <w:rsid w:val="00C1018A"/>
    <w:rsid w:val="00C10C71"/>
    <w:rsid w:val="00C10DD0"/>
    <w:rsid w:val="00C119BD"/>
    <w:rsid w:val="00C13A32"/>
    <w:rsid w:val="00C14467"/>
    <w:rsid w:val="00C15244"/>
    <w:rsid w:val="00C1694A"/>
    <w:rsid w:val="00C17D86"/>
    <w:rsid w:val="00C20FAC"/>
    <w:rsid w:val="00C22A5E"/>
    <w:rsid w:val="00C22FC2"/>
    <w:rsid w:val="00C25082"/>
    <w:rsid w:val="00C2580B"/>
    <w:rsid w:val="00C25E03"/>
    <w:rsid w:val="00C26A0A"/>
    <w:rsid w:val="00C35A19"/>
    <w:rsid w:val="00C3621A"/>
    <w:rsid w:val="00C36EDC"/>
    <w:rsid w:val="00C4046A"/>
    <w:rsid w:val="00C40EB2"/>
    <w:rsid w:val="00C41DFF"/>
    <w:rsid w:val="00C450CF"/>
    <w:rsid w:val="00C45528"/>
    <w:rsid w:val="00C464D0"/>
    <w:rsid w:val="00C537EF"/>
    <w:rsid w:val="00C538D2"/>
    <w:rsid w:val="00C53D8F"/>
    <w:rsid w:val="00C54C27"/>
    <w:rsid w:val="00C579C8"/>
    <w:rsid w:val="00C606F2"/>
    <w:rsid w:val="00C619D9"/>
    <w:rsid w:val="00C63649"/>
    <w:rsid w:val="00C66240"/>
    <w:rsid w:val="00C669B4"/>
    <w:rsid w:val="00C674C3"/>
    <w:rsid w:val="00C70556"/>
    <w:rsid w:val="00C7247A"/>
    <w:rsid w:val="00C75BF5"/>
    <w:rsid w:val="00C80778"/>
    <w:rsid w:val="00C8132A"/>
    <w:rsid w:val="00C84DF8"/>
    <w:rsid w:val="00C85080"/>
    <w:rsid w:val="00C852DD"/>
    <w:rsid w:val="00C87E1B"/>
    <w:rsid w:val="00C909CC"/>
    <w:rsid w:val="00C9318C"/>
    <w:rsid w:val="00C93B21"/>
    <w:rsid w:val="00C94E79"/>
    <w:rsid w:val="00C96D74"/>
    <w:rsid w:val="00CA0A2C"/>
    <w:rsid w:val="00CA2D1B"/>
    <w:rsid w:val="00CA345C"/>
    <w:rsid w:val="00CA4412"/>
    <w:rsid w:val="00CA4AF9"/>
    <w:rsid w:val="00CA5B56"/>
    <w:rsid w:val="00CA6EC8"/>
    <w:rsid w:val="00CA77C7"/>
    <w:rsid w:val="00CB1E77"/>
    <w:rsid w:val="00CB20D5"/>
    <w:rsid w:val="00CB211B"/>
    <w:rsid w:val="00CB39A3"/>
    <w:rsid w:val="00CB43AC"/>
    <w:rsid w:val="00CB45EA"/>
    <w:rsid w:val="00CC0265"/>
    <w:rsid w:val="00CC274A"/>
    <w:rsid w:val="00CC4D37"/>
    <w:rsid w:val="00CC5A3A"/>
    <w:rsid w:val="00CC7102"/>
    <w:rsid w:val="00CC7C83"/>
    <w:rsid w:val="00CD0929"/>
    <w:rsid w:val="00CD1D7E"/>
    <w:rsid w:val="00CD2A14"/>
    <w:rsid w:val="00CD690C"/>
    <w:rsid w:val="00CD6B2E"/>
    <w:rsid w:val="00CE2F5A"/>
    <w:rsid w:val="00CE3F7B"/>
    <w:rsid w:val="00CE70C8"/>
    <w:rsid w:val="00CF0C5F"/>
    <w:rsid w:val="00CF3484"/>
    <w:rsid w:val="00CF34C4"/>
    <w:rsid w:val="00CF45A0"/>
    <w:rsid w:val="00CF50B5"/>
    <w:rsid w:val="00CF69DF"/>
    <w:rsid w:val="00CF6D1B"/>
    <w:rsid w:val="00CF71D8"/>
    <w:rsid w:val="00CF7D31"/>
    <w:rsid w:val="00D03C1F"/>
    <w:rsid w:val="00D07EC9"/>
    <w:rsid w:val="00D13739"/>
    <w:rsid w:val="00D150A3"/>
    <w:rsid w:val="00D16C6D"/>
    <w:rsid w:val="00D20364"/>
    <w:rsid w:val="00D258FF"/>
    <w:rsid w:val="00D27234"/>
    <w:rsid w:val="00D3202A"/>
    <w:rsid w:val="00D3483F"/>
    <w:rsid w:val="00D36205"/>
    <w:rsid w:val="00D402E0"/>
    <w:rsid w:val="00D4105D"/>
    <w:rsid w:val="00D41F87"/>
    <w:rsid w:val="00D431E9"/>
    <w:rsid w:val="00D43F4D"/>
    <w:rsid w:val="00D44673"/>
    <w:rsid w:val="00D44CE3"/>
    <w:rsid w:val="00D5099D"/>
    <w:rsid w:val="00D50A84"/>
    <w:rsid w:val="00D513C4"/>
    <w:rsid w:val="00D5321E"/>
    <w:rsid w:val="00D534D9"/>
    <w:rsid w:val="00D53E20"/>
    <w:rsid w:val="00D56994"/>
    <w:rsid w:val="00D57E9D"/>
    <w:rsid w:val="00D60D1E"/>
    <w:rsid w:val="00D611AD"/>
    <w:rsid w:val="00D61986"/>
    <w:rsid w:val="00D61F40"/>
    <w:rsid w:val="00D621DE"/>
    <w:rsid w:val="00D6349E"/>
    <w:rsid w:val="00D67144"/>
    <w:rsid w:val="00D67D86"/>
    <w:rsid w:val="00D71FEE"/>
    <w:rsid w:val="00D722C7"/>
    <w:rsid w:val="00D76C2A"/>
    <w:rsid w:val="00D7759A"/>
    <w:rsid w:val="00D82944"/>
    <w:rsid w:val="00D85D54"/>
    <w:rsid w:val="00D86036"/>
    <w:rsid w:val="00D91031"/>
    <w:rsid w:val="00D91873"/>
    <w:rsid w:val="00D92182"/>
    <w:rsid w:val="00D943EF"/>
    <w:rsid w:val="00D958F4"/>
    <w:rsid w:val="00D9704E"/>
    <w:rsid w:val="00D970A6"/>
    <w:rsid w:val="00D979DD"/>
    <w:rsid w:val="00DA0A19"/>
    <w:rsid w:val="00DA15F2"/>
    <w:rsid w:val="00DA1F1C"/>
    <w:rsid w:val="00DA31F0"/>
    <w:rsid w:val="00DA331C"/>
    <w:rsid w:val="00DA4720"/>
    <w:rsid w:val="00DA5156"/>
    <w:rsid w:val="00DA5A13"/>
    <w:rsid w:val="00DB03E5"/>
    <w:rsid w:val="00DB0AB2"/>
    <w:rsid w:val="00DB0FD3"/>
    <w:rsid w:val="00DB172E"/>
    <w:rsid w:val="00DB2C3E"/>
    <w:rsid w:val="00DB4195"/>
    <w:rsid w:val="00DB5073"/>
    <w:rsid w:val="00DB7C38"/>
    <w:rsid w:val="00DB7E54"/>
    <w:rsid w:val="00DC12B8"/>
    <w:rsid w:val="00DC2BE5"/>
    <w:rsid w:val="00DC2F46"/>
    <w:rsid w:val="00DC5CE4"/>
    <w:rsid w:val="00DC679D"/>
    <w:rsid w:val="00DC7F92"/>
    <w:rsid w:val="00DD10F5"/>
    <w:rsid w:val="00DD4F57"/>
    <w:rsid w:val="00DD5509"/>
    <w:rsid w:val="00DD6298"/>
    <w:rsid w:val="00DD7448"/>
    <w:rsid w:val="00DD767E"/>
    <w:rsid w:val="00DD7E97"/>
    <w:rsid w:val="00DE073C"/>
    <w:rsid w:val="00DE0D98"/>
    <w:rsid w:val="00DE2A61"/>
    <w:rsid w:val="00DE4466"/>
    <w:rsid w:val="00DE5C42"/>
    <w:rsid w:val="00DF160C"/>
    <w:rsid w:val="00DF1941"/>
    <w:rsid w:val="00DF1E75"/>
    <w:rsid w:val="00DF242A"/>
    <w:rsid w:val="00DF2717"/>
    <w:rsid w:val="00DF6941"/>
    <w:rsid w:val="00E026EE"/>
    <w:rsid w:val="00E0539E"/>
    <w:rsid w:val="00E0607E"/>
    <w:rsid w:val="00E0676B"/>
    <w:rsid w:val="00E06A97"/>
    <w:rsid w:val="00E06E07"/>
    <w:rsid w:val="00E116B3"/>
    <w:rsid w:val="00E12104"/>
    <w:rsid w:val="00E13225"/>
    <w:rsid w:val="00E1420A"/>
    <w:rsid w:val="00E14541"/>
    <w:rsid w:val="00E14890"/>
    <w:rsid w:val="00E1674F"/>
    <w:rsid w:val="00E1687A"/>
    <w:rsid w:val="00E21E2E"/>
    <w:rsid w:val="00E23716"/>
    <w:rsid w:val="00E24BBD"/>
    <w:rsid w:val="00E250AD"/>
    <w:rsid w:val="00E25E0E"/>
    <w:rsid w:val="00E273F6"/>
    <w:rsid w:val="00E278B4"/>
    <w:rsid w:val="00E27CCF"/>
    <w:rsid w:val="00E30181"/>
    <w:rsid w:val="00E30C0E"/>
    <w:rsid w:val="00E3206E"/>
    <w:rsid w:val="00E32B07"/>
    <w:rsid w:val="00E33059"/>
    <w:rsid w:val="00E33571"/>
    <w:rsid w:val="00E34BE1"/>
    <w:rsid w:val="00E34E91"/>
    <w:rsid w:val="00E35917"/>
    <w:rsid w:val="00E35A7A"/>
    <w:rsid w:val="00E36932"/>
    <w:rsid w:val="00E40057"/>
    <w:rsid w:val="00E4129F"/>
    <w:rsid w:val="00E41F37"/>
    <w:rsid w:val="00E43EAD"/>
    <w:rsid w:val="00E4485F"/>
    <w:rsid w:val="00E45837"/>
    <w:rsid w:val="00E45AA4"/>
    <w:rsid w:val="00E50F9A"/>
    <w:rsid w:val="00E52AFC"/>
    <w:rsid w:val="00E54D1F"/>
    <w:rsid w:val="00E550E6"/>
    <w:rsid w:val="00E5571E"/>
    <w:rsid w:val="00E572A8"/>
    <w:rsid w:val="00E60CC0"/>
    <w:rsid w:val="00E62829"/>
    <w:rsid w:val="00E62E5D"/>
    <w:rsid w:val="00E713B8"/>
    <w:rsid w:val="00E7521D"/>
    <w:rsid w:val="00E770E2"/>
    <w:rsid w:val="00E80EE8"/>
    <w:rsid w:val="00E81B19"/>
    <w:rsid w:val="00E832A3"/>
    <w:rsid w:val="00E84032"/>
    <w:rsid w:val="00E86715"/>
    <w:rsid w:val="00E87203"/>
    <w:rsid w:val="00E9073B"/>
    <w:rsid w:val="00E90CB4"/>
    <w:rsid w:val="00E954F0"/>
    <w:rsid w:val="00E95734"/>
    <w:rsid w:val="00E97888"/>
    <w:rsid w:val="00E97CDB"/>
    <w:rsid w:val="00EA0282"/>
    <w:rsid w:val="00EA1661"/>
    <w:rsid w:val="00EA29BD"/>
    <w:rsid w:val="00EA5F76"/>
    <w:rsid w:val="00EA6A86"/>
    <w:rsid w:val="00EA7185"/>
    <w:rsid w:val="00EB10D5"/>
    <w:rsid w:val="00EB2D80"/>
    <w:rsid w:val="00EB4402"/>
    <w:rsid w:val="00EB53CD"/>
    <w:rsid w:val="00EB727F"/>
    <w:rsid w:val="00EC099E"/>
    <w:rsid w:val="00EC1078"/>
    <w:rsid w:val="00EC1FA8"/>
    <w:rsid w:val="00EC317B"/>
    <w:rsid w:val="00EC7E8C"/>
    <w:rsid w:val="00ED2CF8"/>
    <w:rsid w:val="00ED30AB"/>
    <w:rsid w:val="00ED36E1"/>
    <w:rsid w:val="00ED3DAB"/>
    <w:rsid w:val="00EE1112"/>
    <w:rsid w:val="00EE25B7"/>
    <w:rsid w:val="00EE3B3D"/>
    <w:rsid w:val="00EE48C1"/>
    <w:rsid w:val="00EE4C36"/>
    <w:rsid w:val="00EE4CE3"/>
    <w:rsid w:val="00EE76BC"/>
    <w:rsid w:val="00EF0DA2"/>
    <w:rsid w:val="00EF1A0F"/>
    <w:rsid w:val="00EF3470"/>
    <w:rsid w:val="00EF392F"/>
    <w:rsid w:val="00F023EF"/>
    <w:rsid w:val="00F04FC8"/>
    <w:rsid w:val="00F0592F"/>
    <w:rsid w:val="00F05A6E"/>
    <w:rsid w:val="00F07B79"/>
    <w:rsid w:val="00F07C64"/>
    <w:rsid w:val="00F1122B"/>
    <w:rsid w:val="00F11CAC"/>
    <w:rsid w:val="00F12B07"/>
    <w:rsid w:val="00F136BA"/>
    <w:rsid w:val="00F150C7"/>
    <w:rsid w:val="00F16822"/>
    <w:rsid w:val="00F1764B"/>
    <w:rsid w:val="00F20639"/>
    <w:rsid w:val="00F20F49"/>
    <w:rsid w:val="00F21244"/>
    <w:rsid w:val="00F21C99"/>
    <w:rsid w:val="00F22A43"/>
    <w:rsid w:val="00F2437B"/>
    <w:rsid w:val="00F30040"/>
    <w:rsid w:val="00F30201"/>
    <w:rsid w:val="00F30C9C"/>
    <w:rsid w:val="00F322FA"/>
    <w:rsid w:val="00F3390E"/>
    <w:rsid w:val="00F346A2"/>
    <w:rsid w:val="00F3597E"/>
    <w:rsid w:val="00F40BAA"/>
    <w:rsid w:val="00F43F8C"/>
    <w:rsid w:val="00F46CC1"/>
    <w:rsid w:val="00F470F0"/>
    <w:rsid w:val="00F501AB"/>
    <w:rsid w:val="00F5128A"/>
    <w:rsid w:val="00F5260F"/>
    <w:rsid w:val="00F53F2C"/>
    <w:rsid w:val="00F553A3"/>
    <w:rsid w:val="00F55FD7"/>
    <w:rsid w:val="00F60643"/>
    <w:rsid w:val="00F60692"/>
    <w:rsid w:val="00F607B2"/>
    <w:rsid w:val="00F62F07"/>
    <w:rsid w:val="00F62FDC"/>
    <w:rsid w:val="00F63162"/>
    <w:rsid w:val="00F635D1"/>
    <w:rsid w:val="00F63DF2"/>
    <w:rsid w:val="00F7038B"/>
    <w:rsid w:val="00F705A8"/>
    <w:rsid w:val="00F77882"/>
    <w:rsid w:val="00F80466"/>
    <w:rsid w:val="00F80E7B"/>
    <w:rsid w:val="00F812BE"/>
    <w:rsid w:val="00F833A1"/>
    <w:rsid w:val="00F8470E"/>
    <w:rsid w:val="00F85DA6"/>
    <w:rsid w:val="00F92DF1"/>
    <w:rsid w:val="00F93B19"/>
    <w:rsid w:val="00F9459A"/>
    <w:rsid w:val="00F964EC"/>
    <w:rsid w:val="00F9664E"/>
    <w:rsid w:val="00FA0A02"/>
    <w:rsid w:val="00FA0E9F"/>
    <w:rsid w:val="00FA2EFE"/>
    <w:rsid w:val="00FA3135"/>
    <w:rsid w:val="00FA42F7"/>
    <w:rsid w:val="00FA44B1"/>
    <w:rsid w:val="00FA44BC"/>
    <w:rsid w:val="00FA59BA"/>
    <w:rsid w:val="00FA6BBA"/>
    <w:rsid w:val="00FB12CB"/>
    <w:rsid w:val="00FB155D"/>
    <w:rsid w:val="00FB2445"/>
    <w:rsid w:val="00FB37D2"/>
    <w:rsid w:val="00FB680B"/>
    <w:rsid w:val="00FB6B30"/>
    <w:rsid w:val="00FC15B6"/>
    <w:rsid w:val="00FC1A36"/>
    <w:rsid w:val="00FC231E"/>
    <w:rsid w:val="00FC2404"/>
    <w:rsid w:val="00FC3B1B"/>
    <w:rsid w:val="00FC41F9"/>
    <w:rsid w:val="00FC5648"/>
    <w:rsid w:val="00FC7564"/>
    <w:rsid w:val="00FD007D"/>
    <w:rsid w:val="00FD07ED"/>
    <w:rsid w:val="00FD281D"/>
    <w:rsid w:val="00FD504D"/>
    <w:rsid w:val="00FD6B02"/>
    <w:rsid w:val="00FD79BB"/>
    <w:rsid w:val="00FE0D83"/>
    <w:rsid w:val="00FE1552"/>
    <w:rsid w:val="00FE3263"/>
    <w:rsid w:val="00FE5051"/>
    <w:rsid w:val="00FE7ABA"/>
    <w:rsid w:val="00FF4389"/>
    <w:rsid w:val="00FF4691"/>
    <w:rsid w:val="00FF6648"/>
    <w:rsid w:val="011950B7"/>
    <w:rsid w:val="013A1762"/>
    <w:rsid w:val="01AC7D42"/>
    <w:rsid w:val="027A5940"/>
    <w:rsid w:val="03632E30"/>
    <w:rsid w:val="03FA4904"/>
    <w:rsid w:val="06B325A0"/>
    <w:rsid w:val="06F07F7E"/>
    <w:rsid w:val="072B7D8D"/>
    <w:rsid w:val="07FE6EDB"/>
    <w:rsid w:val="08895825"/>
    <w:rsid w:val="08CC6730"/>
    <w:rsid w:val="091268D2"/>
    <w:rsid w:val="0A1A2D0A"/>
    <w:rsid w:val="0A20501F"/>
    <w:rsid w:val="0AB67731"/>
    <w:rsid w:val="0CC35D87"/>
    <w:rsid w:val="0CEB5064"/>
    <w:rsid w:val="0D154C07"/>
    <w:rsid w:val="0D941B98"/>
    <w:rsid w:val="0DF75186"/>
    <w:rsid w:val="0E857946"/>
    <w:rsid w:val="0F130469"/>
    <w:rsid w:val="0FE76DDE"/>
    <w:rsid w:val="10106A15"/>
    <w:rsid w:val="103854B1"/>
    <w:rsid w:val="10625C40"/>
    <w:rsid w:val="10A4341E"/>
    <w:rsid w:val="116B5E0B"/>
    <w:rsid w:val="1185411D"/>
    <w:rsid w:val="11DA62E9"/>
    <w:rsid w:val="139C7E89"/>
    <w:rsid w:val="14217D71"/>
    <w:rsid w:val="145F3437"/>
    <w:rsid w:val="14861544"/>
    <w:rsid w:val="15491A2E"/>
    <w:rsid w:val="15C21FC9"/>
    <w:rsid w:val="16CF5E02"/>
    <w:rsid w:val="17204A02"/>
    <w:rsid w:val="17DE6A94"/>
    <w:rsid w:val="17DF02C7"/>
    <w:rsid w:val="18A85148"/>
    <w:rsid w:val="18D30EBE"/>
    <w:rsid w:val="193F7D58"/>
    <w:rsid w:val="19914B10"/>
    <w:rsid w:val="1B1E50AE"/>
    <w:rsid w:val="1B4A3159"/>
    <w:rsid w:val="1BA52944"/>
    <w:rsid w:val="1BD67990"/>
    <w:rsid w:val="1C4136C7"/>
    <w:rsid w:val="1C7408D4"/>
    <w:rsid w:val="1CD85568"/>
    <w:rsid w:val="1DAB6F39"/>
    <w:rsid w:val="1DE5415D"/>
    <w:rsid w:val="1FF94191"/>
    <w:rsid w:val="20351C61"/>
    <w:rsid w:val="20521024"/>
    <w:rsid w:val="209B0B03"/>
    <w:rsid w:val="214D441A"/>
    <w:rsid w:val="214D44F3"/>
    <w:rsid w:val="21DC44CE"/>
    <w:rsid w:val="22A65CD0"/>
    <w:rsid w:val="22EE3CCA"/>
    <w:rsid w:val="239564D3"/>
    <w:rsid w:val="23DA1722"/>
    <w:rsid w:val="24632C00"/>
    <w:rsid w:val="26122A2E"/>
    <w:rsid w:val="28A27C17"/>
    <w:rsid w:val="29786BE8"/>
    <w:rsid w:val="29E14238"/>
    <w:rsid w:val="2AC778D7"/>
    <w:rsid w:val="2ADD4075"/>
    <w:rsid w:val="2AEF16E5"/>
    <w:rsid w:val="2CB97F02"/>
    <w:rsid w:val="2CDD0461"/>
    <w:rsid w:val="2DA87348"/>
    <w:rsid w:val="2EAE4CC8"/>
    <w:rsid w:val="2EC21866"/>
    <w:rsid w:val="2ED842D6"/>
    <w:rsid w:val="309C4B4F"/>
    <w:rsid w:val="30A6777C"/>
    <w:rsid w:val="332C625C"/>
    <w:rsid w:val="342871CC"/>
    <w:rsid w:val="34367069"/>
    <w:rsid w:val="351040A3"/>
    <w:rsid w:val="361A40B6"/>
    <w:rsid w:val="36231CE2"/>
    <w:rsid w:val="36B71686"/>
    <w:rsid w:val="3723513A"/>
    <w:rsid w:val="372D67F0"/>
    <w:rsid w:val="379B1F8C"/>
    <w:rsid w:val="37F17456"/>
    <w:rsid w:val="380F5CFB"/>
    <w:rsid w:val="39B36776"/>
    <w:rsid w:val="3A17043F"/>
    <w:rsid w:val="3AC02E1B"/>
    <w:rsid w:val="3AF42F5C"/>
    <w:rsid w:val="3BB52F69"/>
    <w:rsid w:val="3C1C7AD0"/>
    <w:rsid w:val="3D024B68"/>
    <w:rsid w:val="3DDCFCB7"/>
    <w:rsid w:val="3E1F6DB2"/>
    <w:rsid w:val="3E6B5049"/>
    <w:rsid w:val="3E7E71D0"/>
    <w:rsid w:val="3EE53F69"/>
    <w:rsid w:val="3EF45935"/>
    <w:rsid w:val="3F164A3D"/>
    <w:rsid w:val="3FFE3A57"/>
    <w:rsid w:val="40077E1C"/>
    <w:rsid w:val="40D82725"/>
    <w:rsid w:val="415C6512"/>
    <w:rsid w:val="41D016DB"/>
    <w:rsid w:val="41D61A77"/>
    <w:rsid w:val="41DF7ACE"/>
    <w:rsid w:val="43CC5535"/>
    <w:rsid w:val="443F74C9"/>
    <w:rsid w:val="452A0524"/>
    <w:rsid w:val="46284338"/>
    <w:rsid w:val="469C58A6"/>
    <w:rsid w:val="472C725A"/>
    <w:rsid w:val="47AF7726"/>
    <w:rsid w:val="47DA0F2D"/>
    <w:rsid w:val="47FD667A"/>
    <w:rsid w:val="48952C4A"/>
    <w:rsid w:val="49361952"/>
    <w:rsid w:val="49E11CE1"/>
    <w:rsid w:val="4B681A7D"/>
    <w:rsid w:val="4D470ED8"/>
    <w:rsid w:val="4E13726D"/>
    <w:rsid w:val="4EEE3858"/>
    <w:rsid w:val="4EFF3FC2"/>
    <w:rsid w:val="4F5A37B4"/>
    <w:rsid w:val="5043693E"/>
    <w:rsid w:val="507914D1"/>
    <w:rsid w:val="50E2583C"/>
    <w:rsid w:val="51D61DA2"/>
    <w:rsid w:val="52645BD4"/>
    <w:rsid w:val="52772DE4"/>
    <w:rsid w:val="5306747F"/>
    <w:rsid w:val="5380090B"/>
    <w:rsid w:val="5435460F"/>
    <w:rsid w:val="543B2B99"/>
    <w:rsid w:val="54D658B6"/>
    <w:rsid w:val="54F2623D"/>
    <w:rsid w:val="55254496"/>
    <w:rsid w:val="55ED211B"/>
    <w:rsid w:val="58080DD2"/>
    <w:rsid w:val="5840376E"/>
    <w:rsid w:val="595A3988"/>
    <w:rsid w:val="5ABA0718"/>
    <w:rsid w:val="5B26484A"/>
    <w:rsid w:val="5BFE1F5A"/>
    <w:rsid w:val="5C55332E"/>
    <w:rsid w:val="5E8121F7"/>
    <w:rsid w:val="5FD135BC"/>
    <w:rsid w:val="60007C3A"/>
    <w:rsid w:val="6044653C"/>
    <w:rsid w:val="605B55DE"/>
    <w:rsid w:val="61920176"/>
    <w:rsid w:val="62EB3428"/>
    <w:rsid w:val="63911317"/>
    <w:rsid w:val="642D3279"/>
    <w:rsid w:val="668464B4"/>
    <w:rsid w:val="67053791"/>
    <w:rsid w:val="672C029F"/>
    <w:rsid w:val="682261E3"/>
    <w:rsid w:val="688E1831"/>
    <w:rsid w:val="68ED7415"/>
    <w:rsid w:val="69BE324B"/>
    <w:rsid w:val="69EC72A7"/>
    <w:rsid w:val="6A301BE6"/>
    <w:rsid w:val="6A62676B"/>
    <w:rsid w:val="6B0C38CA"/>
    <w:rsid w:val="6B853A16"/>
    <w:rsid w:val="6C8E3B95"/>
    <w:rsid w:val="6CCB591B"/>
    <w:rsid w:val="6CF675C4"/>
    <w:rsid w:val="6D03624C"/>
    <w:rsid w:val="6DDE3424"/>
    <w:rsid w:val="6EA97E5C"/>
    <w:rsid w:val="6FDA0392"/>
    <w:rsid w:val="7080196A"/>
    <w:rsid w:val="70F001B5"/>
    <w:rsid w:val="711C0290"/>
    <w:rsid w:val="736C3E2F"/>
    <w:rsid w:val="73A60583"/>
    <w:rsid w:val="74373814"/>
    <w:rsid w:val="744F5002"/>
    <w:rsid w:val="745A0E84"/>
    <w:rsid w:val="75FE6CDF"/>
    <w:rsid w:val="768C03AE"/>
    <w:rsid w:val="76FF2D0F"/>
    <w:rsid w:val="77CD4BBB"/>
    <w:rsid w:val="77FB1B02"/>
    <w:rsid w:val="781E5417"/>
    <w:rsid w:val="78B37A40"/>
    <w:rsid w:val="7B934D79"/>
    <w:rsid w:val="7BA82B1B"/>
    <w:rsid w:val="7C2A0930"/>
    <w:rsid w:val="7C817733"/>
    <w:rsid w:val="7CD17352"/>
    <w:rsid w:val="7D583ABB"/>
    <w:rsid w:val="7D637428"/>
    <w:rsid w:val="7D676F18"/>
    <w:rsid w:val="7DFF285B"/>
    <w:rsid w:val="7F9A05DE"/>
    <w:rsid w:val="7F9D1317"/>
    <w:rsid w:val="7FB75DEF"/>
    <w:rsid w:val="95B64A1B"/>
    <w:rsid w:val="D9DFABE0"/>
    <w:rsid w:val="DFE76083"/>
    <w:rsid w:val="EF1E8125"/>
    <w:rsid w:val="FF6D2D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32"/>
      <w:szCs w:val="32"/>
    </w:rPr>
  </w:style>
  <w:style w:type="paragraph" w:styleId="3">
    <w:name w:val="Body Text Indent"/>
    <w:basedOn w:val="1"/>
    <w:qFormat/>
    <w:uiPriority w:val="0"/>
    <w:pPr>
      <w:spacing w:after="120"/>
      <w:ind w:left="420" w:leftChars="200"/>
    </w:pPr>
    <w:rPr>
      <w:rFonts w:eastAsia="仿宋_GB2312"/>
      <w:sz w:val="32"/>
      <w:szCs w:val="32"/>
    </w:rPr>
  </w:style>
  <w:style w:type="paragraph" w:styleId="4">
    <w:name w:val="Plain Text"/>
    <w:basedOn w:val="1"/>
    <w:qFormat/>
    <w:uiPriority w:val="0"/>
    <w:rPr>
      <w:rFonts w:ascii="宋体" w:hAnsi="Courier New" w:cs="Courier New"/>
      <w:szCs w:val="21"/>
    </w:rPr>
  </w:style>
  <w:style w:type="paragraph" w:styleId="5">
    <w:name w:val="Body Text Indent 2"/>
    <w:basedOn w:val="1"/>
    <w:next w:val="1"/>
    <w:qFormat/>
    <w:uiPriority w:val="0"/>
    <w:pPr>
      <w:spacing w:after="120" w:line="480" w:lineRule="auto"/>
      <w:ind w:left="420" w:leftChars="200"/>
    </w:pPr>
  </w:style>
  <w:style w:type="paragraph" w:styleId="6">
    <w:name w:val="Balloon Text"/>
    <w:basedOn w:val="1"/>
    <w:link w:val="15"/>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22"/>
    <w:rPr>
      <w:b/>
    </w:rPr>
  </w:style>
  <w:style w:type="character" w:styleId="14">
    <w:name w:val="Hyperlink"/>
    <w:basedOn w:val="12"/>
    <w:qFormat/>
    <w:uiPriority w:val="0"/>
    <w:rPr>
      <w:color w:val="0000FF"/>
      <w:u w:val="single"/>
    </w:rPr>
  </w:style>
  <w:style w:type="character" w:customStyle="1" w:styleId="15">
    <w:name w:val="批注框文本 字符"/>
    <w:basedOn w:val="12"/>
    <w:link w:val="6"/>
    <w:semiHidden/>
    <w:qFormat/>
    <w:uiPriority w:val="99"/>
    <w:rPr>
      <w:sz w:val="18"/>
      <w:szCs w:val="18"/>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Pages>
  <Words>4109</Words>
  <Characters>4169</Characters>
  <Lines>78</Lines>
  <Paragraphs>22</Paragraphs>
  <TotalTime>1</TotalTime>
  <ScaleCrop>false</ScaleCrop>
  <LinksUpToDate>false</LinksUpToDate>
  <CharactersWithSpaces>4172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2022-01-15T09:28:00Z</dcterms:created>
  <dc:creator>郑学金</dc:creator>
  <cp:lastModifiedBy>奚泽</cp:lastModifiedBy>
  <cp:lastPrinted>2025-05-08T11:43:00Z</cp:lastPrinted>
  <dcterms:modified xsi:type="dcterms:W3CDTF">2026-02-25T01:02:07Z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eyJoZGlkIjoiYTBhMTdiNGNkMzAyMDUyMzk4MTQxZTI0NTVmYzE0ZTAifQ==</vt:lpwstr>
  </property>
  <property fmtid="{D5CDD505-2E9C-101B-9397-08002B2CF9AE}" pid="3" name="KSOProductBuildVer">
    <vt:lpwstr>2052-12.1.0.24657</vt:lpwstr>
  </property>
  <property fmtid="{D5CDD505-2E9C-101B-9397-08002B2CF9AE}" pid="4" name="ICV">
    <vt:lpwstr>00856B23319E4D04A534358BF245F138_13</vt:lpwstr>
  </property>
  <property fmtid="{D5CDD505-2E9C-101B-9397-08002B2CF9AE}" pid="5" name="KSOTemplateDocerSaveRecord">
    <vt:lpwstr>eyJoZGlkIjoiZDQ0MDA2NDVjYTgzOWE3ZGY4NDMyYzJlNjlkMWJjMDciLCJ1c2VySWQiOiIyNDk4NTcwNDcifQ==</vt:lpwstr>
  </property>
</Properties>
</file>