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hint="eastAsia" w:ascii="方正小标宋简体" w:hAnsi="方正小标宋简体" w:eastAsia="方正小标宋简体" w:cs="方正小标宋简体"/>
          <w:sz w:val="44"/>
          <w:szCs w:val="44"/>
        </w:rPr>
      </w:pPr>
    </w:p>
    <w:p>
      <w:pPr>
        <w:spacing w:line="576" w:lineRule="exact"/>
        <w:jc w:val="center"/>
        <w:rPr>
          <w:rFonts w:hint="eastAsia" w:ascii="方正小标宋简体" w:hAnsi="方正小标宋简体" w:eastAsia="方正小标宋简体" w:cs="方正小标宋简体"/>
          <w:sz w:val="44"/>
          <w:szCs w:val="44"/>
        </w:rPr>
      </w:pPr>
    </w:p>
    <w:p>
      <w:pPr>
        <w:spacing w:line="576" w:lineRule="exact"/>
        <w:jc w:val="center"/>
        <w:rPr>
          <w:rFonts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黑河上游黄藏寺野牛沟莺落峡</w:t>
      </w:r>
    </w:p>
    <w:p>
      <w:pPr>
        <w:spacing w:line="576"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人工影响天气标准化作业点建设实施方案</w:t>
      </w:r>
    </w:p>
    <w:p>
      <w:pPr>
        <w:spacing w:line="576" w:lineRule="exact"/>
        <w:jc w:val="center"/>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征求意见稿</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ascii="仿宋_GB2312" w:hAnsi="仿宋_GB2312" w:eastAsia="仿宋_GB2312" w:cs="仿宋_GB2312"/>
          <w:sz w:val="32"/>
          <w:szCs w:val="32"/>
        </w:rPr>
      </w:pP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深入落实市委、市政府关于黑河流域生态保护、水资源开发利用和高质量发展的决策部署，切实提升黑河径流调节能力，紧扣“增雨增流”核心目标，制定本实施方案，重点推进黑河上游三大直接补给点的标准化地面作业能力建设。</w:t>
      </w:r>
    </w:p>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一、现状与核心问题</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当前，我市人工影响天气工作在服务全域抗旱减灾的同时，聚焦“增雨增流”支撑黑河生态修复的战略目标，主要面临基础能力薄弱与战略布局失衡的双重制约：</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是基础支撑能力存在短板。现有气象监测网络对作业条件的精准捕捉与指挥支撑不足；部分作业点基础设施简陋，存在安全隐患，且现代化、智能化装备手段欠缺；标准化作业点规模偏小，布局分散，未形成网络化集约能力；作业空域协调环节多、难度大；市县经费保障与业务发展需求不匹配。</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是流域精准补水面临特殊矛盾。核心矛盾在于现有作业布局与黑河径流核心产流区错位，导致“增雨不增流”。针对祁连山复杂地形云水资源的关键区和关键过程实施精准催化的能力受限；对跨省关键区黄藏寺、野牛沟</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联合作业机制不完善。</w:t>
      </w:r>
    </w:p>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二、总体思路与核心原则</w:t>
      </w:r>
    </w:p>
    <w:p>
      <w:pPr>
        <w:spacing w:line="576"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(一)总体思路</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聚焦关键、精准补给、协同增效”为基准，推动人工增雨工作从“面上分散作业”向“重点攻坚、固本强基”的战略转型。资源优先集中用于对黑河干流有直接补水效益的黄藏寺、野牛沟、莺落峡三大作业点位的标准化能力建设与跨省协同攻关，于2026-2027年全面完成，形成“重点突出、标准规范”的地面作业网络。</w:t>
      </w:r>
    </w:p>
    <w:p>
      <w:pPr>
        <w:spacing w:line="576"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(二)核心原则</w:t>
      </w:r>
    </w:p>
    <w:p>
      <w:pPr>
        <w:spacing w:line="576"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聚焦关键，优先保障：</w:t>
      </w:r>
      <w:r>
        <w:rPr>
          <w:rFonts w:hint="eastAsia" w:ascii="仿宋_GB2312" w:hAnsi="仿宋_GB2312" w:eastAsia="仿宋_GB2312" w:cs="仿宋_GB2312"/>
          <w:sz w:val="32"/>
          <w:szCs w:val="32"/>
        </w:rPr>
        <w:t>人工影响天气有关规划、资金、资源优先保障三大直接补给点</w:t>
      </w:r>
      <w:r>
        <w:rPr>
          <w:rFonts w:hint="eastAsia" w:ascii="楷体" w:hAnsi="楷体" w:eastAsia="楷体" w:cs="楷体"/>
          <w:sz w:val="28"/>
          <w:szCs w:val="28"/>
        </w:rPr>
        <w:t>【黄藏寺、野牛沟、莺落峡】</w:t>
      </w:r>
      <w:r>
        <w:rPr>
          <w:rFonts w:hint="eastAsia" w:ascii="仿宋_GB2312" w:hAnsi="仿宋_GB2312" w:eastAsia="仿宋_GB2312" w:cs="仿宋_GB2312"/>
          <w:sz w:val="32"/>
          <w:szCs w:val="32"/>
        </w:rPr>
        <w:t>的论证与建设。</w:t>
      </w:r>
    </w:p>
    <w:p>
      <w:pPr>
        <w:spacing w:line="576"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效益导向，精准评估：</w:t>
      </w:r>
      <w:r>
        <w:rPr>
          <w:rFonts w:hint="eastAsia" w:ascii="仿宋_GB2312" w:hAnsi="仿宋_GB2312" w:eastAsia="仿宋_GB2312" w:cs="仿宋_GB2312"/>
          <w:sz w:val="32"/>
          <w:szCs w:val="32"/>
        </w:rPr>
        <w:t>将“形成多少有效干流径流增量”作为衡量项目成效的核心指标，建立与之匹配的评估体系。</w:t>
      </w:r>
    </w:p>
    <w:p>
      <w:pPr>
        <w:spacing w:line="576"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强化协同，健全机制：</w:t>
      </w:r>
      <w:r>
        <w:rPr>
          <w:rFonts w:hint="eastAsia" w:ascii="仿宋_GB2312" w:hAnsi="仿宋_GB2312" w:eastAsia="仿宋_GB2312" w:cs="仿宋_GB2312"/>
          <w:sz w:val="32"/>
          <w:szCs w:val="32"/>
        </w:rPr>
        <w:t>强化水文与气象的深度融合，并建立跨省</w:t>
      </w:r>
      <w:r>
        <w:rPr>
          <w:rFonts w:hint="eastAsia" w:ascii="楷体" w:hAnsi="楷体" w:eastAsia="楷体" w:cs="楷体"/>
          <w:sz w:val="28"/>
          <w:szCs w:val="28"/>
        </w:rPr>
        <w:t>【甘肃、青海、内蒙】</w:t>
      </w:r>
      <w:r>
        <w:rPr>
          <w:rFonts w:hint="eastAsia" w:ascii="仿宋_GB2312" w:hAnsi="仿宋_GB2312" w:eastAsia="仿宋_GB2312" w:cs="仿宋_GB2312"/>
          <w:sz w:val="32"/>
          <w:szCs w:val="32"/>
        </w:rPr>
        <w:t>、跨市州</w:t>
      </w:r>
      <w:r>
        <w:rPr>
          <w:rFonts w:hint="eastAsia" w:ascii="楷体" w:hAnsi="楷体" w:eastAsia="楷体" w:cs="楷体"/>
          <w:sz w:val="28"/>
          <w:szCs w:val="28"/>
        </w:rPr>
        <w:t>【张掖市、海北州、阿拉善盟】</w:t>
      </w:r>
      <w:r>
        <w:rPr>
          <w:rFonts w:hint="eastAsia" w:ascii="楷体" w:hAnsi="楷体" w:eastAsia="楷体" w:cs="楷体"/>
          <w:sz w:val="32"/>
          <w:szCs w:val="32"/>
        </w:rPr>
        <w:t>、</w:t>
      </w:r>
      <w:r>
        <w:rPr>
          <w:rFonts w:hint="eastAsia" w:ascii="仿宋_GB2312" w:hAnsi="仿宋_GB2312" w:eastAsia="仿宋_GB2312" w:cs="仿宋_GB2312"/>
          <w:sz w:val="32"/>
          <w:szCs w:val="32"/>
        </w:rPr>
        <w:t>跨部门</w:t>
      </w:r>
      <w:r>
        <w:rPr>
          <w:rFonts w:hint="eastAsia" w:ascii="楷体" w:hAnsi="楷体" w:eastAsia="楷体" w:cs="楷体"/>
          <w:sz w:val="28"/>
          <w:szCs w:val="28"/>
        </w:rPr>
        <w:t>【气象、水务、军民航】</w:t>
      </w:r>
      <w:r>
        <w:rPr>
          <w:rFonts w:hint="eastAsia" w:ascii="仿宋_GB2312" w:hAnsi="仿宋_GB2312" w:eastAsia="仿宋_GB2312" w:cs="仿宋_GB2312"/>
          <w:sz w:val="32"/>
          <w:szCs w:val="32"/>
        </w:rPr>
        <w:t>的高效协同机制。</w:t>
      </w:r>
    </w:p>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三、主要任务与实施路径</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围绕“两年攻坚、全面成网”的总体目标，实施路径严格遵循“科学勘选、重点攻坚、配套同步、机制先行”的原则，于2026-2027年系统推进以下核心任务：</w:t>
      </w:r>
    </w:p>
    <w:p>
      <w:pPr>
        <w:spacing w:line="576"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(一)组建专班与跨省协同机制</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1.时间安排：2026年完成。</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任务内容：市政府成立“黑河人工增雨补水与生态保障工作协调机制”，负责整体统筹，建立甘肃省张掖市与青海省海北州人工影响天气协同作业机制。围绕黄藏寺、野牛沟两大关键跨境作业点的联合选址标准、共建共管模式及数据共享机制等核心议题开展磋商，2026年内达成框架性协议。</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3.实施主体：由市气象局牵头，统筹发改、财政、水务、自然资源、林草等部门，建立跨部门联席会议制度，重点解决用地审批、空域协调及跨省作业联动</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事宜。</w:t>
      </w:r>
    </w:p>
    <w:p>
      <w:pPr>
        <w:spacing w:line="576"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(二)精细化立体监测勘选</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1.时间安排：2026年完成。</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任务内容：开展为期一年的加密专项观测，通过布设移动气象站、开展雷达协同观测等方式，对黄藏寺、野牛沟、莺落峡三大预设点位及周边区域，进行云水资源分布、地形云生消规律、适宜催化天气过程频率等关键气象要素的精细化勘测。2026年底形成《黑河源区三大直接补给点位工程可行性研究与作业潜力分析报告》，为工程设计与建设提供精准科学依据。</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3.实施要求：完成地质勘察、地形测绘及气象条件分析，2026年10月底前完成工程可行性研究报告及施工图设计，2026年底完成招投标工作。</w:t>
      </w:r>
    </w:p>
    <w:p>
      <w:pPr>
        <w:spacing w:line="576"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(三)核心区标准化地面作业点工程建设</w:t>
      </w:r>
    </w:p>
    <w:p>
      <w:pPr>
        <w:spacing w:line="576"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1.时间安排</w:t>
      </w:r>
      <w:r>
        <w:rPr>
          <w:rFonts w:hint="eastAsia" w:ascii="仿宋_GB2312" w:hAnsi="仿宋_GB2312" w:eastAsia="仿宋_GB2312" w:cs="仿宋_GB2312"/>
          <w:sz w:val="32"/>
          <w:szCs w:val="32"/>
        </w:rPr>
        <w:t>：2026-2027年全面完成3个地面作业点建设。</w:t>
      </w:r>
    </w:p>
    <w:p>
      <w:pPr>
        <w:spacing w:line="576"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2.任务内容</w:t>
      </w:r>
      <w:r>
        <w:rPr>
          <w:rFonts w:hint="eastAsia" w:ascii="仿宋_GB2312" w:hAnsi="仿宋_GB2312" w:eastAsia="仿宋_GB2312" w:cs="仿宋_GB2312"/>
          <w:sz w:val="32"/>
          <w:szCs w:val="32"/>
        </w:rPr>
        <w:t>：在黑河上游三大直接补给点（黄藏寺、野牛沟、莺落峡）建设标准化人工影响天气火箭作业点3个、地面烟炉6个、6要素自动气象站[含称重雨量传感器]3套，购置自动火箭增雨(雪)发射系统3套。各作业点配置实景监控系统、存储保险柜、储运箱、光栅电子围栏、物联网终端手持机、人影对讲群呼设备等。</w:t>
      </w:r>
    </w:p>
    <w:p>
      <w:pPr>
        <w:spacing w:line="576" w:lineRule="exact"/>
        <w:ind w:firstLine="642"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3.建设标准</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标准化作业点严格遵循“两库</w:t>
      </w:r>
      <w:r>
        <w:rPr>
          <w:rFonts w:hint="eastAsia" w:ascii="楷体" w:hAnsi="楷体" w:eastAsia="楷体" w:cs="楷体"/>
          <w:sz w:val="28"/>
          <w:szCs w:val="28"/>
        </w:rPr>
        <w:t>【作业装备库、弹药库】</w:t>
      </w:r>
      <w:r>
        <w:rPr>
          <w:rFonts w:hint="eastAsia" w:ascii="仿宋_GB2312" w:hAnsi="仿宋_GB2312" w:eastAsia="仿宋_GB2312" w:cs="仿宋_GB2312"/>
          <w:sz w:val="32"/>
          <w:szCs w:val="32"/>
        </w:rPr>
        <w:t>、两室</w:t>
      </w:r>
      <w:r>
        <w:rPr>
          <w:rFonts w:hint="eastAsia" w:ascii="楷体" w:hAnsi="楷体" w:eastAsia="楷体" w:cs="楷体"/>
          <w:sz w:val="28"/>
          <w:szCs w:val="28"/>
        </w:rPr>
        <w:t>【值班室、休息室】</w:t>
      </w:r>
      <w:r>
        <w:rPr>
          <w:rFonts w:hint="eastAsia" w:ascii="仿宋_GB2312" w:hAnsi="仿宋_GB2312" w:eastAsia="仿宋_GB2312" w:cs="仿宋_GB2312"/>
          <w:sz w:val="32"/>
          <w:szCs w:val="32"/>
        </w:rPr>
        <w:t>、一平台</w:t>
      </w:r>
      <w:r>
        <w:rPr>
          <w:rFonts w:hint="eastAsia" w:ascii="楷体" w:hAnsi="楷体" w:eastAsia="楷体" w:cs="楷体"/>
          <w:sz w:val="28"/>
          <w:szCs w:val="28"/>
        </w:rPr>
        <w:t>【作业平台】</w:t>
      </w:r>
      <w:r>
        <w:rPr>
          <w:rFonts w:hint="eastAsia" w:ascii="仿宋_GB2312" w:hAnsi="仿宋_GB2312" w:eastAsia="仿宋_GB2312" w:cs="仿宋_GB2312"/>
          <w:sz w:val="32"/>
          <w:szCs w:val="32"/>
        </w:rPr>
        <w:t>”的行业标准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QX/T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329-2016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，每个作业点占地400平方米，包括硬化作业平台(≥200平方米)、建筑面积≥80平方米的库室、围墙、防雷系统、电子围栏及通路、通电、通水、通信设施。</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作业点需避开航路、航线、城镇、油库、重要电力设施、国道和重点文物保护单位；场地应视野开阔，距离居民点500米以上，出炮口弹道上不得有障碍物；场地周围应设立警戒标志和允许射击方位标志。</w:t>
      </w:r>
    </w:p>
    <w:p>
      <w:pPr>
        <w:spacing w:line="570" w:lineRule="exact"/>
        <w:ind w:firstLine="640" w:firstLineChars="200"/>
        <w:rPr>
          <w:rFonts w:ascii="仿宋_GB2312" w:eastAsia="仿宋_GB2312"/>
          <w:spacing w:val="-4"/>
          <w:sz w:val="32"/>
          <w:szCs w:val="32"/>
        </w:rPr>
      </w:pPr>
      <w:r>
        <w:rPr>
          <w:rFonts w:hint="eastAsia" w:ascii="仿宋_GB2312" w:hAnsi="仿宋_GB2312" w:eastAsia="仿宋_GB2312" w:cs="仿宋_GB2312"/>
          <w:sz w:val="32"/>
          <w:szCs w:val="32"/>
        </w:rPr>
        <w:t>地面烟炉布设于山区迎风坡及云系主要路径上，间距10-30公里，具备通电及通信条件，远离易燃易爆场所，避开自然灾害频发地，并且符合森林防火要求。</w:t>
      </w:r>
      <w:r>
        <w:rPr>
          <w:rFonts w:hint="eastAsia" w:ascii="仿宋_GB2312" w:eastAsia="仿宋_GB2312"/>
          <w:sz w:val="32"/>
          <w:szCs w:val="32"/>
        </w:rPr>
        <w:t>场地一般以4m×4m为宜，烟炉之间的间隔以10km到30km为宜。</w:t>
      </w:r>
    </w:p>
    <w:p>
      <w:pPr>
        <w:spacing w:line="576" w:lineRule="exact"/>
        <w:ind w:firstLine="642"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4.装备配置</w:t>
      </w:r>
    </w:p>
    <w:p>
      <w:pPr>
        <w:widowControl/>
        <w:spacing w:line="576" w:lineRule="exact"/>
        <w:ind w:firstLine="640" w:firstLineChars="200"/>
        <w:jc w:val="left"/>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为每个作业点统一配置以下装备：</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958"/>
        <w:gridCol w:w="3752"/>
        <w:gridCol w:w="790"/>
        <w:gridCol w:w="282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9" w:hRule="atLeast"/>
          <w:tblHeader/>
          <w:jc w:val="center"/>
        </w:trPr>
        <w:tc>
          <w:tcPr>
            <w:tcW w:w="0" w:type="auto"/>
            <w:tcBorders>
              <w:tl2br w:val="nil"/>
              <w:tr2bl w:val="nil"/>
            </w:tcBorders>
            <w:shd w:val="clear" w:color="auto" w:fill="auto"/>
            <w:vAlign w:val="center"/>
          </w:tcPr>
          <w:p>
            <w:pPr>
              <w:widowControl/>
              <w:jc w:val="center"/>
              <w:rPr>
                <w:rFonts w:ascii="宋体" w:hAnsi="宋体" w:eastAsia="宋体" w:cs="宋体"/>
                <w:color w:val="000000"/>
                <w:kern w:val="0"/>
                <w:sz w:val="24"/>
                <w:lang w:bidi="ar"/>
              </w:rPr>
            </w:pPr>
            <w:r>
              <w:rPr>
                <w:rFonts w:hint="eastAsia" w:ascii="宋体" w:hAnsi="宋体" w:eastAsia="宋体" w:cs="宋体"/>
                <w:b/>
                <w:bCs/>
                <w:color w:val="000000"/>
                <w:kern w:val="0"/>
                <w:sz w:val="24"/>
                <w:lang w:bidi="ar"/>
              </w:rPr>
              <w:t>装备类别</w:t>
            </w:r>
          </w:p>
        </w:tc>
        <w:tc>
          <w:tcPr>
            <w:tcW w:w="0" w:type="auto"/>
            <w:tcBorders>
              <w:tl2br w:val="nil"/>
              <w:tr2bl w:val="nil"/>
            </w:tcBorders>
            <w:shd w:val="clear" w:color="auto" w:fill="auto"/>
            <w:vAlign w:val="center"/>
          </w:tcPr>
          <w:p>
            <w:pPr>
              <w:widowControl/>
              <w:jc w:val="center"/>
              <w:rPr>
                <w:rFonts w:ascii="宋体" w:hAnsi="宋体" w:eastAsia="宋体" w:cs="宋体"/>
                <w:color w:val="000000"/>
                <w:kern w:val="0"/>
                <w:sz w:val="24"/>
                <w:lang w:bidi="ar"/>
              </w:rPr>
            </w:pPr>
            <w:r>
              <w:rPr>
                <w:rFonts w:hint="eastAsia" w:ascii="宋体" w:hAnsi="宋体" w:eastAsia="宋体" w:cs="宋体"/>
                <w:b/>
                <w:bCs/>
                <w:color w:val="000000"/>
                <w:kern w:val="0"/>
                <w:sz w:val="24"/>
                <w:lang w:bidi="ar"/>
              </w:rPr>
              <w:t>规格型号</w:t>
            </w:r>
          </w:p>
        </w:tc>
        <w:tc>
          <w:tcPr>
            <w:tcW w:w="0" w:type="auto"/>
            <w:tcBorders>
              <w:tl2br w:val="nil"/>
              <w:tr2bl w:val="nil"/>
            </w:tcBorders>
            <w:shd w:val="clear" w:color="auto" w:fill="auto"/>
            <w:vAlign w:val="center"/>
          </w:tcPr>
          <w:p>
            <w:pPr>
              <w:widowControl/>
              <w:jc w:val="center"/>
              <w:rPr>
                <w:rFonts w:ascii="宋体" w:hAnsi="宋体" w:eastAsia="宋体" w:cs="宋体"/>
                <w:color w:val="000000"/>
                <w:kern w:val="0"/>
                <w:sz w:val="24"/>
                <w:lang w:bidi="ar"/>
              </w:rPr>
            </w:pPr>
            <w:r>
              <w:rPr>
                <w:rFonts w:hint="eastAsia" w:ascii="宋体" w:hAnsi="宋体" w:eastAsia="宋体" w:cs="宋体"/>
                <w:b/>
                <w:bCs/>
                <w:color w:val="000000"/>
                <w:kern w:val="0"/>
                <w:sz w:val="24"/>
                <w:lang w:bidi="ar"/>
              </w:rPr>
              <w:t>数量/点</w:t>
            </w:r>
          </w:p>
        </w:tc>
        <w:tc>
          <w:tcPr>
            <w:tcW w:w="0" w:type="auto"/>
            <w:tcBorders>
              <w:tl2br w:val="nil"/>
              <w:tr2bl w:val="nil"/>
            </w:tcBorders>
            <w:shd w:val="clear" w:color="auto" w:fill="auto"/>
            <w:vAlign w:val="center"/>
          </w:tcPr>
          <w:p>
            <w:pPr>
              <w:widowControl/>
              <w:jc w:val="center"/>
              <w:rPr>
                <w:rFonts w:ascii="宋体" w:hAnsi="宋体" w:eastAsia="宋体" w:cs="宋体"/>
                <w:color w:val="000000"/>
                <w:kern w:val="0"/>
                <w:sz w:val="24"/>
                <w:lang w:bidi="ar"/>
              </w:rPr>
            </w:pPr>
            <w:r>
              <w:rPr>
                <w:rFonts w:hint="eastAsia" w:ascii="宋体" w:hAnsi="宋体" w:eastAsia="宋体" w:cs="宋体"/>
                <w:b/>
                <w:bCs/>
                <w:color w:val="000000"/>
                <w:kern w:val="0"/>
                <w:sz w:val="24"/>
                <w:lang w:bidi="ar"/>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3" w:hRule="atLeast"/>
          <w:jc w:val="center"/>
        </w:trPr>
        <w:tc>
          <w:tcPr>
            <w:tcW w:w="0" w:type="auto"/>
            <w:tcBorders>
              <w:tl2br w:val="nil"/>
              <w:tr2bl w:val="nil"/>
            </w:tcBorders>
            <w:shd w:val="clear" w:color="auto" w:fill="auto"/>
            <w:vAlign w:val="center"/>
          </w:tcPr>
          <w:p>
            <w:pPr>
              <w:widowControl/>
              <w:jc w:val="left"/>
              <w:rPr>
                <w:rFonts w:ascii="宋体" w:hAnsi="宋体" w:eastAsia="宋体" w:cs="宋体"/>
                <w:color w:val="000000"/>
                <w:kern w:val="0"/>
                <w:sz w:val="24"/>
                <w:lang w:bidi="ar"/>
              </w:rPr>
            </w:pPr>
            <w:r>
              <w:rPr>
                <w:rFonts w:hint="eastAsia" w:ascii="宋体" w:hAnsi="宋体" w:eastAsia="宋体" w:cs="宋体"/>
                <w:b/>
                <w:color w:val="000000"/>
                <w:sz w:val="24"/>
              </w:rPr>
              <w:t>增雨装备</w:t>
            </w:r>
          </w:p>
        </w:tc>
        <w:tc>
          <w:tcPr>
            <w:tcW w:w="0" w:type="auto"/>
            <w:tcBorders>
              <w:tl2br w:val="nil"/>
              <w:tr2bl w:val="nil"/>
            </w:tcBorders>
            <w:shd w:val="clear" w:color="auto" w:fill="auto"/>
            <w:vAlign w:val="center"/>
          </w:tcPr>
          <w:p>
            <w:pPr>
              <w:widowControl/>
              <w:jc w:val="left"/>
              <w:rPr>
                <w:rFonts w:ascii="宋体" w:hAnsi="宋体" w:eastAsia="宋体" w:cs="宋体"/>
                <w:color w:val="000000"/>
                <w:kern w:val="0"/>
                <w:sz w:val="24"/>
                <w:lang w:bidi="ar"/>
              </w:rPr>
            </w:pPr>
            <w:r>
              <w:rPr>
                <w:rFonts w:hint="eastAsia" w:ascii="宋体" w:hAnsi="宋体" w:eastAsia="宋体" w:cs="宋体"/>
                <w:color w:val="000000"/>
                <w:kern w:val="0"/>
                <w:sz w:val="24"/>
                <w:lang w:bidi="ar"/>
              </w:rPr>
              <w:t>自动火箭发射系统</w:t>
            </w:r>
          </w:p>
        </w:tc>
        <w:tc>
          <w:tcPr>
            <w:tcW w:w="0" w:type="auto"/>
            <w:tcBorders>
              <w:tl2br w:val="nil"/>
              <w:tr2bl w:val="nil"/>
            </w:tcBorders>
            <w:shd w:val="clear" w:color="auto" w:fill="auto"/>
            <w:vAlign w:val="center"/>
          </w:tcPr>
          <w:p>
            <w:pPr>
              <w:widowControl/>
              <w:jc w:val="left"/>
              <w:rPr>
                <w:rFonts w:ascii="宋体" w:hAnsi="宋体" w:eastAsia="宋体" w:cs="宋体"/>
                <w:color w:val="000000"/>
                <w:kern w:val="0"/>
                <w:sz w:val="24"/>
                <w:lang w:bidi="ar"/>
              </w:rPr>
            </w:pPr>
            <w:r>
              <w:rPr>
                <w:rFonts w:hint="eastAsia" w:ascii="宋体" w:hAnsi="宋体" w:eastAsia="宋体" w:cs="宋体"/>
                <w:color w:val="000000"/>
                <w:kern w:val="0"/>
                <w:sz w:val="24"/>
                <w:lang w:bidi="ar"/>
              </w:rPr>
              <w:t>1套</w:t>
            </w:r>
          </w:p>
        </w:tc>
        <w:tc>
          <w:tcPr>
            <w:tcW w:w="0" w:type="auto"/>
            <w:tcBorders>
              <w:tl2br w:val="nil"/>
              <w:tr2bl w:val="nil"/>
            </w:tcBorders>
            <w:shd w:val="clear" w:color="auto" w:fill="auto"/>
            <w:vAlign w:val="center"/>
          </w:tcPr>
          <w:p>
            <w:pPr>
              <w:widowControl/>
              <w:jc w:val="left"/>
              <w:rPr>
                <w:rFonts w:ascii="宋体" w:hAnsi="宋体" w:eastAsia="宋体" w:cs="宋体"/>
                <w:color w:val="000000"/>
                <w:kern w:val="0"/>
                <w:sz w:val="24"/>
                <w:lang w:bidi="ar"/>
              </w:rPr>
            </w:pPr>
            <w:r>
              <w:rPr>
                <w:rFonts w:hint="eastAsia" w:ascii="宋体" w:hAnsi="宋体" w:eastAsia="宋体" w:cs="宋体"/>
                <w:color w:val="000000"/>
                <w:kern w:val="0"/>
                <w:sz w:val="24"/>
                <w:lang w:bidi="ar"/>
              </w:rPr>
              <w:t>含物联网控制终端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7" w:hRule="atLeast"/>
          <w:jc w:val="center"/>
        </w:trPr>
        <w:tc>
          <w:tcPr>
            <w:tcW w:w="0" w:type="auto"/>
            <w:tcBorders>
              <w:tl2br w:val="nil"/>
              <w:tr2bl w:val="nil"/>
            </w:tcBorders>
            <w:shd w:val="clear" w:color="auto" w:fill="auto"/>
            <w:vAlign w:val="center"/>
          </w:tcPr>
          <w:p>
            <w:pPr>
              <w:widowControl/>
              <w:jc w:val="left"/>
              <w:rPr>
                <w:rFonts w:ascii="宋体" w:hAnsi="宋体" w:eastAsia="宋体" w:cs="宋体"/>
                <w:color w:val="000000"/>
                <w:kern w:val="0"/>
                <w:sz w:val="24"/>
                <w:lang w:bidi="ar"/>
              </w:rPr>
            </w:pPr>
            <w:r>
              <w:rPr>
                <w:rFonts w:hint="eastAsia" w:ascii="宋体" w:hAnsi="宋体" w:eastAsia="宋体" w:cs="宋体"/>
                <w:b/>
                <w:color w:val="000000"/>
                <w:sz w:val="24"/>
              </w:rPr>
              <w:t>地面烟炉</w:t>
            </w:r>
          </w:p>
        </w:tc>
        <w:tc>
          <w:tcPr>
            <w:tcW w:w="0" w:type="auto"/>
            <w:tcBorders>
              <w:tl2br w:val="nil"/>
              <w:tr2bl w:val="nil"/>
            </w:tcBorders>
            <w:shd w:val="clear" w:color="auto" w:fill="auto"/>
            <w:vAlign w:val="center"/>
          </w:tcPr>
          <w:p>
            <w:pPr>
              <w:widowControl/>
              <w:jc w:val="left"/>
              <w:rPr>
                <w:rFonts w:ascii="宋体" w:hAnsi="宋体" w:eastAsia="宋体" w:cs="宋体"/>
                <w:color w:val="000000"/>
                <w:kern w:val="0"/>
                <w:sz w:val="24"/>
                <w:lang w:bidi="ar"/>
              </w:rPr>
            </w:pPr>
            <w:r>
              <w:rPr>
                <w:rFonts w:hint="eastAsia" w:ascii="宋体" w:hAnsi="宋体" w:eastAsia="宋体" w:cs="宋体"/>
                <w:color w:val="000000"/>
                <w:kern w:val="0"/>
                <w:sz w:val="24"/>
                <w:lang w:bidi="ar"/>
              </w:rPr>
              <w:t>智能化地面烟炉</w:t>
            </w:r>
          </w:p>
        </w:tc>
        <w:tc>
          <w:tcPr>
            <w:tcW w:w="0" w:type="auto"/>
            <w:tcBorders>
              <w:tl2br w:val="nil"/>
              <w:tr2bl w:val="nil"/>
            </w:tcBorders>
            <w:shd w:val="clear" w:color="auto" w:fill="auto"/>
            <w:vAlign w:val="center"/>
          </w:tcPr>
          <w:p>
            <w:pPr>
              <w:widowControl/>
              <w:jc w:val="left"/>
              <w:rPr>
                <w:rFonts w:ascii="宋体" w:hAnsi="宋体" w:eastAsia="宋体" w:cs="宋体"/>
                <w:color w:val="000000"/>
                <w:kern w:val="0"/>
                <w:sz w:val="24"/>
                <w:lang w:bidi="ar"/>
              </w:rPr>
            </w:pPr>
            <w:r>
              <w:rPr>
                <w:rFonts w:hint="eastAsia" w:ascii="宋体" w:hAnsi="宋体" w:eastAsia="宋体" w:cs="宋体"/>
                <w:color w:val="000000"/>
                <w:kern w:val="0"/>
                <w:sz w:val="24"/>
                <w:lang w:bidi="ar"/>
              </w:rPr>
              <w:t>2个</w:t>
            </w:r>
          </w:p>
        </w:tc>
        <w:tc>
          <w:tcPr>
            <w:tcW w:w="0" w:type="auto"/>
            <w:tcBorders>
              <w:tl2br w:val="nil"/>
              <w:tr2bl w:val="nil"/>
            </w:tcBorders>
            <w:shd w:val="clear" w:color="auto" w:fill="auto"/>
            <w:vAlign w:val="center"/>
          </w:tcPr>
          <w:p>
            <w:pPr>
              <w:widowControl/>
              <w:jc w:val="left"/>
              <w:rPr>
                <w:rFonts w:ascii="宋体" w:hAnsi="宋体" w:eastAsia="宋体" w:cs="宋体"/>
                <w:color w:val="000000"/>
                <w:kern w:val="0"/>
                <w:sz w:val="24"/>
                <w:lang w:bidi="ar"/>
              </w:rPr>
            </w:pPr>
            <w:r>
              <w:rPr>
                <w:rFonts w:hint="eastAsia" w:ascii="宋体" w:hAnsi="宋体" w:eastAsia="宋体" w:cs="宋体"/>
                <w:color w:val="000000"/>
                <w:kern w:val="0"/>
                <w:sz w:val="24"/>
                <w:lang w:bidi="ar"/>
              </w:rPr>
              <w:t>布设于迎风坡，配套控制器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7" w:hRule="atLeast"/>
          <w:jc w:val="center"/>
        </w:trPr>
        <w:tc>
          <w:tcPr>
            <w:tcW w:w="0" w:type="auto"/>
            <w:tcBorders>
              <w:tl2br w:val="nil"/>
              <w:tr2bl w:val="nil"/>
            </w:tcBorders>
            <w:shd w:val="clear" w:color="auto" w:fill="auto"/>
            <w:vAlign w:val="center"/>
          </w:tcPr>
          <w:p>
            <w:pPr>
              <w:widowControl/>
              <w:jc w:val="left"/>
              <w:rPr>
                <w:rFonts w:ascii="宋体" w:hAnsi="宋体" w:eastAsia="宋体" w:cs="宋体"/>
                <w:color w:val="000000"/>
                <w:kern w:val="0"/>
                <w:sz w:val="24"/>
                <w:lang w:bidi="ar"/>
              </w:rPr>
            </w:pPr>
            <w:r>
              <w:rPr>
                <w:rFonts w:hint="eastAsia" w:ascii="宋体" w:hAnsi="宋体" w:eastAsia="宋体" w:cs="宋体"/>
                <w:b/>
                <w:color w:val="000000"/>
                <w:sz w:val="24"/>
              </w:rPr>
              <w:t>监测设施</w:t>
            </w:r>
          </w:p>
        </w:tc>
        <w:tc>
          <w:tcPr>
            <w:tcW w:w="0" w:type="auto"/>
            <w:tcBorders>
              <w:tl2br w:val="nil"/>
              <w:tr2bl w:val="nil"/>
            </w:tcBorders>
            <w:shd w:val="clear" w:color="auto" w:fill="auto"/>
            <w:vAlign w:val="center"/>
          </w:tcPr>
          <w:p>
            <w:pPr>
              <w:widowControl/>
              <w:jc w:val="left"/>
              <w:rPr>
                <w:rFonts w:ascii="宋体" w:hAnsi="宋体" w:eastAsia="宋体" w:cs="宋体"/>
                <w:color w:val="000000"/>
                <w:kern w:val="0"/>
                <w:sz w:val="24"/>
                <w:lang w:bidi="ar"/>
              </w:rPr>
            </w:pPr>
            <w:r>
              <w:rPr>
                <w:rFonts w:hint="eastAsia" w:ascii="宋体" w:hAnsi="宋体" w:eastAsia="宋体" w:cs="宋体"/>
                <w:color w:val="000000"/>
                <w:kern w:val="0"/>
                <w:sz w:val="24"/>
                <w:lang w:bidi="ar"/>
              </w:rPr>
              <w:t>6要素自动气象站（含称重雨量计）</w:t>
            </w:r>
          </w:p>
        </w:tc>
        <w:tc>
          <w:tcPr>
            <w:tcW w:w="0" w:type="auto"/>
            <w:tcBorders>
              <w:tl2br w:val="nil"/>
              <w:tr2bl w:val="nil"/>
            </w:tcBorders>
            <w:shd w:val="clear" w:color="auto" w:fill="auto"/>
            <w:vAlign w:val="center"/>
          </w:tcPr>
          <w:p>
            <w:pPr>
              <w:widowControl/>
              <w:jc w:val="left"/>
              <w:rPr>
                <w:rFonts w:ascii="宋体" w:hAnsi="宋体" w:eastAsia="宋体" w:cs="宋体"/>
                <w:color w:val="000000"/>
                <w:kern w:val="0"/>
                <w:sz w:val="24"/>
                <w:lang w:bidi="ar"/>
              </w:rPr>
            </w:pPr>
            <w:r>
              <w:rPr>
                <w:rFonts w:hint="eastAsia" w:ascii="宋体" w:hAnsi="宋体" w:eastAsia="宋体" w:cs="宋体"/>
                <w:color w:val="000000"/>
                <w:kern w:val="0"/>
                <w:sz w:val="24"/>
                <w:lang w:bidi="ar"/>
              </w:rPr>
              <w:t>1套</w:t>
            </w:r>
          </w:p>
        </w:tc>
        <w:tc>
          <w:tcPr>
            <w:tcW w:w="0" w:type="auto"/>
            <w:tcBorders>
              <w:tl2br w:val="nil"/>
              <w:tr2bl w:val="nil"/>
            </w:tcBorders>
            <w:shd w:val="clear" w:color="auto" w:fill="auto"/>
            <w:vAlign w:val="center"/>
          </w:tcPr>
          <w:p>
            <w:pPr>
              <w:widowControl/>
              <w:jc w:val="left"/>
              <w:rPr>
                <w:rFonts w:ascii="宋体" w:hAnsi="宋体" w:eastAsia="宋体" w:cs="宋体"/>
                <w:color w:val="000000"/>
                <w:kern w:val="0"/>
                <w:sz w:val="24"/>
                <w:lang w:bidi="ar"/>
              </w:rPr>
            </w:pPr>
            <w:r>
              <w:rPr>
                <w:rFonts w:hint="eastAsia" w:ascii="宋体" w:hAnsi="宋体" w:eastAsia="宋体" w:cs="宋体"/>
                <w:color w:val="000000"/>
                <w:kern w:val="0"/>
                <w:sz w:val="24"/>
                <w:lang w:bidi="ar"/>
              </w:rPr>
              <w:t>实时回传气象数据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7" w:hRule="atLeast"/>
          <w:jc w:val="center"/>
        </w:trPr>
        <w:tc>
          <w:tcPr>
            <w:tcW w:w="0" w:type="auto"/>
            <w:tcBorders>
              <w:tl2br w:val="nil"/>
              <w:tr2bl w:val="nil"/>
            </w:tcBorders>
            <w:shd w:val="clear" w:color="auto" w:fill="auto"/>
            <w:vAlign w:val="center"/>
          </w:tcPr>
          <w:p>
            <w:pPr>
              <w:widowControl/>
              <w:jc w:val="left"/>
              <w:rPr>
                <w:rFonts w:ascii="宋体" w:hAnsi="宋体" w:eastAsia="宋体" w:cs="宋体"/>
                <w:color w:val="000000"/>
                <w:kern w:val="0"/>
                <w:sz w:val="24"/>
                <w:lang w:bidi="ar"/>
              </w:rPr>
            </w:pPr>
            <w:r>
              <w:rPr>
                <w:rFonts w:hint="eastAsia" w:ascii="宋体" w:hAnsi="宋体" w:eastAsia="宋体" w:cs="宋体"/>
                <w:b/>
                <w:color w:val="000000"/>
                <w:sz w:val="24"/>
              </w:rPr>
              <w:t>安防设施</w:t>
            </w:r>
          </w:p>
        </w:tc>
        <w:tc>
          <w:tcPr>
            <w:tcW w:w="0" w:type="auto"/>
            <w:tcBorders>
              <w:tl2br w:val="nil"/>
              <w:tr2bl w:val="nil"/>
            </w:tcBorders>
            <w:shd w:val="clear" w:color="auto" w:fill="auto"/>
            <w:vAlign w:val="center"/>
          </w:tcPr>
          <w:p>
            <w:pPr>
              <w:widowControl/>
              <w:jc w:val="left"/>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bidi="ar"/>
              </w:rPr>
              <w:t>实景监控、电子围栏、储存保险柜</w:t>
            </w:r>
            <w:r>
              <w:rPr>
                <w:rFonts w:hint="eastAsia" w:ascii="宋体" w:hAnsi="宋体" w:eastAsia="宋体" w:cs="宋体"/>
                <w:color w:val="000000"/>
                <w:kern w:val="0"/>
                <w:sz w:val="24"/>
                <w:lang w:val="en-US" w:eastAsia="zh-CN" w:bidi="ar"/>
              </w:rPr>
              <w:t>等</w:t>
            </w:r>
          </w:p>
        </w:tc>
        <w:tc>
          <w:tcPr>
            <w:tcW w:w="0" w:type="auto"/>
            <w:tcBorders>
              <w:tl2br w:val="nil"/>
              <w:tr2bl w:val="nil"/>
            </w:tcBorders>
            <w:shd w:val="clear" w:color="auto" w:fill="auto"/>
            <w:vAlign w:val="center"/>
          </w:tcPr>
          <w:p>
            <w:pPr>
              <w:widowControl/>
              <w:jc w:val="left"/>
              <w:rPr>
                <w:rFonts w:ascii="宋体" w:hAnsi="宋体" w:eastAsia="宋体" w:cs="宋体"/>
                <w:color w:val="000000"/>
                <w:kern w:val="0"/>
                <w:sz w:val="24"/>
                <w:lang w:bidi="ar"/>
              </w:rPr>
            </w:pPr>
            <w:r>
              <w:rPr>
                <w:rFonts w:hint="eastAsia" w:ascii="宋体" w:hAnsi="宋体" w:eastAsia="宋体" w:cs="宋体"/>
                <w:color w:val="000000"/>
                <w:kern w:val="0"/>
                <w:sz w:val="24"/>
                <w:lang w:bidi="ar"/>
              </w:rPr>
              <w:t>各1套</w:t>
            </w:r>
          </w:p>
        </w:tc>
        <w:tc>
          <w:tcPr>
            <w:tcW w:w="0" w:type="auto"/>
            <w:tcBorders>
              <w:tl2br w:val="nil"/>
              <w:tr2bl w:val="nil"/>
            </w:tcBorders>
            <w:shd w:val="clear" w:color="auto" w:fill="auto"/>
            <w:vAlign w:val="center"/>
          </w:tcPr>
          <w:p>
            <w:pPr>
              <w:widowControl/>
              <w:jc w:val="left"/>
              <w:rPr>
                <w:rFonts w:ascii="宋体" w:hAnsi="宋体" w:eastAsia="宋体" w:cs="宋体"/>
                <w:color w:val="000000"/>
                <w:kern w:val="0"/>
                <w:sz w:val="24"/>
                <w:lang w:bidi="ar"/>
              </w:rPr>
            </w:pPr>
            <w:r>
              <w:rPr>
                <w:rFonts w:hint="eastAsia" w:ascii="宋体" w:hAnsi="宋体" w:eastAsia="宋体" w:cs="宋体"/>
                <w:color w:val="000000"/>
                <w:kern w:val="0"/>
                <w:sz w:val="24"/>
                <w:lang w:bidi="ar"/>
              </w:rPr>
              <w:t>符合弹药存储安全标准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5" w:hRule="atLeast"/>
          <w:jc w:val="center"/>
        </w:trPr>
        <w:tc>
          <w:tcPr>
            <w:tcW w:w="0" w:type="auto"/>
            <w:tcBorders>
              <w:tl2br w:val="nil"/>
              <w:tr2bl w:val="nil"/>
            </w:tcBorders>
            <w:shd w:val="clear" w:color="auto" w:fill="auto"/>
            <w:vAlign w:val="center"/>
          </w:tcPr>
          <w:p>
            <w:pPr>
              <w:widowControl/>
              <w:jc w:val="left"/>
              <w:rPr>
                <w:rFonts w:ascii="宋体" w:hAnsi="宋体" w:eastAsia="宋体" w:cs="宋体"/>
                <w:color w:val="000000"/>
                <w:kern w:val="0"/>
                <w:sz w:val="24"/>
                <w:lang w:bidi="ar"/>
              </w:rPr>
            </w:pPr>
            <w:r>
              <w:rPr>
                <w:rFonts w:hint="eastAsia" w:ascii="宋体" w:hAnsi="宋体" w:eastAsia="宋体" w:cs="宋体"/>
                <w:b/>
                <w:color w:val="000000"/>
                <w:sz w:val="24"/>
              </w:rPr>
              <w:t>储运设施</w:t>
            </w:r>
          </w:p>
        </w:tc>
        <w:tc>
          <w:tcPr>
            <w:tcW w:w="0" w:type="auto"/>
            <w:tcBorders>
              <w:tl2br w:val="nil"/>
              <w:tr2bl w:val="nil"/>
            </w:tcBorders>
            <w:shd w:val="clear" w:color="auto" w:fill="auto"/>
            <w:vAlign w:val="center"/>
          </w:tcPr>
          <w:p>
            <w:pPr>
              <w:widowControl/>
              <w:jc w:val="left"/>
              <w:rPr>
                <w:rFonts w:ascii="宋体" w:hAnsi="宋体" w:eastAsia="宋体" w:cs="宋体"/>
                <w:color w:val="000000"/>
                <w:kern w:val="0"/>
                <w:sz w:val="24"/>
                <w:lang w:bidi="ar"/>
              </w:rPr>
            </w:pPr>
            <w:r>
              <w:rPr>
                <w:rFonts w:hint="eastAsia" w:ascii="宋体" w:hAnsi="宋体" w:eastAsia="宋体" w:cs="宋体"/>
                <w:color w:val="000000"/>
                <w:kern w:val="0"/>
                <w:sz w:val="24"/>
                <w:lang w:bidi="ar"/>
              </w:rPr>
              <w:t>专用运输柜（储运箱）</w:t>
            </w:r>
          </w:p>
        </w:tc>
        <w:tc>
          <w:tcPr>
            <w:tcW w:w="0" w:type="auto"/>
            <w:tcBorders>
              <w:tl2br w:val="nil"/>
              <w:tr2bl w:val="nil"/>
            </w:tcBorders>
            <w:shd w:val="clear" w:color="auto" w:fill="auto"/>
            <w:vAlign w:val="center"/>
          </w:tcPr>
          <w:p>
            <w:pPr>
              <w:widowControl/>
              <w:jc w:val="left"/>
              <w:rPr>
                <w:rFonts w:ascii="宋体" w:hAnsi="宋体" w:eastAsia="宋体" w:cs="宋体"/>
                <w:color w:val="000000"/>
                <w:kern w:val="0"/>
                <w:sz w:val="24"/>
                <w:lang w:bidi="ar"/>
              </w:rPr>
            </w:pPr>
            <w:r>
              <w:rPr>
                <w:rFonts w:hint="eastAsia" w:ascii="宋体" w:hAnsi="宋体" w:eastAsia="宋体" w:cs="宋体"/>
                <w:color w:val="000000"/>
                <w:kern w:val="0"/>
                <w:sz w:val="24"/>
                <w:lang w:bidi="ar"/>
              </w:rPr>
              <w:t>1个</w:t>
            </w:r>
          </w:p>
        </w:tc>
        <w:tc>
          <w:tcPr>
            <w:tcW w:w="0" w:type="auto"/>
            <w:tcBorders>
              <w:tl2br w:val="nil"/>
              <w:tr2bl w:val="nil"/>
            </w:tcBorders>
            <w:shd w:val="clear" w:color="auto" w:fill="auto"/>
            <w:vAlign w:val="center"/>
          </w:tcPr>
          <w:p>
            <w:pPr>
              <w:widowControl/>
              <w:jc w:val="left"/>
              <w:rPr>
                <w:rFonts w:ascii="宋体" w:hAnsi="宋体" w:eastAsia="宋体" w:cs="宋体"/>
                <w:color w:val="000000"/>
                <w:kern w:val="0"/>
                <w:sz w:val="24"/>
                <w:lang w:bidi="ar"/>
              </w:rPr>
            </w:pPr>
            <w:r>
              <w:rPr>
                <w:rFonts w:hint="eastAsia" w:ascii="宋体" w:hAnsi="宋体" w:eastAsia="宋体" w:cs="宋体"/>
                <w:color w:val="000000"/>
                <w:kern w:val="0"/>
                <w:sz w:val="24"/>
                <w:lang w:bidi="ar"/>
              </w:rPr>
              <w:t>用于弹药转运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0" w:type="auto"/>
            <w:tcBorders>
              <w:tl2br w:val="nil"/>
              <w:tr2bl w:val="nil"/>
            </w:tcBorders>
            <w:shd w:val="clear" w:color="auto" w:fill="auto"/>
            <w:vAlign w:val="center"/>
          </w:tcPr>
          <w:p>
            <w:pPr>
              <w:widowControl/>
              <w:jc w:val="left"/>
              <w:rPr>
                <w:rFonts w:ascii="宋体" w:hAnsi="宋体" w:eastAsia="宋体" w:cs="宋体"/>
                <w:color w:val="000000"/>
                <w:kern w:val="0"/>
                <w:sz w:val="24"/>
                <w:lang w:bidi="ar"/>
              </w:rPr>
            </w:pPr>
            <w:r>
              <w:rPr>
                <w:rFonts w:hint="eastAsia" w:ascii="宋体" w:hAnsi="宋体" w:eastAsia="宋体" w:cs="宋体"/>
                <w:b/>
                <w:color w:val="000000"/>
                <w:sz w:val="24"/>
              </w:rPr>
              <w:t>通信设备</w:t>
            </w:r>
          </w:p>
        </w:tc>
        <w:tc>
          <w:tcPr>
            <w:tcW w:w="0" w:type="auto"/>
            <w:tcBorders>
              <w:tl2br w:val="nil"/>
              <w:tr2bl w:val="nil"/>
            </w:tcBorders>
            <w:shd w:val="clear" w:color="auto" w:fill="auto"/>
            <w:vAlign w:val="center"/>
          </w:tcPr>
          <w:p>
            <w:pPr>
              <w:widowControl/>
              <w:jc w:val="left"/>
              <w:rPr>
                <w:rFonts w:ascii="宋体" w:hAnsi="宋体" w:eastAsia="宋体" w:cs="宋体"/>
                <w:color w:val="000000"/>
                <w:kern w:val="0"/>
                <w:sz w:val="24"/>
                <w:lang w:bidi="ar"/>
              </w:rPr>
            </w:pPr>
            <w:r>
              <w:rPr>
                <w:rFonts w:hint="eastAsia" w:ascii="宋体" w:hAnsi="宋体" w:eastAsia="宋体" w:cs="宋体"/>
                <w:color w:val="000000"/>
                <w:kern w:val="0"/>
                <w:sz w:val="24"/>
                <w:lang w:bidi="ar"/>
              </w:rPr>
              <w:t>物联网终端、对讲</w:t>
            </w:r>
            <w:r>
              <w:rPr>
                <w:rFonts w:hint="eastAsia" w:ascii="宋体" w:hAnsi="宋体" w:eastAsia="宋体" w:cs="宋体"/>
                <w:color w:val="000000"/>
                <w:kern w:val="0"/>
                <w:sz w:val="24"/>
                <w:lang w:val="en-US" w:eastAsia="zh-CN" w:bidi="ar"/>
              </w:rPr>
              <w:t>等</w:t>
            </w:r>
            <w:r>
              <w:rPr>
                <w:rFonts w:hint="eastAsia" w:ascii="宋体" w:hAnsi="宋体" w:eastAsia="宋体" w:cs="宋体"/>
                <w:color w:val="000000"/>
                <w:kern w:val="0"/>
                <w:sz w:val="24"/>
                <w:lang w:bidi="ar"/>
              </w:rPr>
              <w:t>群呼设备</w:t>
            </w:r>
          </w:p>
        </w:tc>
        <w:tc>
          <w:tcPr>
            <w:tcW w:w="0" w:type="auto"/>
            <w:tcBorders>
              <w:tl2br w:val="nil"/>
              <w:tr2bl w:val="nil"/>
            </w:tcBorders>
            <w:shd w:val="clear" w:color="auto" w:fill="auto"/>
            <w:vAlign w:val="center"/>
          </w:tcPr>
          <w:p>
            <w:pPr>
              <w:widowControl/>
              <w:jc w:val="left"/>
              <w:rPr>
                <w:rFonts w:ascii="宋体" w:hAnsi="宋体" w:eastAsia="宋体" w:cs="宋体"/>
                <w:color w:val="000000"/>
                <w:kern w:val="0"/>
                <w:sz w:val="24"/>
                <w:lang w:bidi="ar"/>
              </w:rPr>
            </w:pPr>
            <w:r>
              <w:rPr>
                <w:rFonts w:hint="eastAsia" w:ascii="宋体" w:hAnsi="宋体" w:eastAsia="宋体" w:cs="宋体"/>
                <w:color w:val="000000"/>
                <w:kern w:val="0"/>
                <w:sz w:val="24"/>
                <w:lang w:bidi="ar"/>
              </w:rPr>
              <w:t>各1套</w:t>
            </w:r>
          </w:p>
        </w:tc>
        <w:tc>
          <w:tcPr>
            <w:tcW w:w="0" w:type="auto"/>
            <w:tcBorders>
              <w:tl2br w:val="nil"/>
              <w:tr2bl w:val="nil"/>
            </w:tcBorders>
            <w:shd w:val="clear" w:color="auto" w:fill="auto"/>
            <w:vAlign w:val="center"/>
          </w:tcPr>
          <w:p>
            <w:pPr>
              <w:widowControl/>
              <w:jc w:val="left"/>
              <w:rPr>
                <w:rFonts w:ascii="宋体" w:hAnsi="宋体" w:eastAsia="宋体" w:cs="宋体"/>
                <w:color w:val="000000"/>
                <w:kern w:val="0"/>
                <w:sz w:val="24"/>
                <w:lang w:bidi="ar"/>
              </w:rPr>
            </w:pPr>
            <w:r>
              <w:rPr>
                <w:rFonts w:hint="eastAsia" w:ascii="宋体" w:hAnsi="宋体" w:eastAsia="宋体" w:cs="宋体"/>
                <w:color w:val="000000"/>
                <w:kern w:val="0"/>
                <w:sz w:val="24"/>
                <w:lang w:bidi="ar"/>
              </w:rPr>
              <w:t>保障作业指令畅通</w:t>
            </w:r>
          </w:p>
        </w:tc>
      </w:tr>
    </w:tbl>
    <w:p>
      <w:pPr>
        <w:spacing w:line="576"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5.实施进度</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2026年：完成协调机制建立、前期勘选及招投标</w:t>
      </w:r>
      <w:r>
        <w:rPr>
          <w:rFonts w:hint="eastAsia" w:ascii="仿宋_GB2312" w:hAnsi="仿宋_GB2312" w:eastAsia="仿宋_GB2312" w:cs="仿宋_GB2312"/>
          <w:sz w:val="32"/>
          <w:szCs w:val="32"/>
          <w:lang w:val="en-US" w:eastAsia="zh-CN"/>
        </w:rPr>
        <w:t>等工作</w:t>
      </w:r>
      <w:r>
        <w:rPr>
          <w:rFonts w:hint="eastAsia" w:ascii="仿宋_GB2312" w:hAnsi="仿宋_GB2312" w:eastAsia="仿宋_GB2312" w:cs="仿宋_GB2312"/>
          <w:sz w:val="32"/>
          <w:szCs w:val="32"/>
        </w:rPr>
        <w:t>。</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2027年3-9月：完成3个作业点土建施工。</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2027年10月-12月：完成装备安装、验收及试运行。</w:t>
      </w:r>
    </w:p>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 xml:space="preserve">四、投资估算(2026-2027年) </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2026-2027年总投资估算为567.00万元，全部用于核心区地面作业点建设。明细如下：</w:t>
      </w:r>
    </w:p>
    <w:tbl>
      <w:tblPr>
        <w:tblStyle w:val="4"/>
        <w:tblW w:w="884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
      <w:tblGrid>
        <w:gridCol w:w="934"/>
        <w:gridCol w:w="2580"/>
        <w:gridCol w:w="780"/>
        <w:gridCol w:w="756"/>
        <w:gridCol w:w="804"/>
        <w:gridCol w:w="958"/>
        <w:gridCol w:w="203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blHeader/>
        </w:trPr>
        <w:tc>
          <w:tcPr>
            <w:tcW w:w="934" w:type="dxa"/>
            <w:tcBorders>
              <w:tl2br w:val="nil"/>
              <w:tr2bl w:val="nil"/>
            </w:tcBorders>
            <w:shd w:val="clear" w:color="auto" w:fill="auto"/>
            <w:vAlign w:val="center"/>
          </w:tcPr>
          <w:p>
            <w:pPr>
              <w:jc w:val="center"/>
              <w:rPr>
                <w:rFonts w:ascii="宋体" w:hAnsi="宋体" w:eastAsia="宋体" w:cs="宋体"/>
                <w:b/>
                <w:bCs/>
                <w:sz w:val="24"/>
              </w:rPr>
            </w:pPr>
            <w:r>
              <w:rPr>
                <w:rFonts w:hint="eastAsia" w:ascii="宋体" w:hAnsi="宋体" w:eastAsia="宋体" w:cs="宋体"/>
                <w:b/>
                <w:bCs/>
                <w:sz w:val="24"/>
              </w:rPr>
              <w:t>序号</w:t>
            </w:r>
          </w:p>
        </w:tc>
        <w:tc>
          <w:tcPr>
            <w:tcW w:w="2580" w:type="dxa"/>
            <w:tcBorders>
              <w:tl2br w:val="nil"/>
              <w:tr2bl w:val="nil"/>
            </w:tcBorders>
            <w:shd w:val="clear" w:color="auto" w:fill="auto"/>
            <w:vAlign w:val="center"/>
          </w:tcPr>
          <w:p>
            <w:pPr>
              <w:jc w:val="center"/>
              <w:rPr>
                <w:rFonts w:ascii="宋体" w:hAnsi="宋体" w:eastAsia="宋体" w:cs="宋体"/>
                <w:b/>
                <w:bCs/>
                <w:sz w:val="24"/>
              </w:rPr>
            </w:pPr>
            <w:r>
              <w:rPr>
                <w:rFonts w:hint="eastAsia" w:ascii="宋体" w:hAnsi="宋体" w:eastAsia="宋体" w:cs="宋体"/>
                <w:b/>
                <w:bCs/>
                <w:sz w:val="24"/>
              </w:rPr>
              <w:t>项目名称</w:t>
            </w:r>
          </w:p>
        </w:tc>
        <w:tc>
          <w:tcPr>
            <w:tcW w:w="780" w:type="dxa"/>
            <w:tcBorders>
              <w:tl2br w:val="nil"/>
              <w:tr2bl w:val="nil"/>
            </w:tcBorders>
            <w:shd w:val="clear" w:color="auto" w:fill="auto"/>
            <w:vAlign w:val="center"/>
          </w:tcPr>
          <w:p>
            <w:pPr>
              <w:jc w:val="center"/>
              <w:rPr>
                <w:rFonts w:ascii="宋体" w:hAnsi="宋体" w:eastAsia="宋体" w:cs="宋体"/>
                <w:b/>
                <w:bCs/>
                <w:sz w:val="24"/>
              </w:rPr>
            </w:pPr>
            <w:r>
              <w:rPr>
                <w:rFonts w:hint="eastAsia" w:ascii="宋体" w:hAnsi="宋体" w:eastAsia="宋体" w:cs="宋体"/>
                <w:b/>
                <w:bCs/>
                <w:sz w:val="24"/>
              </w:rPr>
              <w:t>单位</w:t>
            </w:r>
          </w:p>
        </w:tc>
        <w:tc>
          <w:tcPr>
            <w:tcW w:w="756" w:type="dxa"/>
            <w:tcBorders>
              <w:tl2br w:val="nil"/>
              <w:tr2bl w:val="nil"/>
            </w:tcBorders>
            <w:shd w:val="clear" w:color="auto" w:fill="auto"/>
            <w:vAlign w:val="center"/>
          </w:tcPr>
          <w:p>
            <w:pPr>
              <w:jc w:val="center"/>
              <w:rPr>
                <w:rFonts w:ascii="宋体" w:hAnsi="宋体" w:eastAsia="宋体" w:cs="宋体"/>
                <w:b/>
                <w:bCs/>
                <w:sz w:val="24"/>
              </w:rPr>
            </w:pPr>
            <w:r>
              <w:rPr>
                <w:rFonts w:hint="eastAsia" w:ascii="宋体" w:hAnsi="宋体" w:eastAsia="宋体" w:cs="宋体"/>
                <w:b/>
                <w:bCs/>
                <w:sz w:val="24"/>
              </w:rPr>
              <w:t>数量</w:t>
            </w:r>
          </w:p>
        </w:tc>
        <w:tc>
          <w:tcPr>
            <w:tcW w:w="804" w:type="dxa"/>
            <w:tcBorders>
              <w:tl2br w:val="nil"/>
              <w:tr2bl w:val="nil"/>
            </w:tcBorders>
            <w:shd w:val="clear" w:color="auto" w:fill="auto"/>
            <w:vAlign w:val="center"/>
          </w:tcPr>
          <w:p>
            <w:pPr>
              <w:jc w:val="center"/>
              <w:rPr>
                <w:rFonts w:ascii="宋体" w:hAnsi="宋体" w:eastAsia="宋体" w:cs="宋体"/>
                <w:b/>
                <w:bCs/>
                <w:sz w:val="24"/>
              </w:rPr>
            </w:pPr>
            <w:r>
              <w:rPr>
                <w:rFonts w:hint="eastAsia" w:ascii="宋体" w:hAnsi="宋体" w:eastAsia="宋体" w:cs="宋体"/>
                <w:b/>
                <w:bCs/>
                <w:sz w:val="24"/>
              </w:rPr>
              <w:t>单价</w:t>
            </w:r>
          </w:p>
          <w:p>
            <w:pPr>
              <w:jc w:val="center"/>
              <w:rPr>
                <w:rFonts w:ascii="宋体" w:hAnsi="宋体" w:eastAsia="宋体" w:cs="宋体"/>
                <w:b/>
                <w:bCs/>
                <w:sz w:val="24"/>
              </w:rPr>
            </w:pPr>
            <w:r>
              <w:rPr>
                <w:rFonts w:hint="eastAsia" w:ascii="宋体" w:hAnsi="宋体" w:eastAsia="宋体" w:cs="宋体"/>
                <w:b/>
                <w:bCs/>
                <w:sz w:val="24"/>
              </w:rPr>
              <w:t>(万元)</w:t>
            </w:r>
          </w:p>
        </w:tc>
        <w:tc>
          <w:tcPr>
            <w:tcW w:w="958" w:type="dxa"/>
            <w:tcBorders>
              <w:tl2br w:val="nil"/>
              <w:tr2bl w:val="nil"/>
            </w:tcBorders>
            <w:shd w:val="clear" w:color="auto" w:fill="auto"/>
            <w:vAlign w:val="center"/>
          </w:tcPr>
          <w:p>
            <w:pPr>
              <w:jc w:val="center"/>
              <w:rPr>
                <w:rFonts w:ascii="宋体" w:hAnsi="宋体" w:eastAsia="宋体" w:cs="宋体"/>
                <w:b/>
                <w:bCs/>
                <w:sz w:val="24"/>
              </w:rPr>
            </w:pPr>
            <w:r>
              <w:rPr>
                <w:rFonts w:hint="eastAsia" w:ascii="宋体" w:hAnsi="宋体" w:eastAsia="宋体" w:cs="宋体"/>
                <w:b/>
                <w:bCs/>
                <w:sz w:val="24"/>
              </w:rPr>
              <w:t>合计</w:t>
            </w:r>
          </w:p>
          <w:p>
            <w:pPr>
              <w:jc w:val="center"/>
              <w:rPr>
                <w:rFonts w:ascii="宋体" w:hAnsi="宋体" w:eastAsia="宋体" w:cs="宋体"/>
                <w:b/>
                <w:bCs/>
                <w:sz w:val="24"/>
              </w:rPr>
            </w:pPr>
            <w:r>
              <w:rPr>
                <w:rFonts w:hint="eastAsia" w:ascii="宋体" w:hAnsi="宋体" w:eastAsia="宋体" w:cs="宋体"/>
                <w:b/>
                <w:bCs/>
                <w:sz w:val="24"/>
              </w:rPr>
              <w:t>(万元)</w:t>
            </w:r>
          </w:p>
        </w:tc>
        <w:tc>
          <w:tcPr>
            <w:tcW w:w="2037" w:type="dxa"/>
            <w:tcBorders>
              <w:tl2br w:val="nil"/>
              <w:tr2bl w:val="nil"/>
            </w:tcBorders>
            <w:shd w:val="clear" w:color="auto" w:fill="auto"/>
            <w:vAlign w:val="center"/>
          </w:tcPr>
          <w:p>
            <w:pPr>
              <w:jc w:val="center"/>
              <w:rPr>
                <w:rFonts w:ascii="宋体" w:hAnsi="宋体" w:eastAsia="宋体" w:cs="宋体"/>
                <w:b/>
                <w:bCs/>
                <w:sz w:val="24"/>
              </w:rPr>
            </w:pPr>
            <w:r>
              <w:rPr>
                <w:rFonts w:hint="eastAsia" w:ascii="宋体" w:hAnsi="宋体" w:eastAsia="宋体" w:cs="宋体"/>
                <w:b/>
                <w:bCs/>
                <w:sz w:val="24"/>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409" w:hRule="atLeast"/>
        </w:trPr>
        <w:tc>
          <w:tcPr>
            <w:tcW w:w="934" w:type="dxa"/>
            <w:tcBorders>
              <w:tl2br w:val="nil"/>
              <w:tr2bl w:val="nil"/>
            </w:tcBorders>
            <w:shd w:val="clear" w:color="auto" w:fill="auto"/>
            <w:vAlign w:val="center"/>
          </w:tcPr>
          <w:p>
            <w:pPr>
              <w:rPr>
                <w:rFonts w:ascii="宋体" w:hAnsi="宋体" w:eastAsia="宋体" w:cs="宋体"/>
                <w:b/>
                <w:bCs/>
                <w:sz w:val="24"/>
              </w:rPr>
            </w:pPr>
            <w:r>
              <w:rPr>
                <w:rFonts w:hint="eastAsia" w:ascii="宋体" w:hAnsi="宋体" w:eastAsia="宋体" w:cs="宋体"/>
                <w:b/>
                <w:bCs/>
                <w:sz w:val="24"/>
              </w:rPr>
              <w:t>1​</w:t>
            </w:r>
          </w:p>
        </w:tc>
        <w:tc>
          <w:tcPr>
            <w:tcW w:w="2580" w:type="dxa"/>
            <w:tcBorders>
              <w:tl2br w:val="nil"/>
              <w:tr2bl w:val="nil"/>
            </w:tcBorders>
            <w:shd w:val="clear" w:color="auto" w:fill="auto"/>
            <w:vAlign w:val="center"/>
          </w:tcPr>
          <w:p>
            <w:pPr>
              <w:rPr>
                <w:rFonts w:ascii="宋体" w:hAnsi="宋体" w:eastAsia="宋体" w:cs="宋体"/>
                <w:b/>
                <w:bCs/>
                <w:sz w:val="24"/>
              </w:rPr>
            </w:pPr>
            <w:r>
              <w:rPr>
                <w:rFonts w:hint="eastAsia" w:ascii="宋体" w:hAnsi="宋体" w:eastAsia="宋体" w:cs="宋体"/>
                <w:b/>
                <w:bCs/>
                <w:sz w:val="24"/>
              </w:rPr>
              <w:t>工程费用​</w:t>
            </w:r>
          </w:p>
        </w:tc>
        <w:tc>
          <w:tcPr>
            <w:tcW w:w="780" w:type="dxa"/>
            <w:tcBorders>
              <w:tl2br w:val="nil"/>
              <w:tr2bl w:val="nil"/>
            </w:tcBorders>
            <w:shd w:val="clear" w:color="auto" w:fill="auto"/>
            <w:vAlign w:val="center"/>
          </w:tcPr>
          <w:p>
            <w:pPr>
              <w:jc w:val="center"/>
              <w:rPr>
                <w:rFonts w:ascii="宋体" w:hAnsi="宋体" w:eastAsia="宋体" w:cs="宋体"/>
                <w:b/>
                <w:bCs/>
                <w:sz w:val="24"/>
              </w:rPr>
            </w:pPr>
          </w:p>
        </w:tc>
        <w:tc>
          <w:tcPr>
            <w:tcW w:w="756" w:type="dxa"/>
            <w:tcBorders>
              <w:tl2br w:val="nil"/>
              <w:tr2bl w:val="nil"/>
            </w:tcBorders>
            <w:shd w:val="clear" w:color="auto" w:fill="auto"/>
            <w:vAlign w:val="center"/>
          </w:tcPr>
          <w:p>
            <w:pPr>
              <w:jc w:val="center"/>
              <w:rPr>
                <w:rFonts w:ascii="宋体" w:hAnsi="宋体" w:eastAsia="宋体" w:cs="宋体"/>
                <w:b/>
                <w:bCs/>
                <w:sz w:val="24"/>
              </w:rPr>
            </w:pPr>
          </w:p>
        </w:tc>
        <w:tc>
          <w:tcPr>
            <w:tcW w:w="804" w:type="dxa"/>
            <w:tcBorders>
              <w:tl2br w:val="nil"/>
              <w:tr2bl w:val="nil"/>
            </w:tcBorders>
            <w:shd w:val="clear" w:color="auto" w:fill="auto"/>
            <w:vAlign w:val="center"/>
          </w:tcPr>
          <w:p>
            <w:pPr>
              <w:jc w:val="center"/>
              <w:rPr>
                <w:rFonts w:ascii="宋体" w:hAnsi="宋体" w:eastAsia="宋体" w:cs="宋体"/>
                <w:b/>
                <w:bCs/>
                <w:sz w:val="24"/>
              </w:rPr>
            </w:pPr>
          </w:p>
        </w:tc>
        <w:tc>
          <w:tcPr>
            <w:tcW w:w="958" w:type="dxa"/>
            <w:tcBorders>
              <w:tl2br w:val="nil"/>
              <w:tr2bl w:val="nil"/>
            </w:tcBorders>
            <w:shd w:val="clear" w:color="auto" w:fill="auto"/>
            <w:vAlign w:val="center"/>
          </w:tcPr>
          <w:p>
            <w:pPr>
              <w:jc w:val="center"/>
              <w:rPr>
                <w:rFonts w:ascii="宋体" w:hAnsi="宋体" w:eastAsia="宋体" w:cs="宋体"/>
                <w:b/>
                <w:bCs/>
                <w:sz w:val="24"/>
              </w:rPr>
            </w:pPr>
            <w:r>
              <w:rPr>
                <w:rFonts w:hint="eastAsia" w:ascii="宋体" w:hAnsi="宋体" w:eastAsia="宋体" w:cs="宋体"/>
                <w:b/>
                <w:bCs/>
                <w:sz w:val="24"/>
              </w:rPr>
              <w:t>444.00</w:t>
            </w:r>
          </w:p>
        </w:tc>
        <w:tc>
          <w:tcPr>
            <w:tcW w:w="2037" w:type="dxa"/>
            <w:tcBorders>
              <w:tl2br w:val="nil"/>
              <w:tr2bl w:val="nil"/>
            </w:tcBorders>
            <w:shd w:val="clear" w:color="auto" w:fill="auto"/>
            <w:vAlign w:val="center"/>
          </w:tcPr>
          <w:p>
            <w:pPr>
              <w:rPr>
                <w:rFonts w:ascii="宋体" w:hAnsi="宋体" w:eastAsia="宋体" w:cs="宋体"/>
                <w:b/>
                <w:bCs/>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c>
          <w:tcPr>
            <w:tcW w:w="934" w:type="dxa"/>
            <w:tcBorders>
              <w:tl2br w:val="nil"/>
              <w:tr2bl w:val="nil"/>
            </w:tcBorders>
            <w:shd w:val="clear" w:color="auto" w:fill="auto"/>
            <w:vAlign w:val="center"/>
          </w:tcPr>
          <w:p>
            <w:pPr>
              <w:rPr>
                <w:rFonts w:ascii="宋体" w:hAnsi="宋体" w:eastAsia="宋体" w:cs="宋体"/>
                <w:sz w:val="24"/>
              </w:rPr>
            </w:pPr>
            <w:r>
              <w:rPr>
                <w:rFonts w:hint="eastAsia" w:ascii="宋体" w:hAnsi="宋体" w:eastAsia="宋体" w:cs="宋体"/>
                <w:sz w:val="24"/>
              </w:rPr>
              <w:t>1.1</w:t>
            </w:r>
          </w:p>
        </w:tc>
        <w:tc>
          <w:tcPr>
            <w:tcW w:w="2580" w:type="dxa"/>
            <w:tcBorders>
              <w:tl2br w:val="nil"/>
              <w:tr2bl w:val="nil"/>
            </w:tcBorders>
            <w:shd w:val="clear" w:color="auto" w:fill="auto"/>
            <w:vAlign w:val="center"/>
          </w:tcPr>
          <w:p>
            <w:pPr>
              <w:rPr>
                <w:rFonts w:ascii="宋体" w:hAnsi="宋体" w:eastAsia="宋体" w:cs="宋体"/>
                <w:sz w:val="24"/>
              </w:rPr>
            </w:pPr>
            <w:r>
              <w:rPr>
                <w:rFonts w:hint="eastAsia" w:ascii="宋体" w:hAnsi="宋体" w:eastAsia="宋体" w:cs="宋体"/>
                <w:sz w:val="24"/>
              </w:rPr>
              <w:t>建筑与安装工程费</w:t>
            </w:r>
          </w:p>
        </w:tc>
        <w:tc>
          <w:tcPr>
            <w:tcW w:w="780" w:type="dxa"/>
            <w:tcBorders>
              <w:tl2br w:val="nil"/>
              <w:tr2bl w:val="nil"/>
            </w:tcBorders>
            <w:shd w:val="clear" w:color="auto" w:fill="auto"/>
            <w:vAlign w:val="center"/>
          </w:tcPr>
          <w:p>
            <w:pPr>
              <w:jc w:val="center"/>
              <w:rPr>
                <w:rFonts w:ascii="宋体" w:hAnsi="宋体" w:eastAsia="宋体" w:cs="宋体"/>
                <w:sz w:val="24"/>
              </w:rPr>
            </w:pPr>
          </w:p>
        </w:tc>
        <w:tc>
          <w:tcPr>
            <w:tcW w:w="756" w:type="dxa"/>
            <w:tcBorders>
              <w:tl2br w:val="nil"/>
              <w:tr2bl w:val="nil"/>
            </w:tcBorders>
            <w:shd w:val="clear" w:color="auto" w:fill="auto"/>
            <w:vAlign w:val="center"/>
          </w:tcPr>
          <w:p>
            <w:pPr>
              <w:jc w:val="center"/>
              <w:rPr>
                <w:rFonts w:ascii="宋体" w:hAnsi="宋体" w:eastAsia="宋体" w:cs="宋体"/>
                <w:sz w:val="24"/>
              </w:rPr>
            </w:pPr>
          </w:p>
        </w:tc>
        <w:tc>
          <w:tcPr>
            <w:tcW w:w="804" w:type="dxa"/>
            <w:tcBorders>
              <w:tl2br w:val="nil"/>
              <w:tr2bl w:val="nil"/>
            </w:tcBorders>
            <w:shd w:val="clear" w:color="auto" w:fill="auto"/>
            <w:vAlign w:val="center"/>
          </w:tcPr>
          <w:p>
            <w:pPr>
              <w:jc w:val="center"/>
              <w:rPr>
                <w:rFonts w:ascii="宋体" w:hAnsi="宋体" w:eastAsia="宋体" w:cs="宋体"/>
                <w:sz w:val="24"/>
              </w:rPr>
            </w:pPr>
          </w:p>
        </w:tc>
        <w:tc>
          <w:tcPr>
            <w:tcW w:w="958" w:type="dxa"/>
            <w:tcBorders>
              <w:tl2br w:val="nil"/>
              <w:tr2bl w:val="nil"/>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219.00​</w:t>
            </w:r>
          </w:p>
        </w:tc>
        <w:tc>
          <w:tcPr>
            <w:tcW w:w="2037" w:type="dxa"/>
            <w:tcBorders>
              <w:tl2br w:val="nil"/>
              <w:tr2bl w:val="nil"/>
            </w:tcBorders>
            <w:shd w:val="clear" w:color="auto" w:fill="auto"/>
            <w:vAlign w:val="center"/>
          </w:tcPr>
          <w:p>
            <w:pPr>
              <w:rPr>
                <w:rFonts w:ascii="宋体" w:hAnsi="宋体" w:eastAsia="宋体" w:cs="宋体"/>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c>
          <w:tcPr>
            <w:tcW w:w="934" w:type="dxa"/>
            <w:tcBorders>
              <w:tl2br w:val="nil"/>
              <w:tr2bl w:val="nil"/>
            </w:tcBorders>
            <w:shd w:val="clear" w:color="auto" w:fill="auto"/>
            <w:vAlign w:val="center"/>
          </w:tcPr>
          <w:p>
            <w:pPr>
              <w:rPr>
                <w:rFonts w:ascii="宋体" w:hAnsi="宋体" w:eastAsia="宋体" w:cs="宋体"/>
                <w:sz w:val="24"/>
              </w:rPr>
            </w:pPr>
            <w:r>
              <w:rPr>
                <w:rFonts w:hint="eastAsia" w:ascii="宋体" w:hAnsi="宋体" w:eastAsia="宋体" w:cs="宋体"/>
                <w:sz w:val="24"/>
              </w:rPr>
              <w:t>1.1.1</w:t>
            </w:r>
          </w:p>
        </w:tc>
        <w:tc>
          <w:tcPr>
            <w:tcW w:w="2580" w:type="dxa"/>
            <w:tcBorders>
              <w:tl2br w:val="nil"/>
              <w:tr2bl w:val="nil"/>
            </w:tcBorders>
            <w:shd w:val="clear" w:color="auto" w:fill="auto"/>
            <w:vAlign w:val="center"/>
          </w:tcPr>
          <w:p>
            <w:pPr>
              <w:rPr>
                <w:rFonts w:ascii="宋体" w:hAnsi="宋体" w:eastAsia="宋体" w:cs="宋体"/>
                <w:sz w:val="24"/>
              </w:rPr>
            </w:pPr>
            <w:r>
              <w:rPr>
                <w:rFonts w:hint="eastAsia" w:ascii="宋体" w:hAnsi="宋体" w:eastAsia="宋体" w:cs="宋体"/>
                <w:sz w:val="24"/>
              </w:rPr>
              <w:t>标准化作业点基础设施建设</w:t>
            </w:r>
          </w:p>
        </w:tc>
        <w:tc>
          <w:tcPr>
            <w:tcW w:w="780" w:type="dxa"/>
            <w:tcBorders>
              <w:tl2br w:val="nil"/>
              <w:tr2bl w:val="nil"/>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个</w:t>
            </w:r>
          </w:p>
        </w:tc>
        <w:tc>
          <w:tcPr>
            <w:tcW w:w="756" w:type="dxa"/>
            <w:tcBorders>
              <w:tl2br w:val="nil"/>
              <w:tr2bl w:val="nil"/>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3</w:t>
            </w:r>
          </w:p>
        </w:tc>
        <w:tc>
          <w:tcPr>
            <w:tcW w:w="804" w:type="dxa"/>
            <w:tcBorders>
              <w:tl2br w:val="nil"/>
              <w:tr2bl w:val="nil"/>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60.00</w:t>
            </w:r>
          </w:p>
        </w:tc>
        <w:tc>
          <w:tcPr>
            <w:tcW w:w="958" w:type="dxa"/>
            <w:tcBorders>
              <w:tl2br w:val="nil"/>
              <w:tr2bl w:val="nil"/>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180.00</w:t>
            </w:r>
          </w:p>
        </w:tc>
        <w:tc>
          <w:tcPr>
            <w:tcW w:w="2037" w:type="dxa"/>
            <w:tcBorders>
              <w:tl2br w:val="nil"/>
              <w:tr2bl w:val="nil"/>
            </w:tcBorders>
            <w:shd w:val="clear" w:color="auto" w:fill="auto"/>
            <w:vAlign w:val="center"/>
          </w:tcPr>
          <w:p>
            <w:pPr>
              <w:rPr>
                <w:rFonts w:ascii="宋体" w:hAnsi="宋体" w:eastAsia="宋体" w:cs="宋体"/>
                <w:sz w:val="24"/>
              </w:rPr>
            </w:pPr>
            <w:r>
              <w:rPr>
                <w:rFonts w:hint="eastAsia" w:ascii="宋体" w:hAnsi="宋体" w:eastAsia="宋体" w:cs="宋体"/>
                <w:sz w:val="24"/>
              </w:rPr>
              <w:t>含土建、装修、围栏等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c>
          <w:tcPr>
            <w:tcW w:w="934" w:type="dxa"/>
            <w:tcBorders>
              <w:tl2br w:val="nil"/>
              <w:tr2bl w:val="nil"/>
            </w:tcBorders>
            <w:shd w:val="clear" w:color="auto" w:fill="auto"/>
            <w:vAlign w:val="center"/>
          </w:tcPr>
          <w:p>
            <w:pPr>
              <w:rPr>
                <w:rFonts w:ascii="宋体" w:hAnsi="宋体" w:eastAsia="宋体" w:cs="宋体"/>
                <w:sz w:val="24"/>
              </w:rPr>
            </w:pPr>
            <w:r>
              <w:rPr>
                <w:rFonts w:hint="eastAsia" w:ascii="宋体" w:hAnsi="宋体" w:eastAsia="宋体" w:cs="宋体"/>
                <w:sz w:val="24"/>
              </w:rPr>
              <w:t>1.1.2</w:t>
            </w:r>
          </w:p>
        </w:tc>
        <w:tc>
          <w:tcPr>
            <w:tcW w:w="2580" w:type="dxa"/>
            <w:tcBorders>
              <w:tl2br w:val="nil"/>
              <w:tr2bl w:val="nil"/>
            </w:tcBorders>
            <w:shd w:val="clear" w:color="auto" w:fill="auto"/>
            <w:vAlign w:val="center"/>
          </w:tcPr>
          <w:p>
            <w:pPr>
              <w:rPr>
                <w:rFonts w:ascii="宋体" w:hAnsi="宋体" w:eastAsia="宋体" w:cs="宋体"/>
                <w:sz w:val="24"/>
              </w:rPr>
            </w:pPr>
            <w:r>
              <w:rPr>
                <w:rFonts w:hint="eastAsia" w:ascii="宋体" w:hAnsi="宋体" w:eastAsia="宋体" w:cs="宋体"/>
                <w:sz w:val="24"/>
              </w:rPr>
              <w:t>配套设施工程</w:t>
            </w:r>
          </w:p>
        </w:tc>
        <w:tc>
          <w:tcPr>
            <w:tcW w:w="780" w:type="dxa"/>
            <w:tcBorders>
              <w:tl2br w:val="nil"/>
              <w:tr2bl w:val="nil"/>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批</w:t>
            </w:r>
          </w:p>
        </w:tc>
        <w:tc>
          <w:tcPr>
            <w:tcW w:w="756" w:type="dxa"/>
            <w:tcBorders>
              <w:tl2br w:val="nil"/>
              <w:tr2bl w:val="nil"/>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3</w:t>
            </w:r>
          </w:p>
        </w:tc>
        <w:tc>
          <w:tcPr>
            <w:tcW w:w="804" w:type="dxa"/>
            <w:tcBorders>
              <w:tl2br w:val="nil"/>
              <w:tr2bl w:val="nil"/>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13.00</w:t>
            </w:r>
          </w:p>
        </w:tc>
        <w:tc>
          <w:tcPr>
            <w:tcW w:w="958" w:type="dxa"/>
            <w:tcBorders>
              <w:tl2br w:val="nil"/>
              <w:tr2bl w:val="nil"/>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39.00</w:t>
            </w:r>
          </w:p>
        </w:tc>
        <w:tc>
          <w:tcPr>
            <w:tcW w:w="2037" w:type="dxa"/>
            <w:tcBorders>
              <w:tl2br w:val="nil"/>
              <w:tr2bl w:val="nil"/>
            </w:tcBorders>
            <w:shd w:val="clear" w:color="auto" w:fill="auto"/>
            <w:vAlign w:val="center"/>
          </w:tcPr>
          <w:p>
            <w:pPr>
              <w:rPr>
                <w:rFonts w:ascii="宋体" w:hAnsi="宋体" w:eastAsia="宋体" w:cs="宋体"/>
                <w:sz w:val="24"/>
              </w:rPr>
            </w:pPr>
            <w:r>
              <w:rPr>
                <w:rFonts w:hint="eastAsia" w:ascii="宋体" w:hAnsi="宋体" w:eastAsia="宋体" w:cs="宋体"/>
                <w:sz w:val="24"/>
              </w:rPr>
              <w:t>水电网接入、标识标牌等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73" w:hRule="atLeast"/>
        </w:trPr>
        <w:tc>
          <w:tcPr>
            <w:tcW w:w="934" w:type="dxa"/>
            <w:tcBorders>
              <w:tl2br w:val="nil"/>
              <w:tr2bl w:val="nil"/>
            </w:tcBorders>
            <w:shd w:val="clear" w:color="auto" w:fill="auto"/>
            <w:vAlign w:val="center"/>
          </w:tcPr>
          <w:p>
            <w:pPr>
              <w:rPr>
                <w:rFonts w:ascii="宋体" w:hAnsi="宋体" w:eastAsia="宋体" w:cs="宋体"/>
                <w:b/>
                <w:bCs/>
                <w:sz w:val="24"/>
              </w:rPr>
            </w:pPr>
            <w:r>
              <w:rPr>
                <w:rFonts w:hint="eastAsia" w:ascii="宋体" w:hAnsi="宋体" w:eastAsia="宋体" w:cs="宋体"/>
                <w:b/>
                <w:bCs/>
                <w:sz w:val="24"/>
              </w:rPr>
              <w:t>1.2</w:t>
            </w:r>
          </w:p>
        </w:tc>
        <w:tc>
          <w:tcPr>
            <w:tcW w:w="2580" w:type="dxa"/>
            <w:tcBorders>
              <w:tl2br w:val="nil"/>
              <w:tr2bl w:val="nil"/>
            </w:tcBorders>
            <w:shd w:val="clear" w:color="auto" w:fill="auto"/>
            <w:vAlign w:val="center"/>
          </w:tcPr>
          <w:p>
            <w:pPr>
              <w:rPr>
                <w:rFonts w:ascii="宋体" w:hAnsi="宋体" w:eastAsia="宋体" w:cs="宋体"/>
                <w:b/>
                <w:bCs/>
                <w:sz w:val="24"/>
              </w:rPr>
            </w:pPr>
            <w:r>
              <w:rPr>
                <w:rFonts w:hint="eastAsia" w:ascii="宋体" w:hAnsi="宋体" w:eastAsia="宋体" w:cs="宋体"/>
                <w:b/>
                <w:bCs/>
                <w:sz w:val="24"/>
              </w:rPr>
              <w:t>设备购置费</w:t>
            </w:r>
          </w:p>
        </w:tc>
        <w:tc>
          <w:tcPr>
            <w:tcW w:w="780" w:type="dxa"/>
            <w:tcBorders>
              <w:tl2br w:val="nil"/>
              <w:tr2bl w:val="nil"/>
            </w:tcBorders>
            <w:shd w:val="clear" w:color="auto" w:fill="auto"/>
            <w:vAlign w:val="center"/>
          </w:tcPr>
          <w:p>
            <w:pPr>
              <w:jc w:val="center"/>
              <w:rPr>
                <w:rFonts w:ascii="宋体" w:hAnsi="宋体" w:eastAsia="宋体" w:cs="宋体"/>
                <w:b/>
                <w:bCs/>
                <w:sz w:val="24"/>
              </w:rPr>
            </w:pPr>
          </w:p>
        </w:tc>
        <w:tc>
          <w:tcPr>
            <w:tcW w:w="756" w:type="dxa"/>
            <w:tcBorders>
              <w:tl2br w:val="nil"/>
              <w:tr2bl w:val="nil"/>
            </w:tcBorders>
            <w:shd w:val="clear" w:color="auto" w:fill="auto"/>
            <w:vAlign w:val="center"/>
          </w:tcPr>
          <w:p>
            <w:pPr>
              <w:jc w:val="center"/>
              <w:rPr>
                <w:rFonts w:ascii="宋体" w:hAnsi="宋体" w:eastAsia="宋体" w:cs="宋体"/>
                <w:b/>
                <w:bCs/>
                <w:sz w:val="24"/>
              </w:rPr>
            </w:pPr>
          </w:p>
        </w:tc>
        <w:tc>
          <w:tcPr>
            <w:tcW w:w="804" w:type="dxa"/>
            <w:tcBorders>
              <w:tl2br w:val="nil"/>
              <w:tr2bl w:val="nil"/>
            </w:tcBorders>
            <w:shd w:val="clear" w:color="auto" w:fill="auto"/>
            <w:vAlign w:val="center"/>
          </w:tcPr>
          <w:p>
            <w:pPr>
              <w:jc w:val="center"/>
              <w:rPr>
                <w:rFonts w:ascii="宋体" w:hAnsi="宋体" w:eastAsia="宋体" w:cs="宋体"/>
                <w:b/>
                <w:bCs/>
                <w:sz w:val="24"/>
              </w:rPr>
            </w:pPr>
          </w:p>
        </w:tc>
        <w:tc>
          <w:tcPr>
            <w:tcW w:w="958" w:type="dxa"/>
            <w:tcBorders>
              <w:tl2br w:val="nil"/>
              <w:tr2bl w:val="nil"/>
            </w:tcBorders>
            <w:shd w:val="clear" w:color="auto" w:fill="auto"/>
            <w:vAlign w:val="center"/>
          </w:tcPr>
          <w:p>
            <w:pPr>
              <w:jc w:val="center"/>
              <w:rPr>
                <w:rFonts w:ascii="宋体" w:hAnsi="宋体" w:eastAsia="宋体" w:cs="宋体"/>
                <w:b/>
                <w:bCs/>
                <w:sz w:val="24"/>
              </w:rPr>
            </w:pPr>
            <w:r>
              <w:rPr>
                <w:rFonts w:hint="eastAsia" w:ascii="宋体" w:hAnsi="宋体" w:eastAsia="宋体" w:cs="宋体"/>
                <w:b/>
                <w:bCs/>
                <w:sz w:val="24"/>
              </w:rPr>
              <w:t>225.00</w:t>
            </w:r>
          </w:p>
        </w:tc>
        <w:tc>
          <w:tcPr>
            <w:tcW w:w="2037" w:type="dxa"/>
            <w:tcBorders>
              <w:tl2br w:val="nil"/>
              <w:tr2bl w:val="nil"/>
            </w:tcBorders>
            <w:shd w:val="clear" w:color="auto" w:fill="auto"/>
            <w:vAlign w:val="center"/>
          </w:tcPr>
          <w:p>
            <w:pPr>
              <w:rPr>
                <w:rFonts w:ascii="宋体" w:hAnsi="宋体" w:eastAsia="宋体" w:cs="宋体"/>
                <w:b/>
                <w:bCs/>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c>
          <w:tcPr>
            <w:tcW w:w="934" w:type="dxa"/>
            <w:tcBorders>
              <w:tl2br w:val="nil"/>
              <w:tr2bl w:val="nil"/>
            </w:tcBorders>
            <w:shd w:val="clear" w:color="auto" w:fill="auto"/>
            <w:vAlign w:val="center"/>
          </w:tcPr>
          <w:p>
            <w:pPr>
              <w:rPr>
                <w:rFonts w:ascii="宋体" w:hAnsi="宋体" w:eastAsia="宋体" w:cs="宋体"/>
                <w:sz w:val="24"/>
              </w:rPr>
            </w:pPr>
            <w:r>
              <w:rPr>
                <w:rFonts w:hint="eastAsia" w:ascii="宋体" w:hAnsi="宋体" w:eastAsia="宋体" w:cs="宋体"/>
                <w:sz w:val="24"/>
              </w:rPr>
              <w:t>1.2.1</w:t>
            </w:r>
          </w:p>
        </w:tc>
        <w:tc>
          <w:tcPr>
            <w:tcW w:w="2580" w:type="dxa"/>
            <w:tcBorders>
              <w:tl2br w:val="nil"/>
              <w:tr2bl w:val="nil"/>
            </w:tcBorders>
            <w:shd w:val="clear" w:color="auto" w:fill="auto"/>
            <w:vAlign w:val="center"/>
          </w:tcPr>
          <w:p>
            <w:pPr>
              <w:rPr>
                <w:rFonts w:ascii="宋体" w:hAnsi="宋体" w:eastAsia="宋体" w:cs="宋体"/>
                <w:sz w:val="24"/>
              </w:rPr>
            </w:pPr>
            <w:r>
              <w:rPr>
                <w:rFonts w:hint="eastAsia" w:ascii="宋体" w:hAnsi="宋体" w:eastAsia="宋体" w:cs="宋体"/>
                <w:sz w:val="24"/>
              </w:rPr>
              <w:t>自动火箭发射系统</w:t>
            </w:r>
          </w:p>
        </w:tc>
        <w:tc>
          <w:tcPr>
            <w:tcW w:w="780" w:type="dxa"/>
            <w:tcBorders>
              <w:tl2br w:val="nil"/>
              <w:tr2bl w:val="nil"/>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套</w:t>
            </w:r>
          </w:p>
        </w:tc>
        <w:tc>
          <w:tcPr>
            <w:tcW w:w="756" w:type="dxa"/>
            <w:tcBorders>
              <w:tl2br w:val="nil"/>
              <w:tr2bl w:val="nil"/>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3</w:t>
            </w:r>
          </w:p>
        </w:tc>
        <w:tc>
          <w:tcPr>
            <w:tcW w:w="804" w:type="dxa"/>
            <w:tcBorders>
              <w:tl2br w:val="nil"/>
              <w:tr2bl w:val="nil"/>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10.00</w:t>
            </w:r>
          </w:p>
        </w:tc>
        <w:tc>
          <w:tcPr>
            <w:tcW w:w="958" w:type="dxa"/>
            <w:tcBorders>
              <w:tl2br w:val="nil"/>
              <w:tr2bl w:val="nil"/>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30.00</w:t>
            </w:r>
          </w:p>
        </w:tc>
        <w:tc>
          <w:tcPr>
            <w:tcW w:w="2037" w:type="dxa"/>
            <w:tcBorders>
              <w:tl2br w:val="nil"/>
              <w:tr2bl w:val="nil"/>
            </w:tcBorders>
            <w:shd w:val="clear" w:color="auto" w:fill="auto"/>
            <w:vAlign w:val="center"/>
          </w:tcPr>
          <w:p>
            <w:pPr>
              <w:rPr>
                <w:rFonts w:ascii="宋体" w:hAnsi="宋体" w:eastAsia="宋体" w:cs="宋体"/>
                <w:sz w:val="24"/>
              </w:rPr>
            </w:pPr>
            <w:r>
              <w:rPr>
                <w:rFonts w:hint="eastAsia" w:ascii="宋体" w:hAnsi="宋体" w:eastAsia="宋体" w:cs="宋体"/>
                <w:sz w:val="24"/>
              </w:rPr>
              <w:t>含安装调试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c>
          <w:tcPr>
            <w:tcW w:w="934" w:type="dxa"/>
            <w:tcBorders>
              <w:tl2br w:val="nil"/>
              <w:tr2bl w:val="nil"/>
            </w:tcBorders>
            <w:shd w:val="clear" w:color="auto" w:fill="auto"/>
            <w:vAlign w:val="center"/>
          </w:tcPr>
          <w:p>
            <w:pPr>
              <w:rPr>
                <w:rFonts w:ascii="宋体" w:hAnsi="宋体" w:eastAsia="宋体" w:cs="宋体"/>
                <w:sz w:val="24"/>
              </w:rPr>
            </w:pPr>
            <w:r>
              <w:rPr>
                <w:rFonts w:hint="eastAsia" w:ascii="宋体" w:hAnsi="宋体" w:eastAsia="宋体" w:cs="宋体"/>
                <w:sz w:val="24"/>
              </w:rPr>
              <w:t>1.2.2</w:t>
            </w:r>
          </w:p>
        </w:tc>
        <w:tc>
          <w:tcPr>
            <w:tcW w:w="2580" w:type="dxa"/>
            <w:tcBorders>
              <w:tl2br w:val="nil"/>
              <w:tr2bl w:val="nil"/>
            </w:tcBorders>
            <w:shd w:val="clear" w:color="auto" w:fill="auto"/>
            <w:vAlign w:val="center"/>
          </w:tcPr>
          <w:p>
            <w:pPr>
              <w:rPr>
                <w:rFonts w:ascii="宋体" w:hAnsi="宋体" w:eastAsia="宋体" w:cs="宋体"/>
                <w:sz w:val="24"/>
              </w:rPr>
            </w:pPr>
            <w:r>
              <w:rPr>
                <w:rFonts w:hint="eastAsia" w:ascii="宋体" w:hAnsi="宋体" w:eastAsia="宋体" w:cs="宋体"/>
                <w:sz w:val="24"/>
              </w:rPr>
              <w:t>地面烟炉及配套设施</w:t>
            </w:r>
          </w:p>
        </w:tc>
        <w:tc>
          <w:tcPr>
            <w:tcW w:w="780" w:type="dxa"/>
            <w:tcBorders>
              <w:tl2br w:val="nil"/>
              <w:tr2bl w:val="nil"/>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个</w:t>
            </w:r>
          </w:p>
        </w:tc>
        <w:tc>
          <w:tcPr>
            <w:tcW w:w="756" w:type="dxa"/>
            <w:tcBorders>
              <w:tl2br w:val="nil"/>
              <w:tr2bl w:val="nil"/>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6</w:t>
            </w:r>
          </w:p>
        </w:tc>
        <w:tc>
          <w:tcPr>
            <w:tcW w:w="804" w:type="dxa"/>
            <w:tcBorders>
              <w:tl2br w:val="nil"/>
              <w:tr2bl w:val="nil"/>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3.00</w:t>
            </w:r>
          </w:p>
        </w:tc>
        <w:tc>
          <w:tcPr>
            <w:tcW w:w="958" w:type="dxa"/>
            <w:tcBorders>
              <w:tl2br w:val="nil"/>
              <w:tr2bl w:val="nil"/>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18.00</w:t>
            </w:r>
          </w:p>
        </w:tc>
        <w:tc>
          <w:tcPr>
            <w:tcW w:w="2037" w:type="dxa"/>
            <w:tcBorders>
              <w:tl2br w:val="nil"/>
              <w:tr2bl w:val="nil"/>
            </w:tcBorders>
            <w:shd w:val="clear" w:color="auto" w:fill="auto"/>
            <w:vAlign w:val="center"/>
          </w:tcPr>
          <w:p>
            <w:pPr>
              <w:rPr>
                <w:rFonts w:ascii="宋体" w:hAnsi="宋体" w:eastAsia="宋体" w:cs="宋体"/>
                <w:sz w:val="24"/>
              </w:rPr>
            </w:pPr>
            <w:r>
              <w:rPr>
                <w:rFonts w:hint="eastAsia" w:ascii="宋体" w:hAnsi="宋体" w:eastAsia="宋体" w:cs="宋体"/>
                <w:sz w:val="24"/>
              </w:rPr>
              <w:t>每点2个</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c>
          <w:tcPr>
            <w:tcW w:w="934" w:type="dxa"/>
            <w:tcBorders>
              <w:tl2br w:val="nil"/>
              <w:tr2bl w:val="nil"/>
            </w:tcBorders>
            <w:shd w:val="clear" w:color="auto" w:fill="auto"/>
            <w:vAlign w:val="center"/>
          </w:tcPr>
          <w:p>
            <w:pPr>
              <w:rPr>
                <w:rFonts w:ascii="宋体" w:hAnsi="宋体" w:eastAsia="宋体" w:cs="宋体"/>
                <w:sz w:val="24"/>
              </w:rPr>
            </w:pPr>
            <w:r>
              <w:rPr>
                <w:rFonts w:hint="eastAsia" w:ascii="宋体" w:hAnsi="宋体" w:eastAsia="宋体" w:cs="宋体"/>
                <w:sz w:val="24"/>
              </w:rPr>
              <w:t>1.2.3</w:t>
            </w:r>
          </w:p>
        </w:tc>
        <w:tc>
          <w:tcPr>
            <w:tcW w:w="2580" w:type="dxa"/>
            <w:tcBorders>
              <w:tl2br w:val="nil"/>
              <w:tr2bl w:val="nil"/>
            </w:tcBorders>
            <w:shd w:val="clear" w:color="auto" w:fill="auto"/>
            <w:vAlign w:val="center"/>
          </w:tcPr>
          <w:p>
            <w:pPr>
              <w:rPr>
                <w:rFonts w:ascii="宋体" w:hAnsi="宋体" w:eastAsia="宋体" w:cs="宋体"/>
                <w:sz w:val="24"/>
              </w:rPr>
            </w:pPr>
            <w:r>
              <w:rPr>
                <w:rFonts w:hint="eastAsia" w:ascii="宋体" w:hAnsi="宋体" w:eastAsia="宋体" w:cs="宋体"/>
                <w:sz w:val="24"/>
              </w:rPr>
              <w:t>6要素自动气象站</w:t>
            </w:r>
          </w:p>
        </w:tc>
        <w:tc>
          <w:tcPr>
            <w:tcW w:w="780" w:type="dxa"/>
            <w:tcBorders>
              <w:tl2br w:val="nil"/>
              <w:tr2bl w:val="nil"/>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套</w:t>
            </w:r>
          </w:p>
        </w:tc>
        <w:tc>
          <w:tcPr>
            <w:tcW w:w="756" w:type="dxa"/>
            <w:tcBorders>
              <w:tl2br w:val="nil"/>
              <w:tr2bl w:val="nil"/>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3</w:t>
            </w:r>
          </w:p>
        </w:tc>
        <w:tc>
          <w:tcPr>
            <w:tcW w:w="804" w:type="dxa"/>
            <w:tcBorders>
              <w:tl2br w:val="nil"/>
              <w:tr2bl w:val="nil"/>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12.00</w:t>
            </w:r>
          </w:p>
        </w:tc>
        <w:tc>
          <w:tcPr>
            <w:tcW w:w="958" w:type="dxa"/>
            <w:tcBorders>
              <w:tl2br w:val="nil"/>
              <w:tr2bl w:val="nil"/>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36.00</w:t>
            </w:r>
          </w:p>
        </w:tc>
        <w:tc>
          <w:tcPr>
            <w:tcW w:w="2037" w:type="dxa"/>
            <w:tcBorders>
              <w:tl2br w:val="nil"/>
              <w:tr2bl w:val="nil"/>
            </w:tcBorders>
            <w:shd w:val="clear" w:color="auto" w:fill="auto"/>
            <w:vAlign w:val="center"/>
          </w:tcPr>
          <w:p>
            <w:pPr>
              <w:rPr>
                <w:rFonts w:ascii="宋体" w:hAnsi="宋体" w:eastAsia="宋体" w:cs="宋体"/>
                <w:sz w:val="24"/>
              </w:rPr>
            </w:pPr>
            <w:r>
              <w:rPr>
                <w:rFonts w:hint="eastAsia" w:ascii="宋体" w:hAnsi="宋体" w:eastAsia="宋体" w:cs="宋体"/>
                <w:sz w:val="24"/>
              </w:rPr>
              <w:t>含三年运维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c>
          <w:tcPr>
            <w:tcW w:w="934" w:type="dxa"/>
            <w:tcBorders>
              <w:tl2br w:val="nil"/>
              <w:tr2bl w:val="nil"/>
            </w:tcBorders>
            <w:shd w:val="clear" w:color="auto" w:fill="auto"/>
            <w:vAlign w:val="center"/>
          </w:tcPr>
          <w:p>
            <w:pPr>
              <w:rPr>
                <w:rFonts w:ascii="宋体" w:hAnsi="宋体" w:eastAsia="宋体" w:cs="宋体"/>
                <w:sz w:val="24"/>
              </w:rPr>
            </w:pPr>
            <w:r>
              <w:rPr>
                <w:rFonts w:hint="eastAsia" w:ascii="宋体" w:hAnsi="宋体" w:eastAsia="宋体" w:cs="宋体"/>
                <w:sz w:val="24"/>
              </w:rPr>
              <w:t>1.2.4</w:t>
            </w:r>
          </w:p>
        </w:tc>
        <w:tc>
          <w:tcPr>
            <w:tcW w:w="2580" w:type="dxa"/>
            <w:tcBorders>
              <w:tl2br w:val="nil"/>
              <w:tr2bl w:val="nil"/>
            </w:tcBorders>
            <w:shd w:val="clear" w:color="auto" w:fill="auto"/>
            <w:vAlign w:val="center"/>
          </w:tcPr>
          <w:p>
            <w:pPr>
              <w:rPr>
                <w:rFonts w:ascii="宋体" w:hAnsi="宋体" w:eastAsia="宋体" w:cs="宋体"/>
                <w:sz w:val="24"/>
              </w:rPr>
            </w:pPr>
            <w:r>
              <w:rPr>
                <w:rFonts w:hint="eastAsia" w:ascii="宋体" w:hAnsi="宋体" w:eastAsia="宋体" w:cs="宋体"/>
                <w:sz w:val="24"/>
              </w:rPr>
              <w:t>作业点实景监控系统</w:t>
            </w:r>
          </w:p>
        </w:tc>
        <w:tc>
          <w:tcPr>
            <w:tcW w:w="780" w:type="dxa"/>
            <w:tcBorders>
              <w:tl2br w:val="nil"/>
              <w:tr2bl w:val="nil"/>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套</w:t>
            </w:r>
          </w:p>
        </w:tc>
        <w:tc>
          <w:tcPr>
            <w:tcW w:w="756" w:type="dxa"/>
            <w:tcBorders>
              <w:tl2br w:val="nil"/>
              <w:tr2bl w:val="nil"/>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3</w:t>
            </w:r>
          </w:p>
        </w:tc>
        <w:tc>
          <w:tcPr>
            <w:tcW w:w="804" w:type="dxa"/>
            <w:tcBorders>
              <w:tl2br w:val="nil"/>
              <w:tr2bl w:val="nil"/>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1.00</w:t>
            </w:r>
          </w:p>
        </w:tc>
        <w:tc>
          <w:tcPr>
            <w:tcW w:w="958" w:type="dxa"/>
            <w:tcBorders>
              <w:tl2br w:val="nil"/>
              <w:tr2bl w:val="nil"/>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3.00</w:t>
            </w:r>
          </w:p>
        </w:tc>
        <w:tc>
          <w:tcPr>
            <w:tcW w:w="2037" w:type="dxa"/>
            <w:tcBorders>
              <w:tl2br w:val="nil"/>
              <w:tr2bl w:val="nil"/>
            </w:tcBorders>
            <w:shd w:val="clear" w:color="auto" w:fill="auto"/>
            <w:vAlign w:val="center"/>
          </w:tcPr>
          <w:p>
            <w:pPr>
              <w:rPr>
                <w:rFonts w:ascii="宋体" w:hAnsi="宋体" w:eastAsia="宋体" w:cs="宋体"/>
                <w:sz w:val="24"/>
              </w:rPr>
            </w:pPr>
            <w:r>
              <w:rPr>
                <w:rFonts w:hint="eastAsia" w:ascii="宋体" w:hAnsi="宋体" w:eastAsia="宋体" w:cs="宋体"/>
                <w:sz w:val="24"/>
              </w:rPr>
              <w:t>含存储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c>
          <w:tcPr>
            <w:tcW w:w="934" w:type="dxa"/>
            <w:tcBorders>
              <w:tl2br w:val="nil"/>
              <w:tr2bl w:val="nil"/>
            </w:tcBorders>
            <w:shd w:val="clear" w:color="auto" w:fill="auto"/>
            <w:vAlign w:val="center"/>
          </w:tcPr>
          <w:p>
            <w:pPr>
              <w:rPr>
                <w:rFonts w:ascii="宋体" w:hAnsi="宋体" w:eastAsia="宋体" w:cs="宋体"/>
                <w:sz w:val="24"/>
              </w:rPr>
            </w:pPr>
            <w:r>
              <w:rPr>
                <w:rFonts w:hint="eastAsia" w:ascii="宋体" w:hAnsi="宋体" w:eastAsia="宋体" w:cs="宋体"/>
                <w:sz w:val="24"/>
              </w:rPr>
              <w:t>1.2.5</w:t>
            </w:r>
          </w:p>
        </w:tc>
        <w:tc>
          <w:tcPr>
            <w:tcW w:w="2580" w:type="dxa"/>
            <w:tcBorders>
              <w:tl2br w:val="nil"/>
              <w:tr2bl w:val="nil"/>
            </w:tcBorders>
            <w:shd w:val="clear" w:color="auto" w:fill="auto"/>
            <w:vAlign w:val="center"/>
          </w:tcPr>
          <w:p>
            <w:pPr>
              <w:rPr>
                <w:rFonts w:ascii="宋体" w:hAnsi="宋体" w:eastAsia="宋体" w:cs="宋体"/>
                <w:sz w:val="24"/>
              </w:rPr>
            </w:pPr>
            <w:r>
              <w:rPr>
                <w:rFonts w:hint="eastAsia" w:ascii="宋体" w:hAnsi="宋体" w:eastAsia="宋体" w:cs="宋体"/>
                <w:sz w:val="24"/>
              </w:rPr>
              <w:t>弹药库安防设施(含电子围栏)</w:t>
            </w:r>
          </w:p>
        </w:tc>
        <w:tc>
          <w:tcPr>
            <w:tcW w:w="780" w:type="dxa"/>
            <w:tcBorders>
              <w:tl2br w:val="nil"/>
              <w:tr2bl w:val="nil"/>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套</w:t>
            </w:r>
          </w:p>
        </w:tc>
        <w:tc>
          <w:tcPr>
            <w:tcW w:w="756" w:type="dxa"/>
            <w:tcBorders>
              <w:tl2br w:val="nil"/>
              <w:tr2bl w:val="nil"/>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3</w:t>
            </w:r>
          </w:p>
        </w:tc>
        <w:tc>
          <w:tcPr>
            <w:tcW w:w="804" w:type="dxa"/>
            <w:tcBorders>
              <w:tl2br w:val="nil"/>
              <w:tr2bl w:val="nil"/>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5.00</w:t>
            </w:r>
          </w:p>
        </w:tc>
        <w:tc>
          <w:tcPr>
            <w:tcW w:w="958" w:type="dxa"/>
            <w:tcBorders>
              <w:tl2br w:val="nil"/>
              <w:tr2bl w:val="nil"/>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15.00</w:t>
            </w:r>
          </w:p>
        </w:tc>
        <w:tc>
          <w:tcPr>
            <w:tcW w:w="2037" w:type="dxa"/>
            <w:tcBorders>
              <w:tl2br w:val="nil"/>
              <w:tr2bl w:val="nil"/>
            </w:tcBorders>
            <w:shd w:val="clear" w:color="auto" w:fill="auto"/>
            <w:vAlign w:val="center"/>
          </w:tcPr>
          <w:p>
            <w:pPr>
              <w:rPr>
                <w:rFonts w:ascii="宋体" w:hAnsi="宋体" w:eastAsia="宋体" w:cs="宋体"/>
                <w:sz w:val="24"/>
              </w:rPr>
            </w:pPr>
            <w:r>
              <w:rPr>
                <w:rFonts w:hint="eastAsia" w:ascii="宋体" w:hAnsi="宋体" w:eastAsia="宋体" w:cs="宋体"/>
                <w:sz w:val="24"/>
              </w:rPr>
              <w:t>防盗、防爆、防雷、静电地板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c>
          <w:tcPr>
            <w:tcW w:w="934" w:type="dxa"/>
            <w:tcBorders>
              <w:tl2br w:val="nil"/>
              <w:tr2bl w:val="nil"/>
            </w:tcBorders>
            <w:shd w:val="clear" w:color="auto" w:fill="auto"/>
            <w:vAlign w:val="center"/>
          </w:tcPr>
          <w:p>
            <w:pPr>
              <w:rPr>
                <w:rFonts w:ascii="宋体" w:hAnsi="宋体" w:eastAsia="宋体" w:cs="宋体"/>
                <w:sz w:val="24"/>
              </w:rPr>
            </w:pPr>
            <w:r>
              <w:rPr>
                <w:rFonts w:hint="eastAsia" w:ascii="宋体" w:hAnsi="宋体" w:eastAsia="宋体" w:cs="宋体"/>
                <w:sz w:val="24"/>
              </w:rPr>
              <w:t>1.2.6</w:t>
            </w:r>
          </w:p>
        </w:tc>
        <w:tc>
          <w:tcPr>
            <w:tcW w:w="2580" w:type="dxa"/>
            <w:tcBorders>
              <w:tl2br w:val="nil"/>
              <w:tr2bl w:val="nil"/>
            </w:tcBorders>
            <w:shd w:val="clear" w:color="auto" w:fill="auto"/>
            <w:vAlign w:val="center"/>
          </w:tcPr>
          <w:p>
            <w:pPr>
              <w:rPr>
                <w:rFonts w:ascii="宋体" w:hAnsi="宋体" w:eastAsia="宋体" w:cs="宋体"/>
                <w:sz w:val="24"/>
              </w:rPr>
            </w:pPr>
            <w:r>
              <w:rPr>
                <w:rFonts w:hint="eastAsia" w:ascii="宋体" w:hAnsi="宋体" w:eastAsia="宋体" w:cs="宋体"/>
                <w:sz w:val="24"/>
              </w:rPr>
              <w:t>储存保险柜</w:t>
            </w:r>
          </w:p>
        </w:tc>
        <w:tc>
          <w:tcPr>
            <w:tcW w:w="780" w:type="dxa"/>
            <w:tcBorders>
              <w:tl2br w:val="nil"/>
              <w:tr2bl w:val="nil"/>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个</w:t>
            </w:r>
          </w:p>
        </w:tc>
        <w:tc>
          <w:tcPr>
            <w:tcW w:w="756" w:type="dxa"/>
            <w:tcBorders>
              <w:tl2br w:val="nil"/>
              <w:tr2bl w:val="nil"/>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3</w:t>
            </w:r>
          </w:p>
        </w:tc>
        <w:tc>
          <w:tcPr>
            <w:tcW w:w="804" w:type="dxa"/>
            <w:tcBorders>
              <w:tl2br w:val="nil"/>
              <w:tr2bl w:val="nil"/>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5.00</w:t>
            </w:r>
          </w:p>
        </w:tc>
        <w:tc>
          <w:tcPr>
            <w:tcW w:w="958" w:type="dxa"/>
            <w:tcBorders>
              <w:tl2br w:val="nil"/>
              <w:tr2bl w:val="nil"/>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15.00</w:t>
            </w:r>
          </w:p>
        </w:tc>
        <w:tc>
          <w:tcPr>
            <w:tcW w:w="2037" w:type="dxa"/>
            <w:tcBorders>
              <w:tl2br w:val="nil"/>
              <w:tr2bl w:val="nil"/>
            </w:tcBorders>
            <w:shd w:val="clear" w:color="auto" w:fill="auto"/>
            <w:vAlign w:val="center"/>
          </w:tcPr>
          <w:p>
            <w:pPr>
              <w:rPr>
                <w:rFonts w:ascii="宋体" w:hAnsi="宋体" w:eastAsia="宋体" w:cs="宋体"/>
                <w:sz w:val="24"/>
              </w:rPr>
            </w:pPr>
            <w:r>
              <w:rPr>
                <w:rFonts w:hint="eastAsia" w:ascii="宋体" w:hAnsi="宋体" w:eastAsia="宋体" w:cs="宋体"/>
                <w:sz w:val="24"/>
              </w:rPr>
              <w:t>弹药存储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c>
          <w:tcPr>
            <w:tcW w:w="934" w:type="dxa"/>
            <w:tcBorders>
              <w:tl2br w:val="nil"/>
              <w:tr2bl w:val="nil"/>
            </w:tcBorders>
            <w:shd w:val="clear" w:color="auto" w:fill="auto"/>
            <w:vAlign w:val="center"/>
          </w:tcPr>
          <w:p>
            <w:pPr>
              <w:rPr>
                <w:rFonts w:ascii="宋体" w:hAnsi="宋体" w:eastAsia="宋体" w:cs="宋体"/>
                <w:sz w:val="24"/>
              </w:rPr>
            </w:pPr>
            <w:r>
              <w:rPr>
                <w:rFonts w:hint="eastAsia" w:ascii="宋体" w:hAnsi="宋体" w:eastAsia="宋体" w:cs="宋体"/>
                <w:sz w:val="24"/>
              </w:rPr>
              <w:t>1.2.7</w:t>
            </w:r>
          </w:p>
        </w:tc>
        <w:tc>
          <w:tcPr>
            <w:tcW w:w="2580" w:type="dxa"/>
            <w:tcBorders>
              <w:tl2br w:val="nil"/>
              <w:tr2bl w:val="nil"/>
            </w:tcBorders>
            <w:shd w:val="clear" w:color="auto" w:fill="auto"/>
            <w:vAlign w:val="center"/>
          </w:tcPr>
          <w:p>
            <w:pPr>
              <w:rPr>
                <w:rFonts w:ascii="宋体" w:hAnsi="宋体" w:eastAsia="宋体" w:cs="宋体"/>
                <w:sz w:val="24"/>
              </w:rPr>
            </w:pPr>
            <w:r>
              <w:rPr>
                <w:rFonts w:hint="eastAsia" w:ascii="宋体" w:hAnsi="宋体" w:eastAsia="宋体" w:cs="宋体"/>
                <w:sz w:val="24"/>
              </w:rPr>
              <w:t>运输柜(储运箱)</w:t>
            </w:r>
          </w:p>
        </w:tc>
        <w:tc>
          <w:tcPr>
            <w:tcW w:w="780" w:type="dxa"/>
            <w:tcBorders>
              <w:tl2br w:val="nil"/>
              <w:tr2bl w:val="nil"/>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个</w:t>
            </w:r>
          </w:p>
        </w:tc>
        <w:tc>
          <w:tcPr>
            <w:tcW w:w="756" w:type="dxa"/>
            <w:tcBorders>
              <w:tl2br w:val="nil"/>
              <w:tr2bl w:val="nil"/>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3</w:t>
            </w:r>
          </w:p>
        </w:tc>
        <w:tc>
          <w:tcPr>
            <w:tcW w:w="804" w:type="dxa"/>
            <w:tcBorders>
              <w:tl2br w:val="nil"/>
              <w:tr2bl w:val="nil"/>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1.00</w:t>
            </w:r>
          </w:p>
        </w:tc>
        <w:tc>
          <w:tcPr>
            <w:tcW w:w="958" w:type="dxa"/>
            <w:tcBorders>
              <w:tl2br w:val="nil"/>
              <w:tr2bl w:val="nil"/>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3.00</w:t>
            </w:r>
          </w:p>
        </w:tc>
        <w:tc>
          <w:tcPr>
            <w:tcW w:w="2037" w:type="dxa"/>
            <w:tcBorders>
              <w:tl2br w:val="nil"/>
              <w:tr2bl w:val="nil"/>
            </w:tcBorders>
            <w:shd w:val="clear" w:color="auto" w:fill="auto"/>
            <w:vAlign w:val="center"/>
          </w:tcPr>
          <w:p>
            <w:pPr>
              <w:rPr>
                <w:rFonts w:ascii="宋体" w:hAnsi="宋体" w:eastAsia="宋体" w:cs="宋体"/>
                <w:sz w:val="24"/>
              </w:rPr>
            </w:pPr>
            <w:r>
              <w:rPr>
                <w:rFonts w:hint="eastAsia" w:ascii="宋体" w:hAnsi="宋体" w:eastAsia="宋体" w:cs="宋体"/>
                <w:sz w:val="24"/>
              </w:rPr>
              <w:t>弹药转运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c>
          <w:tcPr>
            <w:tcW w:w="934" w:type="dxa"/>
            <w:tcBorders>
              <w:tl2br w:val="nil"/>
              <w:tr2bl w:val="nil"/>
            </w:tcBorders>
            <w:shd w:val="clear" w:color="auto" w:fill="auto"/>
            <w:vAlign w:val="center"/>
          </w:tcPr>
          <w:p>
            <w:pPr>
              <w:rPr>
                <w:rFonts w:ascii="宋体" w:hAnsi="宋体" w:eastAsia="宋体" w:cs="宋体"/>
                <w:sz w:val="24"/>
              </w:rPr>
            </w:pPr>
            <w:r>
              <w:rPr>
                <w:rFonts w:hint="eastAsia" w:ascii="宋体" w:hAnsi="宋体" w:eastAsia="宋体" w:cs="宋体"/>
                <w:sz w:val="24"/>
              </w:rPr>
              <w:t>1.2.8</w:t>
            </w:r>
          </w:p>
        </w:tc>
        <w:tc>
          <w:tcPr>
            <w:tcW w:w="2580" w:type="dxa"/>
            <w:tcBorders>
              <w:tl2br w:val="nil"/>
              <w:tr2bl w:val="nil"/>
            </w:tcBorders>
            <w:shd w:val="clear" w:color="auto" w:fill="auto"/>
            <w:vAlign w:val="center"/>
          </w:tcPr>
          <w:p>
            <w:pPr>
              <w:rPr>
                <w:rFonts w:ascii="宋体" w:hAnsi="宋体" w:eastAsia="宋体" w:cs="宋体"/>
                <w:sz w:val="24"/>
              </w:rPr>
            </w:pPr>
            <w:r>
              <w:rPr>
                <w:rFonts w:hint="eastAsia" w:ascii="宋体" w:hAnsi="宋体" w:eastAsia="宋体" w:cs="宋体"/>
                <w:sz w:val="24"/>
              </w:rPr>
              <w:t>物联网终端及对讲设备</w:t>
            </w:r>
          </w:p>
        </w:tc>
        <w:tc>
          <w:tcPr>
            <w:tcW w:w="780" w:type="dxa"/>
            <w:tcBorders>
              <w:tl2br w:val="nil"/>
              <w:tr2bl w:val="nil"/>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套</w:t>
            </w:r>
          </w:p>
        </w:tc>
        <w:tc>
          <w:tcPr>
            <w:tcW w:w="756" w:type="dxa"/>
            <w:tcBorders>
              <w:tl2br w:val="nil"/>
              <w:tr2bl w:val="nil"/>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3</w:t>
            </w:r>
          </w:p>
        </w:tc>
        <w:tc>
          <w:tcPr>
            <w:tcW w:w="804" w:type="dxa"/>
            <w:tcBorders>
              <w:tl2br w:val="nil"/>
              <w:tr2bl w:val="nil"/>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4.00</w:t>
            </w:r>
          </w:p>
        </w:tc>
        <w:tc>
          <w:tcPr>
            <w:tcW w:w="958" w:type="dxa"/>
            <w:tcBorders>
              <w:tl2br w:val="nil"/>
              <w:tr2bl w:val="nil"/>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12.00</w:t>
            </w:r>
          </w:p>
        </w:tc>
        <w:tc>
          <w:tcPr>
            <w:tcW w:w="2037" w:type="dxa"/>
            <w:tcBorders>
              <w:tl2br w:val="nil"/>
              <w:tr2bl w:val="nil"/>
            </w:tcBorders>
            <w:shd w:val="clear" w:color="auto" w:fill="auto"/>
            <w:vAlign w:val="center"/>
          </w:tcPr>
          <w:p>
            <w:pPr>
              <w:rPr>
                <w:rFonts w:ascii="宋体" w:hAnsi="宋体" w:eastAsia="宋体" w:cs="宋体"/>
                <w:sz w:val="24"/>
              </w:rPr>
            </w:pPr>
            <w:r>
              <w:rPr>
                <w:rFonts w:hint="eastAsia" w:ascii="宋体" w:hAnsi="宋体" w:eastAsia="宋体" w:cs="宋体"/>
                <w:sz w:val="24"/>
              </w:rPr>
              <w:t>通信指挥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75" w:hRule="atLeast"/>
        </w:trPr>
        <w:tc>
          <w:tcPr>
            <w:tcW w:w="934" w:type="dxa"/>
            <w:tcBorders>
              <w:tl2br w:val="nil"/>
              <w:tr2bl w:val="nil"/>
            </w:tcBorders>
            <w:shd w:val="clear" w:color="auto" w:fill="auto"/>
            <w:vAlign w:val="center"/>
          </w:tcPr>
          <w:p>
            <w:pPr>
              <w:rPr>
                <w:rFonts w:ascii="宋体" w:hAnsi="宋体" w:eastAsia="宋体" w:cs="宋体"/>
                <w:b/>
                <w:bCs/>
                <w:sz w:val="24"/>
              </w:rPr>
            </w:pPr>
            <w:r>
              <w:rPr>
                <w:rFonts w:hint="eastAsia" w:ascii="宋体" w:hAnsi="宋体" w:eastAsia="宋体" w:cs="宋体"/>
                <w:b/>
                <w:bCs/>
                <w:sz w:val="24"/>
              </w:rPr>
              <w:t>2</w:t>
            </w:r>
          </w:p>
        </w:tc>
        <w:tc>
          <w:tcPr>
            <w:tcW w:w="2580" w:type="dxa"/>
            <w:tcBorders>
              <w:tl2br w:val="nil"/>
              <w:tr2bl w:val="nil"/>
            </w:tcBorders>
            <w:shd w:val="clear" w:color="auto" w:fill="auto"/>
            <w:vAlign w:val="center"/>
          </w:tcPr>
          <w:p>
            <w:pPr>
              <w:rPr>
                <w:rFonts w:ascii="宋体" w:hAnsi="宋体" w:eastAsia="宋体" w:cs="宋体"/>
                <w:b/>
                <w:bCs/>
                <w:sz w:val="24"/>
              </w:rPr>
            </w:pPr>
            <w:r>
              <w:rPr>
                <w:rFonts w:hint="eastAsia" w:ascii="宋体" w:hAnsi="宋体" w:eastAsia="宋体" w:cs="宋体"/>
                <w:b/>
                <w:bCs/>
                <w:sz w:val="24"/>
              </w:rPr>
              <w:t>项目建设其他费用</w:t>
            </w:r>
          </w:p>
        </w:tc>
        <w:tc>
          <w:tcPr>
            <w:tcW w:w="780" w:type="dxa"/>
            <w:tcBorders>
              <w:tl2br w:val="nil"/>
              <w:tr2bl w:val="nil"/>
            </w:tcBorders>
            <w:shd w:val="clear" w:color="auto" w:fill="auto"/>
            <w:vAlign w:val="center"/>
          </w:tcPr>
          <w:p>
            <w:pPr>
              <w:jc w:val="center"/>
              <w:rPr>
                <w:rFonts w:ascii="宋体" w:hAnsi="宋体" w:eastAsia="宋体" w:cs="宋体"/>
                <w:b/>
                <w:bCs/>
                <w:sz w:val="24"/>
              </w:rPr>
            </w:pPr>
          </w:p>
        </w:tc>
        <w:tc>
          <w:tcPr>
            <w:tcW w:w="756" w:type="dxa"/>
            <w:tcBorders>
              <w:tl2br w:val="nil"/>
              <w:tr2bl w:val="nil"/>
            </w:tcBorders>
            <w:shd w:val="clear" w:color="auto" w:fill="auto"/>
            <w:vAlign w:val="center"/>
          </w:tcPr>
          <w:p>
            <w:pPr>
              <w:jc w:val="center"/>
              <w:rPr>
                <w:rFonts w:ascii="宋体" w:hAnsi="宋体" w:eastAsia="宋体" w:cs="宋体"/>
                <w:b/>
                <w:bCs/>
                <w:sz w:val="24"/>
              </w:rPr>
            </w:pPr>
          </w:p>
        </w:tc>
        <w:tc>
          <w:tcPr>
            <w:tcW w:w="804" w:type="dxa"/>
            <w:tcBorders>
              <w:tl2br w:val="nil"/>
              <w:tr2bl w:val="nil"/>
            </w:tcBorders>
            <w:shd w:val="clear" w:color="auto" w:fill="auto"/>
            <w:vAlign w:val="center"/>
          </w:tcPr>
          <w:p>
            <w:pPr>
              <w:jc w:val="center"/>
              <w:rPr>
                <w:rFonts w:ascii="宋体" w:hAnsi="宋体" w:eastAsia="宋体" w:cs="宋体"/>
                <w:b/>
                <w:bCs/>
                <w:sz w:val="24"/>
              </w:rPr>
            </w:pPr>
          </w:p>
        </w:tc>
        <w:tc>
          <w:tcPr>
            <w:tcW w:w="958" w:type="dxa"/>
            <w:tcBorders>
              <w:tl2br w:val="nil"/>
              <w:tr2bl w:val="nil"/>
            </w:tcBorders>
            <w:shd w:val="clear" w:color="auto" w:fill="auto"/>
            <w:vAlign w:val="center"/>
          </w:tcPr>
          <w:p>
            <w:pPr>
              <w:jc w:val="center"/>
              <w:rPr>
                <w:rFonts w:ascii="宋体" w:hAnsi="宋体" w:eastAsia="宋体" w:cs="宋体"/>
                <w:b/>
                <w:bCs/>
                <w:sz w:val="24"/>
              </w:rPr>
            </w:pPr>
            <w:r>
              <w:rPr>
                <w:rFonts w:hint="eastAsia" w:ascii="宋体" w:hAnsi="宋体" w:eastAsia="宋体" w:cs="宋体"/>
                <w:b/>
                <w:bCs/>
                <w:sz w:val="24"/>
              </w:rPr>
              <w:t>123.00</w:t>
            </w:r>
          </w:p>
        </w:tc>
        <w:tc>
          <w:tcPr>
            <w:tcW w:w="2037" w:type="dxa"/>
            <w:tcBorders>
              <w:tl2br w:val="nil"/>
              <w:tr2bl w:val="nil"/>
            </w:tcBorders>
            <w:shd w:val="clear" w:color="auto" w:fill="auto"/>
            <w:vAlign w:val="center"/>
          </w:tcPr>
          <w:p>
            <w:pPr>
              <w:rPr>
                <w:rFonts w:ascii="宋体" w:hAnsi="宋体" w:eastAsia="宋体" w:cs="宋体"/>
                <w:b/>
                <w:bCs/>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c>
          <w:tcPr>
            <w:tcW w:w="934" w:type="dxa"/>
            <w:tcBorders>
              <w:tl2br w:val="nil"/>
              <w:tr2bl w:val="nil"/>
            </w:tcBorders>
            <w:shd w:val="clear" w:color="auto" w:fill="auto"/>
            <w:vAlign w:val="center"/>
          </w:tcPr>
          <w:p>
            <w:pPr>
              <w:rPr>
                <w:rFonts w:ascii="宋体" w:hAnsi="宋体" w:eastAsia="宋体" w:cs="宋体"/>
                <w:sz w:val="24"/>
              </w:rPr>
            </w:pPr>
            <w:r>
              <w:rPr>
                <w:rFonts w:hint="eastAsia" w:ascii="宋体" w:hAnsi="宋体" w:eastAsia="宋体" w:cs="宋体"/>
                <w:sz w:val="24"/>
              </w:rPr>
              <w:t>2.1</w:t>
            </w:r>
          </w:p>
        </w:tc>
        <w:tc>
          <w:tcPr>
            <w:tcW w:w="2580" w:type="dxa"/>
            <w:tcBorders>
              <w:tl2br w:val="nil"/>
              <w:tr2bl w:val="nil"/>
            </w:tcBorders>
            <w:shd w:val="clear" w:color="auto" w:fill="auto"/>
            <w:vAlign w:val="center"/>
          </w:tcPr>
          <w:p>
            <w:pPr>
              <w:rPr>
                <w:rFonts w:ascii="宋体" w:hAnsi="宋体" w:eastAsia="宋体" w:cs="宋体"/>
                <w:sz w:val="24"/>
              </w:rPr>
            </w:pPr>
            <w:r>
              <w:rPr>
                <w:rFonts w:hint="eastAsia" w:ascii="宋体" w:hAnsi="宋体" w:eastAsia="宋体" w:cs="宋体"/>
                <w:sz w:val="24"/>
              </w:rPr>
              <w:t>前期勘选与设计费</w:t>
            </w:r>
          </w:p>
        </w:tc>
        <w:tc>
          <w:tcPr>
            <w:tcW w:w="780" w:type="dxa"/>
            <w:tcBorders>
              <w:tl2br w:val="nil"/>
              <w:tr2bl w:val="nil"/>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项</w:t>
            </w:r>
          </w:p>
        </w:tc>
        <w:tc>
          <w:tcPr>
            <w:tcW w:w="756" w:type="dxa"/>
            <w:tcBorders>
              <w:tl2br w:val="nil"/>
              <w:tr2bl w:val="nil"/>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3</w:t>
            </w:r>
          </w:p>
        </w:tc>
        <w:tc>
          <w:tcPr>
            <w:tcW w:w="804" w:type="dxa"/>
            <w:tcBorders>
              <w:tl2br w:val="nil"/>
              <w:tr2bl w:val="nil"/>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20.00</w:t>
            </w:r>
          </w:p>
        </w:tc>
        <w:tc>
          <w:tcPr>
            <w:tcW w:w="958" w:type="dxa"/>
            <w:tcBorders>
              <w:tl2br w:val="nil"/>
              <w:tr2bl w:val="nil"/>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60.00</w:t>
            </w:r>
          </w:p>
        </w:tc>
        <w:tc>
          <w:tcPr>
            <w:tcW w:w="2037" w:type="dxa"/>
            <w:tcBorders>
              <w:tl2br w:val="nil"/>
              <w:tr2bl w:val="nil"/>
            </w:tcBorders>
            <w:shd w:val="clear" w:color="auto" w:fill="auto"/>
            <w:vAlign w:val="center"/>
          </w:tcPr>
          <w:p>
            <w:pPr>
              <w:rPr>
                <w:rFonts w:ascii="宋体" w:hAnsi="宋体" w:eastAsia="宋体" w:cs="宋体"/>
                <w:sz w:val="24"/>
              </w:rPr>
            </w:pPr>
            <w:r>
              <w:rPr>
                <w:rFonts w:hint="eastAsia" w:ascii="宋体" w:hAnsi="宋体" w:eastAsia="宋体" w:cs="宋体"/>
                <w:sz w:val="24"/>
              </w:rPr>
              <w:t>地质勘察、可研、设计、土地出让、咨询、招标代理等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c>
          <w:tcPr>
            <w:tcW w:w="934" w:type="dxa"/>
            <w:tcBorders>
              <w:tl2br w:val="nil"/>
              <w:tr2bl w:val="nil"/>
            </w:tcBorders>
            <w:shd w:val="clear" w:color="auto" w:fill="auto"/>
            <w:vAlign w:val="center"/>
          </w:tcPr>
          <w:p>
            <w:pPr>
              <w:rPr>
                <w:rFonts w:ascii="宋体" w:hAnsi="宋体" w:eastAsia="宋体" w:cs="宋体"/>
                <w:sz w:val="24"/>
              </w:rPr>
            </w:pPr>
            <w:r>
              <w:rPr>
                <w:rFonts w:hint="eastAsia" w:ascii="宋体" w:hAnsi="宋体" w:eastAsia="宋体" w:cs="宋体"/>
                <w:sz w:val="24"/>
              </w:rPr>
              <w:t>2.2</w:t>
            </w:r>
          </w:p>
        </w:tc>
        <w:tc>
          <w:tcPr>
            <w:tcW w:w="2580" w:type="dxa"/>
            <w:tcBorders>
              <w:tl2br w:val="nil"/>
              <w:tr2bl w:val="nil"/>
            </w:tcBorders>
            <w:shd w:val="clear" w:color="auto" w:fill="auto"/>
            <w:vAlign w:val="center"/>
          </w:tcPr>
          <w:p>
            <w:pPr>
              <w:rPr>
                <w:rFonts w:ascii="宋体" w:hAnsi="宋体" w:eastAsia="宋体" w:cs="宋体"/>
                <w:sz w:val="24"/>
              </w:rPr>
            </w:pPr>
            <w:r>
              <w:rPr>
                <w:rFonts w:hint="eastAsia" w:ascii="宋体" w:hAnsi="宋体" w:eastAsia="宋体" w:cs="宋体"/>
                <w:sz w:val="24"/>
              </w:rPr>
              <w:t>监理及验收费</w:t>
            </w:r>
          </w:p>
        </w:tc>
        <w:tc>
          <w:tcPr>
            <w:tcW w:w="780" w:type="dxa"/>
            <w:tcBorders>
              <w:tl2br w:val="nil"/>
              <w:tr2bl w:val="nil"/>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项</w:t>
            </w:r>
          </w:p>
        </w:tc>
        <w:tc>
          <w:tcPr>
            <w:tcW w:w="756" w:type="dxa"/>
            <w:tcBorders>
              <w:tl2br w:val="nil"/>
              <w:tr2bl w:val="nil"/>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3</w:t>
            </w:r>
          </w:p>
        </w:tc>
        <w:tc>
          <w:tcPr>
            <w:tcW w:w="804" w:type="dxa"/>
            <w:tcBorders>
              <w:tl2br w:val="nil"/>
              <w:tr2bl w:val="nil"/>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10.00</w:t>
            </w:r>
          </w:p>
        </w:tc>
        <w:tc>
          <w:tcPr>
            <w:tcW w:w="958" w:type="dxa"/>
            <w:tcBorders>
              <w:tl2br w:val="nil"/>
              <w:tr2bl w:val="nil"/>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30.00</w:t>
            </w:r>
          </w:p>
        </w:tc>
        <w:tc>
          <w:tcPr>
            <w:tcW w:w="2037" w:type="dxa"/>
            <w:tcBorders>
              <w:tl2br w:val="nil"/>
              <w:tr2bl w:val="nil"/>
            </w:tcBorders>
            <w:shd w:val="clear" w:color="auto" w:fill="auto"/>
            <w:vAlign w:val="center"/>
          </w:tcPr>
          <w:p>
            <w:pPr>
              <w:rPr>
                <w:rFonts w:hint="eastAsia" w:ascii="宋体" w:hAnsi="宋体" w:eastAsia="宋体" w:cs="宋体"/>
                <w:sz w:val="24"/>
                <w:lang w:val="en-US" w:eastAsia="zh-CN"/>
              </w:rPr>
            </w:pPr>
            <w:r>
              <w:rPr>
                <w:rFonts w:hint="eastAsia" w:ascii="宋体" w:hAnsi="宋体" w:eastAsia="宋体" w:cs="宋体"/>
                <w:sz w:val="24"/>
              </w:rPr>
              <w:t>工程监理、质量监测、审计、竣工验收</w:t>
            </w:r>
            <w:r>
              <w:rPr>
                <w:rFonts w:hint="eastAsia" w:ascii="宋体" w:hAnsi="宋体" w:eastAsia="宋体" w:cs="宋体"/>
                <w:sz w:val="24"/>
                <w:lang w:val="en-US" w:eastAsia="zh-CN"/>
              </w:rPr>
              <w:t>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c>
          <w:tcPr>
            <w:tcW w:w="934" w:type="dxa"/>
            <w:tcBorders>
              <w:tl2br w:val="nil"/>
              <w:tr2bl w:val="nil"/>
            </w:tcBorders>
            <w:shd w:val="clear" w:color="auto" w:fill="auto"/>
            <w:vAlign w:val="center"/>
          </w:tcPr>
          <w:p>
            <w:pPr>
              <w:rPr>
                <w:rFonts w:ascii="宋体" w:hAnsi="宋体" w:eastAsia="宋体" w:cs="宋体"/>
                <w:sz w:val="24"/>
              </w:rPr>
            </w:pPr>
            <w:r>
              <w:rPr>
                <w:rFonts w:hint="eastAsia" w:ascii="宋体" w:hAnsi="宋体" w:eastAsia="宋体" w:cs="宋体"/>
                <w:sz w:val="24"/>
              </w:rPr>
              <w:t>2.3</w:t>
            </w:r>
          </w:p>
        </w:tc>
        <w:tc>
          <w:tcPr>
            <w:tcW w:w="2580" w:type="dxa"/>
            <w:tcBorders>
              <w:tl2br w:val="nil"/>
              <w:tr2bl w:val="nil"/>
            </w:tcBorders>
            <w:shd w:val="clear" w:color="auto" w:fill="auto"/>
            <w:vAlign w:val="center"/>
          </w:tcPr>
          <w:p>
            <w:pPr>
              <w:rPr>
                <w:rFonts w:ascii="宋体" w:hAnsi="宋体" w:eastAsia="宋体" w:cs="宋体"/>
                <w:sz w:val="24"/>
              </w:rPr>
            </w:pPr>
            <w:r>
              <w:rPr>
                <w:rFonts w:hint="eastAsia" w:ascii="宋体" w:hAnsi="宋体" w:eastAsia="宋体" w:cs="宋体"/>
                <w:sz w:val="24"/>
              </w:rPr>
              <w:t>建设单位管理费</w:t>
            </w:r>
          </w:p>
        </w:tc>
        <w:tc>
          <w:tcPr>
            <w:tcW w:w="780" w:type="dxa"/>
            <w:tcBorders>
              <w:tl2br w:val="nil"/>
              <w:tr2bl w:val="nil"/>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项</w:t>
            </w:r>
          </w:p>
        </w:tc>
        <w:tc>
          <w:tcPr>
            <w:tcW w:w="756" w:type="dxa"/>
            <w:tcBorders>
              <w:tl2br w:val="nil"/>
              <w:tr2bl w:val="nil"/>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1</w:t>
            </w:r>
          </w:p>
        </w:tc>
        <w:tc>
          <w:tcPr>
            <w:tcW w:w="804" w:type="dxa"/>
            <w:tcBorders>
              <w:tl2br w:val="nil"/>
              <w:tr2bl w:val="nil"/>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15.00</w:t>
            </w:r>
          </w:p>
        </w:tc>
        <w:tc>
          <w:tcPr>
            <w:tcW w:w="958" w:type="dxa"/>
            <w:tcBorders>
              <w:tl2br w:val="nil"/>
              <w:tr2bl w:val="nil"/>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15.00</w:t>
            </w:r>
          </w:p>
        </w:tc>
        <w:tc>
          <w:tcPr>
            <w:tcW w:w="2037" w:type="dxa"/>
            <w:tcBorders>
              <w:tl2br w:val="nil"/>
              <w:tr2bl w:val="nil"/>
            </w:tcBorders>
            <w:shd w:val="clear" w:color="auto" w:fill="auto"/>
            <w:vAlign w:val="center"/>
          </w:tcPr>
          <w:p>
            <w:pPr>
              <w:rPr>
                <w:rFonts w:ascii="宋体" w:hAnsi="宋体" w:eastAsia="宋体" w:cs="宋体"/>
                <w:sz w:val="24"/>
              </w:rPr>
            </w:pPr>
            <w:r>
              <w:rPr>
                <w:rFonts w:hint="eastAsia" w:ascii="宋体" w:hAnsi="宋体" w:eastAsia="宋体" w:cs="宋体"/>
                <w:sz w:val="24"/>
              </w:rPr>
              <w:t>前期手续等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c>
          <w:tcPr>
            <w:tcW w:w="934" w:type="dxa"/>
            <w:tcBorders>
              <w:tl2br w:val="nil"/>
              <w:tr2bl w:val="nil"/>
            </w:tcBorders>
            <w:shd w:val="clear" w:color="auto" w:fill="auto"/>
            <w:vAlign w:val="center"/>
          </w:tcPr>
          <w:p>
            <w:pPr>
              <w:rPr>
                <w:rFonts w:ascii="宋体" w:hAnsi="宋体" w:eastAsia="宋体" w:cs="宋体"/>
                <w:sz w:val="24"/>
              </w:rPr>
            </w:pPr>
            <w:r>
              <w:rPr>
                <w:rFonts w:hint="eastAsia" w:ascii="宋体" w:hAnsi="宋体" w:eastAsia="宋体" w:cs="宋体"/>
                <w:sz w:val="24"/>
              </w:rPr>
              <w:t>2.4</w:t>
            </w:r>
          </w:p>
        </w:tc>
        <w:tc>
          <w:tcPr>
            <w:tcW w:w="2580" w:type="dxa"/>
            <w:tcBorders>
              <w:tl2br w:val="nil"/>
              <w:tr2bl w:val="nil"/>
            </w:tcBorders>
            <w:shd w:val="clear" w:color="auto" w:fill="auto"/>
            <w:vAlign w:val="center"/>
          </w:tcPr>
          <w:p>
            <w:pPr>
              <w:rPr>
                <w:rFonts w:ascii="宋体" w:hAnsi="宋体" w:eastAsia="宋体" w:cs="宋体"/>
                <w:sz w:val="24"/>
              </w:rPr>
            </w:pPr>
            <w:r>
              <w:rPr>
                <w:rFonts w:hint="eastAsia" w:ascii="宋体" w:hAnsi="宋体" w:eastAsia="宋体" w:cs="宋体"/>
                <w:sz w:val="24"/>
              </w:rPr>
              <w:t>不可预见费</w:t>
            </w:r>
          </w:p>
        </w:tc>
        <w:tc>
          <w:tcPr>
            <w:tcW w:w="780" w:type="dxa"/>
            <w:tcBorders>
              <w:tl2br w:val="nil"/>
              <w:tr2bl w:val="nil"/>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项</w:t>
            </w:r>
          </w:p>
        </w:tc>
        <w:tc>
          <w:tcPr>
            <w:tcW w:w="756" w:type="dxa"/>
            <w:tcBorders>
              <w:tl2br w:val="nil"/>
              <w:tr2bl w:val="nil"/>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1</w:t>
            </w:r>
          </w:p>
        </w:tc>
        <w:tc>
          <w:tcPr>
            <w:tcW w:w="804" w:type="dxa"/>
            <w:tcBorders>
              <w:tl2br w:val="nil"/>
              <w:tr2bl w:val="nil"/>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18.00</w:t>
            </w:r>
          </w:p>
        </w:tc>
        <w:tc>
          <w:tcPr>
            <w:tcW w:w="958" w:type="dxa"/>
            <w:tcBorders>
              <w:tl2br w:val="nil"/>
              <w:tr2bl w:val="nil"/>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18.00</w:t>
            </w:r>
          </w:p>
        </w:tc>
        <w:tc>
          <w:tcPr>
            <w:tcW w:w="2037" w:type="dxa"/>
            <w:tcBorders>
              <w:tl2br w:val="nil"/>
              <w:tr2bl w:val="nil"/>
            </w:tcBorders>
            <w:shd w:val="clear" w:color="auto" w:fill="auto"/>
            <w:vAlign w:val="center"/>
          </w:tcPr>
          <w:p>
            <w:pPr>
              <w:rPr>
                <w:rFonts w:ascii="宋体" w:hAnsi="宋体" w:eastAsia="宋体" w:cs="宋体"/>
                <w:sz w:val="24"/>
              </w:rPr>
            </w:pPr>
            <w:r>
              <w:rPr>
                <w:rFonts w:hint="eastAsia" w:ascii="宋体" w:hAnsi="宋体" w:eastAsia="宋体" w:cs="宋体"/>
                <w:sz w:val="24"/>
              </w:rPr>
              <w:t>按3%计提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443" w:hRule="atLeast"/>
        </w:trPr>
        <w:tc>
          <w:tcPr>
            <w:tcW w:w="934" w:type="dxa"/>
            <w:tcBorders>
              <w:tl2br w:val="nil"/>
              <w:tr2bl w:val="nil"/>
            </w:tcBorders>
            <w:shd w:val="clear" w:color="auto" w:fill="auto"/>
            <w:vAlign w:val="center"/>
          </w:tcPr>
          <w:p>
            <w:pPr>
              <w:rPr>
                <w:rFonts w:ascii="宋体" w:hAnsi="宋体" w:eastAsia="宋体" w:cs="宋体"/>
                <w:b/>
                <w:bCs/>
                <w:sz w:val="24"/>
              </w:rPr>
            </w:pPr>
            <w:r>
              <w:rPr>
                <w:rFonts w:hint="eastAsia" w:ascii="宋体" w:hAnsi="宋体" w:eastAsia="宋体" w:cs="宋体"/>
                <w:b/>
                <w:bCs/>
                <w:sz w:val="24"/>
              </w:rPr>
              <w:t>合计​</w:t>
            </w:r>
          </w:p>
        </w:tc>
        <w:tc>
          <w:tcPr>
            <w:tcW w:w="2580" w:type="dxa"/>
            <w:tcBorders>
              <w:tl2br w:val="nil"/>
              <w:tr2bl w:val="nil"/>
            </w:tcBorders>
            <w:shd w:val="clear" w:color="auto" w:fill="auto"/>
            <w:vAlign w:val="center"/>
          </w:tcPr>
          <w:p>
            <w:pPr>
              <w:rPr>
                <w:rFonts w:ascii="宋体" w:hAnsi="宋体" w:eastAsia="宋体" w:cs="宋体"/>
                <w:b/>
                <w:bCs/>
                <w:sz w:val="24"/>
              </w:rPr>
            </w:pPr>
            <w:r>
              <w:rPr>
                <w:rFonts w:hint="eastAsia" w:ascii="宋体" w:hAnsi="宋体" w:eastAsia="宋体" w:cs="宋体"/>
                <w:b/>
                <w:bCs/>
                <w:sz w:val="24"/>
              </w:rPr>
              <w:t>项目总投资​</w:t>
            </w:r>
          </w:p>
        </w:tc>
        <w:tc>
          <w:tcPr>
            <w:tcW w:w="780" w:type="dxa"/>
            <w:tcBorders>
              <w:tl2br w:val="nil"/>
              <w:tr2bl w:val="nil"/>
            </w:tcBorders>
            <w:shd w:val="clear" w:color="auto" w:fill="auto"/>
            <w:vAlign w:val="center"/>
          </w:tcPr>
          <w:p>
            <w:pPr>
              <w:jc w:val="center"/>
              <w:rPr>
                <w:rFonts w:ascii="宋体" w:hAnsi="宋体" w:eastAsia="宋体" w:cs="宋体"/>
                <w:b/>
                <w:bCs/>
                <w:sz w:val="24"/>
              </w:rPr>
            </w:pPr>
          </w:p>
        </w:tc>
        <w:tc>
          <w:tcPr>
            <w:tcW w:w="756" w:type="dxa"/>
            <w:tcBorders>
              <w:tl2br w:val="nil"/>
              <w:tr2bl w:val="nil"/>
            </w:tcBorders>
            <w:shd w:val="clear" w:color="auto" w:fill="auto"/>
            <w:vAlign w:val="center"/>
          </w:tcPr>
          <w:p>
            <w:pPr>
              <w:jc w:val="center"/>
              <w:rPr>
                <w:rFonts w:ascii="宋体" w:hAnsi="宋体" w:eastAsia="宋体" w:cs="宋体"/>
                <w:b/>
                <w:bCs/>
                <w:sz w:val="24"/>
              </w:rPr>
            </w:pPr>
          </w:p>
        </w:tc>
        <w:tc>
          <w:tcPr>
            <w:tcW w:w="804" w:type="dxa"/>
            <w:tcBorders>
              <w:tl2br w:val="nil"/>
              <w:tr2bl w:val="nil"/>
            </w:tcBorders>
            <w:shd w:val="clear" w:color="auto" w:fill="auto"/>
            <w:vAlign w:val="center"/>
          </w:tcPr>
          <w:p>
            <w:pPr>
              <w:jc w:val="center"/>
              <w:rPr>
                <w:rFonts w:ascii="宋体" w:hAnsi="宋体" w:eastAsia="宋体" w:cs="宋体"/>
                <w:b/>
                <w:bCs/>
                <w:sz w:val="24"/>
              </w:rPr>
            </w:pPr>
          </w:p>
        </w:tc>
        <w:tc>
          <w:tcPr>
            <w:tcW w:w="958" w:type="dxa"/>
            <w:tcBorders>
              <w:tl2br w:val="nil"/>
              <w:tr2bl w:val="nil"/>
            </w:tcBorders>
            <w:shd w:val="clear" w:color="auto" w:fill="auto"/>
            <w:vAlign w:val="center"/>
          </w:tcPr>
          <w:p>
            <w:pPr>
              <w:jc w:val="center"/>
              <w:rPr>
                <w:rFonts w:ascii="宋体" w:hAnsi="宋体" w:eastAsia="宋体" w:cs="宋体"/>
                <w:b/>
                <w:bCs/>
                <w:sz w:val="24"/>
              </w:rPr>
            </w:pPr>
            <w:r>
              <w:rPr>
                <w:rFonts w:hint="eastAsia" w:ascii="宋体" w:hAnsi="宋体" w:eastAsia="宋体" w:cs="宋体"/>
                <w:b/>
                <w:bCs/>
                <w:sz w:val="24"/>
              </w:rPr>
              <w:t>567.00</w:t>
            </w:r>
          </w:p>
        </w:tc>
        <w:tc>
          <w:tcPr>
            <w:tcW w:w="2037" w:type="dxa"/>
            <w:tcBorders>
              <w:tl2br w:val="nil"/>
              <w:tr2bl w:val="nil"/>
            </w:tcBorders>
            <w:shd w:val="clear" w:color="auto" w:fill="auto"/>
            <w:vAlign w:val="center"/>
          </w:tcPr>
          <w:p>
            <w:pPr>
              <w:rPr>
                <w:rFonts w:ascii="宋体" w:hAnsi="宋体" w:eastAsia="宋体" w:cs="宋体"/>
                <w:b/>
                <w:bCs/>
                <w:sz w:val="24"/>
              </w:rPr>
            </w:pPr>
          </w:p>
        </w:tc>
      </w:tr>
    </w:tbl>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五、年度运行维持经费测算</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项目建成后，年度运行维持经费测算为180万元/年</w:t>
      </w:r>
      <w:r>
        <w:rPr>
          <w:rFonts w:hint="eastAsia" w:ascii="楷体" w:hAnsi="楷体" w:eastAsia="楷体" w:cs="楷体"/>
          <w:sz w:val="28"/>
          <w:szCs w:val="28"/>
        </w:rPr>
        <w:t>【单点60万元/年】</w:t>
      </w:r>
      <w:r>
        <w:rPr>
          <w:rFonts w:hint="eastAsia" w:ascii="仿宋_GB2312" w:hAnsi="仿宋_GB2312" w:eastAsia="仿宋_GB2312" w:cs="仿宋_GB2312"/>
          <w:sz w:val="32"/>
          <w:szCs w:val="32"/>
        </w:rPr>
        <w:t>。由张掖市财政、阿拉善盟财政筹资纳入年度预算保障。明细如下：</w:t>
      </w:r>
    </w:p>
    <w:tbl>
      <w:tblPr>
        <w:tblStyle w:val="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0" w:type="dxa"/>
          <w:bottom w:w="0" w:type="dxa"/>
          <w:right w:w="0" w:type="dxa"/>
        </w:tblCellMar>
      </w:tblPr>
      <w:tblGrid>
        <w:gridCol w:w="408"/>
        <w:gridCol w:w="1158"/>
        <w:gridCol w:w="5574"/>
        <w:gridCol w:w="117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blHeader/>
        </w:trPr>
        <w:tc>
          <w:tcPr>
            <w:tcW w:w="0" w:type="auto"/>
            <w:tcBorders>
              <w:tl2br w:val="nil"/>
              <w:tr2bl w:val="nil"/>
            </w:tcBorders>
            <w:shd w:val="clear" w:color="auto" w:fill="auto"/>
            <w:vAlign w:val="center"/>
          </w:tcPr>
          <w:p>
            <w:pPr>
              <w:jc w:val="center"/>
              <w:rPr>
                <w:rFonts w:ascii="宋体" w:hAnsi="宋体" w:eastAsia="宋体" w:cs="宋体"/>
                <w:b/>
                <w:bCs/>
                <w:sz w:val="24"/>
              </w:rPr>
            </w:pPr>
            <w:r>
              <w:rPr>
                <w:rFonts w:hint="eastAsia" w:ascii="宋体" w:hAnsi="宋体" w:eastAsia="宋体" w:cs="宋体"/>
                <w:b/>
                <w:bCs/>
                <w:sz w:val="24"/>
              </w:rPr>
              <w:t>序号</w:t>
            </w:r>
          </w:p>
        </w:tc>
        <w:tc>
          <w:tcPr>
            <w:tcW w:w="0" w:type="auto"/>
            <w:tcBorders>
              <w:tl2br w:val="nil"/>
              <w:tr2bl w:val="nil"/>
            </w:tcBorders>
            <w:shd w:val="clear" w:color="auto" w:fill="auto"/>
            <w:vAlign w:val="center"/>
          </w:tcPr>
          <w:p>
            <w:pPr>
              <w:jc w:val="center"/>
              <w:rPr>
                <w:rFonts w:ascii="宋体" w:hAnsi="宋体" w:eastAsia="宋体" w:cs="宋体"/>
                <w:b/>
                <w:bCs/>
                <w:sz w:val="24"/>
              </w:rPr>
            </w:pPr>
            <w:r>
              <w:rPr>
                <w:rFonts w:hint="eastAsia" w:ascii="宋体" w:hAnsi="宋体" w:eastAsia="宋体" w:cs="宋体"/>
                <w:b/>
                <w:bCs/>
                <w:sz w:val="24"/>
              </w:rPr>
              <w:t>费用类别</w:t>
            </w:r>
          </w:p>
        </w:tc>
        <w:tc>
          <w:tcPr>
            <w:tcW w:w="0" w:type="auto"/>
            <w:tcBorders>
              <w:tl2br w:val="nil"/>
              <w:tr2bl w:val="nil"/>
            </w:tcBorders>
            <w:shd w:val="clear" w:color="auto" w:fill="auto"/>
            <w:vAlign w:val="center"/>
          </w:tcPr>
          <w:p>
            <w:pPr>
              <w:jc w:val="center"/>
              <w:rPr>
                <w:rFonts w:ascii="宋体" w:hAnsi="宋体" w:eastAsia="宋体" w:cs="宋体"/>
                <w:b/>
                <w:bCs/>
                <w:sz w:val="24"/>
              </w:rPr>
            </w:pPr>
            <w:r>
              <w:rPr>
                <w:rFonts w:hint="eastAsia" w:ascii="宋体" w:hAnsi="宋体" w:eastAsia="宋体" w:cs="宋体"/>
                <w:b/>
                <w:bCs/>
                <w:sz w:val="24"/>
              </w:rPr>
              <w:t>测算说明</w:t>
            </w:r>
          </w:p>
        </w:tc>
        <w:tc>
          <w:tcPr>
            <w:tcW w:w="0" w:type="auto"/>
            <w:tcBorders>
              <w:tl2br w:val="nil"/>
              <w:tr2bl w:val="nil"/>
            </w:tcBorders>
            <w:shd w:val="clear" w:color="auto" w:fill="auto"/>
            <w:vAlign w:val="center"/>
          </w:tcPr>
          <w:p>
            <w:pPr>
              <w:jc w:val="center"/>
              <w:rPr>
                <w:rFonts w:ascii="宋体" w:hAnsi="宋体" w:eastAsia="宋体" w:cs="宋体"/>
                <w:b/>
                <w:bCs/>
                <w:sz w:val="24"/>
              </w:rPr>
            </w:pPr>
            <w:r>
              <w:rPr>
                <w:rFonts w:hint="eastAsia" w:ascii="宋体" w:hAnsi="宋体" w:eastAsia="宋体" w:cs="宋体"/>
                <w:b/>
                <w:bCs/>
                <w:sz w:val="24"/>
              </w:rPr>
              <w:t>年度小计(万元)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c>
          <w:tcPr>
            <w:tcW w:w="0" w:type="auto"/>
            <w:tcBorders>
              <w:tl2br w:val="nil"/>
              <w:tr2bl w:val="nil"/>
            </w:tcBorders>
            <w:shd w:val="clear" w:color="auto" w:fill="auto"/>
            <w:vAlign w:val="center"/>
          </w:tcPr>
          <w:p>
            <w:pPr>
              <w:jc w:val="center"/>
              <w:rPr>
                <w:rFonts w:ascii="宋体" w:hAnsi="宋体" w:eastAsia="宋体" w:cs="宋体"/>
                <w:b/>
                <w:bCs/>
                <w:sz w:val="24"/>
              </w:rPr>
            </w:pPr>
            <w:r>
              <w:rPr>
                <w:rFonts w:hint="eastAsia" w:ascii="宋体" w:hAnsi="宋体" w:eastAsia="宋体" w:cs="宋体"/>
                <w:b/>
                <w:bCs/>
                <w:sz w:val="24"/>
              </w:rPr>
              <w:t>1</w:t>
            </w:r>
          </w:p>
        </w:tc>
        <w:tc>
          <w:tcPr>
            <w:tcW w:w="0" w:type="auto"/>
            <w:tcBorders>
              <w:tl2br w:val="nil"/>
              <w:tr2bl w:val="nil"/>
            </w:tcBorders>
            <w:shd w:val="clear" w:color="auto" w:fill="auto"/>
            <w:vAlign w:val="center"/>
          </w:tcPr>
          <w:p>
            <w:pPr>
              <w:jc w:val="center"/>
              <w:rPr>
                <w:rFonts w:ascii="宋体" w:hAnsi="宋体" w:eastAsia="宋体" w:cs="宋体"/>
                <w:b/>
                <w:bCs/>
                <w:sz w:val="24"/>
              </w:rPr>
            </w:pPr>
            <w:r>
              <w:rPr>
                <w:rFonts w:hint="eastAsia" w:ascii="宋体" w:hAnsi="宋体" w:eastAsia="宋体" w:cs="宋体"/>
                <w:b/>
                <w:bCs/>
                <w:sz w:val="24"/>
              </w:rPr>
              <w:t>地面作业维持费</w:t>
            </w:r>
          </w:p>
        </w:tc>
        <w:tc>
          <w:tcPr>
            <w:tcW w:w="0" w:type="auto"/>
            <w:tcBorders>
              <w:tl2br w:val="nil"/>
              <w:tr2bl w:val="nil"/>
            </w:tcBorders>
            <w:shd w:val="clear" w:color="auto" w:fill="auto"/>
            <w:vAlign w:val="center"/>
          </w:tcPr>
          <w:p>
            <w:pPr>
              <w:jc w:val="center"/>
              <w:rPr>
                <w:rFonts w:ascii="宋体" w:hAnsi="宋体" w:eastAsia="宋体" w:cs="宋体"/>
                <w:b/>
                <w:bCs/>
                <w:sz w:val="24"/>
              </w:rPr>
            </w:pPr>
            <w:r>
              <w:rPr>
                <w:rFonts w:hint="eastAsia" w:ascii="宋体" w:hAnsi="宋体" w:eastAsia="宋体" w:cs="宋体"/>
                <w:b/>
                <w:bCs/>
                <w:sz w:val="24"/>
              </w:rPr>
              <w:t>三个地面作业点合计</w:t>
            </w:r>
          </w:p>
        </w:tc>
        <w:tc>
          <w:tcPr>
            <w:tcW w:w="0" w:type="auto"/>
            <w:tcBorders>
              <w:tl2br w:val="nil"/>
              <w:tr2bl w:val="nil"/>
            </w:tcBorders>
            <w:shd w:val="clear" w:color="auto" w:fill="auto"/>
            <w:vAlign w:val="center"/>
          </w:tcPr>
          <w:p>
            <w:pPr>
              <w:jc w:val="center"/>
              <w:rPr>
                <w:rFonts w:ascii="宋体" w:hAnsi="宋体" w:eastAsia="宋体" w:cs="宋体"/>
                <w:b/>
                <w:bCs/>
                <w:sz w:val="24"/>
              </w:rPr>
            </w:pPr>
            <w:r>
              <w:rPr>
                <w:rFonts w:hint="eastAsia" w:ascii="宋体" w:hAnsi="宋体" w:eastAsia="宋体" w:cs="宋体"/>
                <w:b/>
                <w:bCs/>
                <w:sz w:val="24"/>
              </w:rPr>
              <w:t>180.00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c>
          <w:tcPr>
            <w:tcW w:w="0" w:type="auto"/>
            <w:tcBorders>
              <w:tl2br w:val="nil"/>
              <w:tr2bl w:val="nil"/>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1.1</w:t>
            </w:r>
          </w:p>
        </w:tc>
        <w:tc>
          <w:tcPr>
            <w:tcW w:w="0" w:type="auto"/>
            <w:tcBorders>
              <w:tl2br w:val="nil"/>
              <w:tr2bl w:val="nil"/>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消耗器材费</w:t>
            </w:r>
          </w:p>
        </w:tc>
        <w:tc>
          <w:tcPr>
            <w:tcW w:w="0" w:type="auto"/>
            <w:tcBorders>
              <w:tl2br w:val="nil"/>
              <w:tr2bl w:val="nil"/>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火箭弹:年均300枚×0.308万元/枚=92.4万元；焰条:年均300根×0.065万元/根=19.5万元。</w:t>
            </w:r>
          </w:p>
        </w:tc>
        <w:tc>
          <w:tcPr>
            <w:tcW w:w="0" w:type="auto"/>
            <w:tcBorders>
              <w:tl2br w:val="nil"/>
              <w:tr2bl w:val="nil"/>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111.90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0" w:type="auto"/>
            <w:tcBorders>
              <w:tl2br w:val="nil"/>
              <w:tr2bl w:val="nil"/>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1.2</w:t>
            </w:r>
          </w:p>
        </w:tc>
        <w:tc>
          <w:tcPr>
            <w:tcW w:w="0" w:type="auto"/>
            <w:tcBorders>
              <w:tl2br w:val="nil"/>
              <w:tr2bl w:val="nil"/>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人工及劳务费</w:t>
            </w:r>
          </w:p>
        </w:tc>
        <w:tc>
          <w:tcPr>
            <w:tcW w:w="0" w:type="auto"/>
            <w:tcBorders>
              <w:tl2br w:val="nil"/>
              <w:tr2bl w:val="nil"/>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3个点共9名有上岗资格的兼职或临聘人员，人均4万元/年(含社保津贴)。</w:t>
            </w:r>
          </w:p>
        </w:tc>
        <w:tc>
          <w:tcPr>
            <w:tcW w:w="0" w:type="auto"/>
            <w:tcBorders>
              <w:tl2br w:val="nil"/>
              <w:tr2bl w:val="nil"/>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36.00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c>
          <w:tcPr>
            <w:tcW w:w="0" w:type="auto"/>
            <w:tcBorders>
              <w:tl2br w:val="nil"/>
              <w:tr2bl w:val="nil"/>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1.3</w:t>
            </w:r>
          </w:p>
        </w:tc>
        <w:tc>
          <w:tcPr>
            <w:tcW w:w="0" w:type="auto"/>
            <w:tcBorders>
              <w:tl2br w:val="nil"/>
              <w:tr2bl w:val="nil"/>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装备运维检修费</w:t>
            </w:r>
          </w:p>
        </w:tc>
        <w:tc>
          <w:tcPr>
            <w:tcW w:w="0" w:type="auto"/>
            <w:tcBorders>
              <w:tl2br w:val="nil"/>
              <w:tr2bl w:val="nil"/>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火箭架年检、烟炉保养、监控维护，3万元/点。</w:t>
            </w:r>
          </w:p>
        </w:tc>
        <w:tc>
          <w:tcPr>
            <w:tcW w:w="0" w:type="auto"/>
            <w:tcBorders>
              <w:tl2br w:val="nil"/>
              <w:tr2bl w:val="nil"/>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9.00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c>
          <w:tcPr>
            <w:tcW w:w="0" w:type="auto"/>
            <w:tcBorders>
              <w:tl2br w:val="nil"/>
              <w:tr2bl w:val="nil"/>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1.4</w:t>
            </w:r>
          </w:p>
        </w:tc>
        <w:tc>
          <w:tcPr>
            <w:tcW w:w="0" w:type="auto"/>
            <w:tcBorders>
              <w:tl2br w:val="nil"/>
              <w:tr2bl w:val="nil"/>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网络通信及水电费</w:t>
            </w:r>
          </w:p>
        </w:tc>
        <w:tc>
          <w:tcPr>
            <w:tcW w:w="0" w:type="auto"/>
            <w:tcBorders>
              <w:tl2br w:val="nil"/>
              <w:tr2bl w:val="nil"/>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宽带专线、物联网流量、水电暖，2万元/点。</w:t>
            </w:r>
          </w:p>
        </w:tc>
        <w:tc>
          <w:tcPr>
            <w:tcW w:w="0" w:type="auto"/>
            <w:tcBorders>
              <w:tl2br w:val="nil"/>
              <w:tr2bl w:val="nil"/>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6.00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c>
          <w:tcPr>
            <w:tcW w:w="0" w:type="auto"/>
            <w:tcBorders>
              <w:tl2br w:val="nil"/>
              <w:tr2bl w:val="nil"/>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1.5</w:t>
            </w:r>
          </w:p>
        </w:tc>
        <w:tc>
          <w:tcPr>
            <w:tcW w:w="0" w:type="auto"/>
            <w:tcBorders>
              <w:tl2br w:val="nil"/>
              <w:tr2bl w:val="nil"/>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保险及管理费</w:t>
            </w:r>
          </w:p>
        </w:tc>
        <w:tc>
          <w:tcPr>
            <w:tcW w:w="0" w:type="auto"/>
            <w:tcBorders>
              <w:tl2br w:val="nil"/>
              <w:tr2bl w:val="nil"/>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公众责任险、人员培训、应急演练，4万元/点。</w:t>
            </w:r>
          </w:p>
        </w:tc>
        <w:tc>
          <w:tcPr>
            <w:tcW w:w="0" w:type="auto"/>
            <w:tcBorders>
              <w:tl2br w:val="nil"/>
              <w:tr2bl w:val="nil"/>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12.00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0" w:type="auto"/>
            <w:tcBorders>
              <w:tl2br w:val="nil"/>
              <w:tr2bl w:val="nil"/>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1.6</w:t>
            </w:r>
          </w:p>
        </w:tc>
        <w:tc>
          <w:tcPr>
            <w:tcW w:w="0" w:type="auto"/>
            <w:tcBorders>
              <w:tl2br w:val="nil"/>
              <w:tr2bl w:val="nil"/>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不可预见费</w:t>
            </w:r>
          </w:p>
        </w:tc>
        <w:tc>
          <w:tcPr>
            <w:tcW w:w="0" w:type="auto"/>
            <w:tcBorders>
              <w:tl2br w:val="nil"/>
              <w:tr2bl w:val="nil"/>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按总费用的3%计提。</w:t>
            </w:r>
          </w:p>
        </w:tc>
        <w:tc>
          <w:tcPr>
            <w:tcW w:w="0" w:type="auto"/>
            <w:tcBorders>
              <w:tl2br w:val="nil"/>
              <w:tr2bl w:val="nil"/>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5.10</w:t>
            </w:r>
          </w:p>
        </w:tc>
      </w:tr>
    </w:tbl>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六、保障措施</w:t>
      </w:r>
    </w:p>
    <w:p>
      <w:pPr>
        <w:spacing w:line="576"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(一)加强组织领导，压实主体责任</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依托“黑河人工增雨补水与生态保障工作协调机制”，每季度召开联席会议，明确部门职责：市政府牵头统筹资金；市气象局负责技术标准与作业指导；各县区政府落实选址、土地及人员保障。</w:t>
      </w:r>
    </w:p>
    <w:p>
      <w:pPr>
        <w:spacing w:line="576"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(二)强化资金保障，严格规范管理</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建设资金由张掖市级财政、阿拉善盟财政分年度拨付，积极争取上级生态补偿资金。严格执行财务制度，实施全过程绩效跟踪与审计监督。</w:t>
      </w:r>
    </w:p>
    <w:p>
      <w:pPr>
        <w:spacing w:line="576"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(三)深化技术支撑，提升专业能力</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组建专家团队提供技术咨询，开展祁连山云物理研究，优化作业模型。每年组织安全培训，推行持证上岗。</w:t>
      </w:r>
    </w:p>
    <w:p>
      <w:pPr>
        <w:spacing w:line="576"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(四)严守安全底线，健全防控体系</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将安全纳入考核，规范弹药全流程管理。作业点建设符合《人工影响天气安全管理规定》，落实“双人双锁、实时监控”。</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本方案自批复之日起实施，确保2027年底前全面完成三大标准化地面作业点建设任务，有效提升黑河径流调节能力。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1536FE"/>
    <w:rsid w:val="111E393A"/>
    <w:rsid w:val="12600CDA"/>
    <w:rsid w:val="140E413A"/>
    <w:rsid w:val="1CE146A8"/>
    <w:rsid w:val="30590093"/>
    <w:rsid w:val="330257C9"/>
    <w:rsid w:val="382D42DF"/>
    <w:rsid w:val="3C9C1A33"/>
    <w:rsid w:val="3F3309C9"/>
    <w:rsid w:val="40B557B9"/>
    <w:rsid w:val="41705B0C"/>
    <w:rsid w:val="467E5988"/>
    <w:rsid w:val="4820176A"/>
    <w:rsid w:val="5A4968FF"/>
    <w:rsid w:val="5EE370C8"/>
    <w:rsid w:val="66067D9A"/>
    <w:rsid w:val="736B7E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2954</Words>
  <Characters>3296</Characters>
  <Lines>0</Lines>
  <Paragraphs>0</Paragraphs>
  <TotalTime>1</TotalTime>
  <ScaleCrop>false</ScaleCrop>
  <LinksUpToDate>false</LinksUpToDate>
  <CharactersWithSpaces>3315</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2026-01-30T16:13:00Z</dcterms:created>
  <dc:creator>Administrator</dc:creator>
  <cp:lastModifiedBy>uos</cp:lastModifiedBy>
  <cp:lastPrinted>2026-05-19T11:06:00Z</cp:lastPrinted>
  <dcterms:modified xsi:type="dcterms:W3CDTF">2026-05-19T11:31:56Z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KSOTemplateDocerSaveRecord">
    <vt:lpwstr>eyJoZGlkIjoiNDY1ZmU3NGFjMGU0ZDJlNDU5ZWY2ZDVkYmU0MjhhZDEiLCJ1c2VySWQiOiIzMTA4NzI2MDcifQ==</vt:lpwstr>
  </property>
  <property fmtid="{D5CDD505-2E9C-101B-9397-08002B2CF9AE}" pid="4" name="ICV">
    <vt:lpwstr>242ED410066F470A90A660EFAD09F0E6_13</vt:lpwstr>
  </property>
</Properties>
</file>