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66725A">
      <w:pPr>
        <w:spacing w:line="587" w:lineRule="exact"/>
        <w:jc w:val="left"/>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附件</w:t>
      </w:r>
      <w:r>
        <w:rPr>
          <w:rFonts w:hint="eastAsia" w:ascii="黑体" w:hAnsi="黑体" w:eastAsia="黑体" w:cs="黑体"/>
          <w:color w:val="000000" w:themeColor="text1"/>
          <w:sz w:val="32"/>
          <w:szCs w:val="32"/>
          <w:lang w:val="en-US" w:eastAsia="zh-CN"/>
          <w14:textFill>
            <w14:solidFill>
              <w14:schemeClr w14:val="tx1"/>
            </w14:solidFill>
          </w14:textFill>
        </w:rPr>
        <w:t>3</w:t>
      </w:r>
    </w:p>
    <w:p w14:paraId="0D00FF42">
      <w:pPr>
        <w:spacing w:line="587" w:lineRule="exact"/>
        <w:jc w:val="center"/>
        <w:rPr>
          <w:rFonts w:ascii="方正小标宋简体" w:hAnsi="黑体" w:eastAsia="方正小标宋简体" w:cs="仿宋_GB2312"/>
          <w:color w:val="000000" w:themeColor="text1"/>
          <w:sz w:val="44"/>
          <w:szCs w:val="44"/>
          <w14:textFill>
            <w14:solidFill>
              <w14:schemeClr w14:val="tx1"/>
            </w14:solidFill>
          </w14:textFill>
        </w:rPr>
      </w:pPr>
      <w:r>
        <w:rPr>
          <w:rFonts w:hint="eastAsia" w:ascii="方正小标宋简体" w:hAnsi="黑体" w:eastAsia="方正小标宋简体" w:cs="仿宋_GB2312"/>
          <w:color w:val="000000" w:themeColor="text1"/>
          <w:sz w:val="44"/>
          <w:szCs w:val="44"/>
          <w14:textFill>
            <w14:solidFill>
              <w14:schemeClr w14:val="tx1"/>
            </w14:solidFill>
          </w14:textFill>
        </w:rPr>
        <w:t>《张掖市</w:t>
      </w:r>
      <w:r>
        <w:rPr>
          <w:rFonts w:hint="eastAsia" w:ascii="方正小标宋简体" w:hAnsi="黑体" w:eastAsia="方正小标宋简体" w:cs="仿宋_GB2312"/>
          <w:color w:val="000000" w:themeColor="text1"/>
          <w:sz w:val="44"/>
          <w:szCs w:val="44"/>
          <w:lang w:val="en-US" w:eastAsia="zh-CN"/>
          <w14:textFill>
            <w14:solidFill>
              <w14:schemeClr w14:val="tx1"/>
            </w14:solidFill>
          </w14:textFill>
        </w:rPr>
        <w:t>耕地质量保护条例</w:t>
      </w:r>
      <w:r>
        <w:rPr>
          <w:rFonts w:hint="eastAsia" w:ascii="方正小标宋简体" w:hAnsi="黑体" w:eastAsia="方正小标宋简体" w:cs="仿宋_GB2312"/>
          <w:color w:val="000000" w:themeColor="text1"/>
          <w:sz w:val="44"/>
          <w:szCs w:val="44"/>
          <w14:textFill>
            <w14:solidFill>
              <w14:schemeClr w14:val="tx1"/>
            </w14:solidFill>
          </w14:textFill>
        </w:rPr>
        <w:t>（草案</w:t>
      </w:r>
      <w:r>
        <w:rPr>
          <w:rFonts w:hint="eastAsia" w:ascii="方正小标宋简体" w:hAnsi="黑体" w:eastAsia="方正小标宋简体" w:cs="仿宋_GB2312"/>
          <w:color w:val="000000" w:themeColor="text1"/>
          <w:sz w:val="44"/>
          <w:szCs w:val="44"/>
          <w:lang w:val="en-US" w:eastAsia="zh-CN"/>
          <w14:textFill>
            <w14:solidFill>
              <w14:schemeClr w14:val="tx1"/>
            </w14:solidFill>
          </w14:textFill>
        </w:rPr>
        <w:t>送审稿</w:t>
      </w:r>
      <w:r>
        <w:rPr>
          <w:rFonts w:hint="eastAsia" w:ascii="方正小标宋简体" w:hAnsi="黑体" w:eastAsia="方正小标宋简体" w:cs="仿宋_GB2312"/>
          <w:color w:val="000000" w:themeColor="text1"/>
          <w:sz w:val="44"/>
          <w:szCs w:val="44"/>
          <w14:textFill>
            <w14:solidFill>
              <w14:schemeClr w14:val="tx1"/>
            </w14:solidFill>
          </w14:textFill>
        </w:rPr>
        <w:t>）》</w:t>
      </w:r>
      <w:r>
        <w:rPr>
          <w:rFonts w:hint="eastAsia" w:ascii="方正小标宋简体" w:hAnsi="黑体" w:eastAsia="方正小标宋简体" w:cs="仿宋_GB2312"/>
          <w:color w:val="000000" w:themeColor="text1"/>
          <w:sz w:val="44"/>
          <w:szCs w:val="44"/>
          <w:lang w:eastAsia="zh-CN"/>
          <w14:textFill>
            <w14:solidFill>
              <w14:schemeClr w14:val="tx1"/>
            </w14:solidFill>
          </w14:textFill>
        </w:rPr>
        <w:t>法律</w:t>
      </w:r>
      <w:r>
        <w:rPr>
          <w:rFonts w:hint="eastAsia" w:ascii="方正小标宋简体" w:hAnsi="黑体" w:eastAsia="方正小标宋简体" w:cs="仿宋_GB2312"/>
          <w:color w:val="000000" w:themeColor="text1"/>
          <w:sz w:val="44"/>
          <w:szCs w:val="44"/>
          <w14:textFill>
            <w14:solidFill>
              <w14:schemeClr w14:val="tx1"/>
            </w14:solidFill>
          </w14:textFill>
        </w:rPr>
        <w:t>依据对照表</w:t>
      </w:r>
    </w:p>
    <w:p w14:paraId="4909ACF2">
      <w:pPr>
        <w:spacing w:line="587" w:lineRule="exact"/>
        <w:ind w:firstLine="1980" w:firstLineChars="450"/>
        <w:jc w:val="center"/>
        <w:rPr>
          <w:rFonts w:ascii="方正小标宋简体" w:hAnsi="黑体" w:eastAsia="方正小标宋简体" w:cs="仿宋_GB2312"/>
          <w:color w:val="000000" w:themeColor="text1"/>
          <w:sz w:val="44"/>
          <w:szCs w:val="44"/>
          <w14:textFill>
            <w14:solidFill>
              <w14:schemeClr w14:val="tx1"/>
            </w14:solidFill>
          </w14:textFill>
        </w:rPr>
      </w:pPr>
    </w:p>
    <w:tbl>
      <w:tblPr>
        <w:tblStyle w:val="12"/>
        <w:tblW w:w="13967"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6683"/>
        <w:gridCol w:w="7284"/>
      </w:tblGrid>
      <w:tr w14:paraId="5689F68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2" w:hRule="atLeast"/>
        </w:trPr>
        <w:tc>
          <w:tcPr>
            <w:tcW w:w="6683" w:type="dxa"/>
            <w:vAlign w:val="center"/>
          </w:tcPr>
          <w:p w14:paraId="745BB4AB">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center"/>
              <w:textAlignment w:val="auto"/>
              <w:rPr>
                <w:rFonts w:ascii="黑体" w:hAnsi="黑体" w:eastAsia="黑体" w:cs="仿宋_GB2312"/>
                <w:b w:val="0"/>
                <w:bCs w:val="0"/>
                <w:color w:val="000000" w:themeColor="text1"/>
                <w:sz w:val="24"/>
                <w:szCs w:val="24"/>
                <w14:textFill>
                  <w14:solidFill>
                    <w14:schemeClr w14:val="tx1"/>
                  </w14:solidFill>
                </w14:textFill>
              </w:rPr>
            </w:pPr>
            <w:r>
              <w:rPr>
                <w:rFonts w:hint="eastAsia" w:ascii="黑体" w:hAnsi="黑体" w:eastAsia="黑体" w:cs="仿宋_GB2312"/>
                <w:b w:val="0"/>
                <w:bCs w:val="0"/>
                <w:color w:val="000000" w:themeColor="text1"/>
                <w:sz w:val="24"/>
                <w:szCs w:val="24"/>
                <w14:textFill>
                  <w14:solidFill>
                    <w14:schemeClr w14:val="tx1"/>
                  </w14:solidFill>
                </w14:textFill>
              </w:rPr>
              <w:t>条文</w:t>
            </w:r>
          </w:p>
        </w:tc>
        <w:tc>
          <w:tcPr>
            <w:tcW w:w="7284" w:type="dxa"/>
            <w:vAlign w:val="center"/>
          </w:tcPr>
          <w:p w14:paraId="453E0AB1">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center"/>
              <w:textAlignment w:val="auto"/>
              <w:rPr>
                <w:rFonts w:ascii="黑体" w:hAnsi="黑体" w:eastAsia="黑体" w:cs="仿宋_GB2312"/>
                <w:b w:val="0"/>
                <w:bCs w:val="0"/>
                <w:color w:val="000000" w:themeColor="text1"/>
                <w:sz w:val="24"/>
                <w:szCs w:val="24"/>
                <w14:textFill>
                  <w14:solidFill>
                    <w14:schemeClr w14:val="tx1"/>
                  </w14:solidFill>
                </w14:textFill>
              </w:rPr>
            </w:pPr>
            <w:r>
              <w:rPr>
                <w:rFonts w:hint="eastAsia" w:ascii="黑体" w:hAnsi="黑体" w:eastAsia="黑体" w:cs="仿宋_GB2312"/>
                <w:b w:val="0"/>
                <w:bCs w:val="0"/>
                <w:color w:val="000000" w:themeColor="text1"/>
                <w:sz w:val="24"/>
                <w:szCs w:val="24"/>
                <w14:textFill>
                  <w14:solidFill>
                    <w14:schemeClr w14:val="tx1"/>
                  </w14:solidFill>
                </w14:textFill>
              </w:rPr>
              <w:t>依据</w:t>
            </w:r>
          </w:p>
        </w:tc>
      </w:tr>
      <w:tr w14:paraId="6A3F4D5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74" w:hRule="atLeast"/>
        </w:trPr>
        <w:tc>
          <w:tcPr>
            <w:tcW w:w="13967" w:type="dxa"/>
            <w:gridSpan w:val="2"/>
            <w:vAlign w:val="center"/>
          </w:tcPr>
          <w:p w14:paraId="1B738C89">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center"/>
              <w:textAlignment w:val="auto"/>
              <w:rPr>
                <w:rFonts w:ascii="黑体" w:hAnsi="黑体" w:eastAsia="黑体" w:cs="仿宋_GB2312"/>
                <w:b w:val="0"/>
                <w:bCs w:val="0"/>
                <w:color w:val="000000" w:themeColor="text1"/>
                <w:sz w:val="24"/>
                <w:szCs w:val="24"/>
                <w14:textFill>
                  <w14:solidFill>
                    <w14:schemeClr w14:val="tx1"/>
                  </w14:solidFill>
                </w14:textFill>
              </w:rPr>
            </w:pPr>
            <w:r>
              <w:rPr>
                <w:rFonts w:hint="eastAsia" w:ascii="黑体" w:hAnsi="黑体" w:eastAsia="黑体" w:cs="仿宋_GB2312"/>
                <w:b w:val="0"/>
                <w:bCs w:val="0"/>
                <w:color w:val="000000" w:themeColor="text1"/>
                <w:sz w:val="24"/>
                <w:szCs w:val="24"/>
                <w14:textFill>
                  <w14:solidFill>
                    <w14:schemeClr w14:val="tx1"/>
                  </w14:solidFill>
                </w14:textFill>
              </w:rPr>
              <w:t>第一章总则</w:t>
            </w:r>
          </w:p>
        </w:tc>
      </w:tr>
      <w:tr w14:paraId="4247DE9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6683" w:type="dxa"/>
            <w:shd w:val="clear" w:color="auto" w:fill="auto"/>
            <w:vAlign w:val="center"/>
          </w:tcPr>
          <w:p w14:paraId="3D446FC6">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第一条【立法目的】 为了落实最严格的耕地保护制度，保障国家粮食安全和生态安全，促进农业可持续发展，根据《中华人民共和国农业法》《中华人民共和国土地管理法》《中华人民共和国基本农田保护条例》等法律法规，结合本市实际，制定本条例。</w:t>
            </w:r>
          </w:p>
        </w:tc>
        <w:tc>
          <w:tcPr>
            <w:tcW w:w="7284" w:type="dxa"/>
            <w:shd w:val="clear" w:color="auto" w:fill="auto"/>
            <w:vAlign w:val="center"/>
          </w:tcPr>
          <w:p w14:paraId="31FE8C1B">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中华人民共和国农业法》第一条：“为了巩固和加强农业在国民经济中的基础地位，深化农村改革，发展农业生产力，推进农业现代化，维护农民和农业生产经营组织的合法权益，增加农民收入，提高农民科学文化素质，促进农业和农村经济的持续、稳定、健康发展，实现全面建设小康社会的目标，制定本法。”</w:t>
            </w:r>
          </w:p>
          <w:p w14:paraId="1B20EE73">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中华人民共和国土地管理法》第三条：“十分珍惜、合理利用土地和切实保护耕地是我国的基本国策。各级人民政府应当采取措施，全面规划，严格管理，保护、开发土地资源，制止非法占用土地的行为。”</w:t>
            </w:r>
          </w:p>
          <w:p w14:paraId="38C1792B">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依据《中华人民共和国粮食安全保障法》第十四条第一款：“国家建立严格的耕地质量保护制度，加强高标准农田建设，健全完善多元投入保障机制，提高建设标准和质量。”</w:t>
            </w:r>
          </w:p>
          <w:p w14:paraId="3436526A">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中华人民共和国生态环境法典》第一条：“为了保护生态环境，防治污染和其他公害，保障公众健康和生态环境权益，维护生态安全，推动绿色低碳发展，建设生态文明，全面推进美丽中国建设，加快推进人与自然和谐共生的现代化，实现中华民族永续发展，根据宪法，制定本法。”</w:t>
            </w:r>
          </w:p>
          <w:p w14:paraId="07378E39">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中华人民共和国农村土地承包法》第一条：“为了巩固和完善以家庭承包经营为基础、统分结合的双层经营体制，保持农村土地承包关系稳定并长久不变，维护农村土地承包经营当事人的合法权益，促进农业、农村经济发展和农村社会和谐稳定，根据宪法，制定本法。”</w:t>
            </w:r>
          </w:p>
        </w:tc>
      </w:tr>
      <w:tr w14:paraId="016D344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62" w:hRule="atLeast"/>
        </w:trPr>
        <w:tc>
          <w:tcPr>
            <w:tcW w:w="6683" w:type="dxa"/>
            <w:shd w:val="clear" w:color="auto" w:fill="auto"/>
            <w:vAlign w:val="center"/>
          </w:tcPr>
          <w:p w14:paraId="2840B1E2">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第二条【适用范围】 本条例适用于本市行政区域内耕地保护、质量提升、监督管理及相关活动。</w:t>
            </w:r>
          </w:p>
        </w:tc>
        <w:tc>
          <w:tcPr>
            <w:tcW w:w="7284" w:type="dxa"/>
            <w:shd w:val="clear" w:color="auto" w:fill="auto"/>
            <w:vAlign w:val="center"/>
          </w:tcPr>
          <w:p w14:paraId="64FD8C40">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default"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参照《黑龙江省耕地保护条例》第二条“在本省行政区域内从事耕地保护和利用等活动，应当遵守本条例。”</w:t>
            </w:r>
          </w:p>
        </w:tc>
      </w:tr>
      <w:tr w14:paraId="160B38C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6683" w:type="dxa"/>
            <w:shd w:val="clear" w:color="auto" w:fill="auto"/>
            <w:vAlign w:val="center"/>
          </w:tcPr>
          <w:p w14:paraId="2AF1D7F0">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第三条【基本原则】 耕地保护坚持科学规划、量质并重、生态优先、用养兼顾、建管结合、综合整治、公众参与的原则。</w:t>
            </w:r>
          </w:p>
        </w:tc>
        <w:tc>
          <w:tcPr>
            <w:tcW w:w="7284" w:type="dxa"/>
            <w:shd w:val="clear" w:color="auto" w:fill="auto"/>
            <w:vAlign w:val="center"/>
          </w:tcPr>
          <w:p w14:paraId="668BBF6A">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粮食安全保障法》第十四条“国家建立严格的耕地质量保护制度，加强高标准农田建设，按照量质并重、系统推进、永续利用的要求，坚持政府主导与社会参与、统筹规划与分步实施、用养结合与建管并重的原则，健全完善多元投入保障机制，提高建设标准和质量。”</w:t>
            </w:r>
          </w:p>
          <w:p w14:paraId="29A79503">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中华人民共和国生态环境法典》第六条：“生态环境保护坚持预防为主、系统治理、生态优先、绿色发展、公众参与、损害担责的原则。”及第三百九十六条：“土壤污染防治应当坚持风险管控，保障农产品质量安全、人居环境安全，推动土壤资源永续利用。”</w:t>
            </w:r>
          </w:p>
          <w:p w14:paraId="3415CABF">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参考《江苏省耕地质量管理条例》第三条“耕地质量保护坚持政府主导、部门协同、社会参与、用养结合、综合治理、严格监管的原则”；</w:t>
            </w:r>
          </w:p>
          <w:p w14:paraId="2886ED63">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default"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参考《黑龙江省耕地保护条例》第四条</w:t>
            </w:r>
            <w:r>
              <w:rPr>
                <w:rFonts w:hint="default" w:ascii="仿宋_GB2312" w:eastAsia="仿宋_GB2312"/>
                <w:b w:val="0"/>
                <w:bCs w:val="0"/>
                <w:color w:val="000000" w:themeColor="text1"/>
                <w:spacing w:val="-4"/>
                <w:szCs w:val="21"/>
                <w:lang w:val="en-US" w:eastAsia="zh-CN"/>
                <w14:textFill>
                  <w14:solidFill>
                    <w14:schemeClr w14:val="tx1"/>
                  </w14:solidFill>
                </w14:textFill>
              </w:rPr>
              <w:t> 耕地保护和利用，应当遵循科学规划、量质并重、用养兼顾、建管结合、综合整治的原则。</w:t>
            </w:r>
          </w:p>
          <w:p w14:paraId="34ADDE98">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参考《耕地质量保护和提升行动方案》（农农发〔2016〕2号）中“坚持耕地数量、质量、生态并重”的原则。</w:t>
            </w:r>
          </w:p>
        </w:tc>
      </w:tr>
      <w:tr w14:paraId="5DE0CD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6683" w:type="dxa"/>
            <w:shd w:val="clear" w:color="auto" w:fill="auto"/>
            <w:vAlign w:val="center"/>
          </w:tcPr>
          <w:p w14:paraId="773B04A6">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第四条【党委、政府职责】 实行耕地质量保护党政同责，市、县（区）党委和人民政府对本行政区域内耕地质量保护负总责，其主要负责人是本行政区域耕地质量保护的第一责任人，建立耕地质量保护目标责任制度以及考核评价制度。</w:t>
            </w:r>
          </w:p>
        </w:tc>
        <w:tc>
          <w:tcPr>
            <w:tcW w:w="7284" w:type="dxa"/>
            <w:shd w:val="clear" w:color="auto" w:fill="auto"/>
            <w:vAlign w:val="center"/>
          </w:tcPr>
          <w:p w14:paraId="07440F6F">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中华人民共和国生态环境法典》第二十七条：“国家实行生态环境保护目标责任制和考核评价制度，将生态环境保护目标完成情况纳入考核评价内容。考核评价工作应当增强针对性、实效性，力戒形式主义。考核结果应当向社会公开。”</w:t>
            </w:r>
          </w:p>
          <w:p w14:paraId="4356504C">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中华人民共和国粮食安全保障法》第十条第二款“县级以上地方人民政府应当确保本行政区域内耕地和永久基本农田总量不减少、质量有提高，按照国家有关规定承担耕地保护责任。”第十七条“国家实行最严格的耕地保护制度，落实耕地保护党政同责，严守耕地保护红线和永久基本农田控制线，确保耕地总量不减少、质量有提高。”</w:t>
            </w:r>
          </w:p>
          <w:p w14:paraId="48DF1C84">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依据《甘肃省实施〈中华人民共和国土地管理法〉办法》第十二条第二款“各级人民政府应当建立耕地保护目标责任制度，政府主要负责人为耕地保护第一责任人。</w:t>
            </w:r>
          </w:p>
        </w:tc>
      </w:tr>
      <w:tr w14:paraId="1C2C3F1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6683" w:type="dxa"/>
            <w:shd w:val="clear" w:color="auto" w:fill="auto"/>
            <w:vAlign w:val="center"/>
          </w:tcPr>
          <w:p w14:paraId="1B4F9ADB">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第五条【协同机制】 市、县（区）人民政府应当建立耕地质量保护工作协调机制，统筹协调自然资源、农业农村、生态环境、水务、林草、市场监管等部门，建立信息共享、联合执法、案件移送、立案查处等工作制度，形成监管合力。</w:t>
            </w:r>
          </w:p>
        </w:tc>
        <w:tc>
          <w:tcPr>
            <w:tcW w:w="7284" w:type="dxa"/>
            <w:shd w:val="clear" w:color="auto" w:fill="auto"/>
            <w:vAlign w:val="center"/>
          </w:tcPr>
          <w:p w14:paraId="2CFC6828">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中华人民共和国生态环境法典》第十七条：“国务院生态环境主管部门在其职责范围内对全国生态环境保护工作实施统一监督管理……地方人民政府生态环境主管部门在其职责范围内对本行政区域生态环境保护工作实施统一监督管理。县级以上人民政府发展改革、工业和信息化、住房城乡建设、交通运输、水行政、农业农村、林业草原等有关部门和军队生态环境保护部门在各自职责范围内对生态环境保护工作实施监督管理。”</w:t>
            </w:r>
          </w:p>
          <w:p w14:paraId="570873FF">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依据《中华人民共和国粮食安全保障法》第十五条“县级以上人民政府应当建立耕地质量和种植用途监测网络……”</w:t>
            </w:r>
          </w:p>
          <w:p w14:paraId="3DBABC71">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甘肃省实施〈中华人民共和国土地管理法〉办法》第四条“县级以上人民政府自然资源主管部门统一负责本行政区域内土地的管理和监督工作。县级以上人民政府发展改革、财政、人社、生态环境、住建、交通运输、水利、农业农村、林草、统计等有关主管部门按照各自职责，做好土地管理相关工作。”</w:t>
            </w:r>
          </w:p>
          <w:p w14:paraId="1CC4C465">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甘肃省高标准农田建设管理条例》第四条“高标准农田建设管理工作应当按照省负总责、市县抓落实、公众参与的总体要求，建立健全政府主导、农业农村部门牵头、各有关部门协作、上下联动的工作机制。</w:t>
            </w:r>
          </w:p>
        </w:tc>
      </w:tr>
      <w:tr w14:paraId="71BDBB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6683" w:type="dxa"/>
            <w:shd w:val="clear" w:color="auto" w:fill="auto"/>
            <w:vAlign w:val="center"/>
          </w:tcPr>
          <w:p w14:paraId="5E1D8EBB">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第六条【工作职责】 市、县（区）农业农村部门负责本行政区域内耕地质量管理工作，其所属的耕地质量工作机构承担耕地质量调查、监测和评价等有关具体工作。</w:t>
            </w:r>
          </w:p>
          <w:p w14:paraId="7A5CD5BC">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市、县（区）自然资源部门负责本行政区域内耕地总量控制、用途管制，组织实施最严格的耕地保护制度；生态环境、水务、林草、发改、财政、市场监管、畜牧兽医等部门按照各自职责，做好耕地质量保护的相关工作。</w:t>
            </w:r>
          </w:p>
          <w:p w14:paraId="4A38EB2A">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乡镇人民政府、街道办事处负责本辖区内的耕地质量保护工作。</w:t>
            </w:r>
          </w:p>
          <w:p w14:paraId="39099986">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村民委员会、居民委员会、农村集体经济组织应当督促耕地使用者合理使用耕地，保护和提高耕地质量。</w:t>
            </w:r>
          </w:p>
        </w:tc>
        <w:tc>
          <w:tcPr>
            <w:tcW w:w="7284" w:type="dxa"/>
            <w:shd w:val="clear" w:color="auto" w:fill="auto"/>
            <w:vAlign w:val="center"/>
          </w:tcPr>
          <w:p w14:paraId="1FA59281">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依据《中华人民共和国土地管理法》第六章“监督检查”相关规定，明确自然资源主管部门的监督管理职责。</w:t>
            </w:r>
          </w:p>
          <w:p w14:paraId="4B0B31F7">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依据《基本农田保护条例》第六条“县级以上地方各级人民政府土地行政主管部门和农业行政主管部门按照本级人民政府规定的职责分工，负责本行政区域内的基本农田保护管理工作。”</w:t>
            </w:r>
          </w:p>
          <w:p w14:paraId="21A82E34">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甘肃省高标准农田建设管理条例》第六条“县级以上人民政府农业农村主管部门负责本行政区域内高标准农田建设管理工作，组织编制高标准农田建设规划，制定年度任务实施方案，对高标准农田建设项目进行管理。县级以上人民政府发展和改革、财政、自然资源、水利、生态环境、交通运输、林业和草原等有关部门在各自职责范围内，做好高标准农田建设管理相关工作。”</w:t>
            </w:r>
          </w:p>
          <w:p w14:paraId="6CF74C83">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依据《甘肃省实施〈中华人民共和国土地管理法〉办法》第四条第一款：“县级以上人民政府自然资源主管部门统一负责本行政区域内土地的管理和监督工作。”</w:t>
            </w:r>
          </w:p>
          <w:p w14:paraId="1E1D66F7">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default"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参考《黑龙江省耕地保护条例》</w:t>
            </w:r>
            <w:r>
              <w:rPr>
                <w:rFonts w:hint="default" w:ascii="仿宋_GB2312" w:eastAsia="仿宋_GB2312"/>
                <w:b w:val="0"/>
                <w:bCs w:val="0"/>
                <w:color w:val="000000" w:themeColor="text1"/>
                <w:spacing w:val="-4"/>
                <w:szCs w:val="21"/>
                <w:highlight w:val="none"/>
                <w:lang w:val="en-US" w:eastAsia="zh-CN"/>
                <w14:textFill>
                  <w14:solidFill>
                    <w14:schemeClr w14:val="tx1"/>
                  </w14:solidFill>
                </w14:textFill>
              </w:rPr>
              <w:t>第六条</w:t>
            </w: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w:t>
            </w:r>
            <w:r>
              <w:rPr>
                <w:rFonts w:hint="default" w:ascii="仿宋_GB2312" w:eastAsia="仿宋_GB2312"/>
                <w:b w:val="0"/>
                <w:bCs w:val="0"/>
                <w:color w:val="000000" w:themeColor="text1"/>
                <w:spacing w:val="-4"/>
                <w:szCs w:val="21"/>
                <w:highlight w:val="none"/>
                <w:lang w:val="en-US" w:eastAsia="zh-CN"/>
                <w14:textFill>
                  <w14:solidFill>
                    <w14:schemeClr w14:val="tx1"/>
                  </w14:solidFill>
                </w14:textFill>
              </w:rPr>
              <w:t>县级以上农业农村行政主管部门负责本行政区域内耕地的保护、建设、利用以及监督管理工作，承担农田整治项目、农田水利项目和节水灌溉项目管理等工作。县级以上自然资源行政主管部门负责本行政区域内耕地总量控制、用途管制，组织实施最严格的耕地保护制度。县级以上财政、生态环境、林业和草原、水行政等行政主管部门按照各自职责，负责耕地保护、建设、利用的相关工作。</w:t>
            </w: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w:t>
            </w:r>
            <w:r>
              <w:rPr>
                <w:rFonts w:hint="default" w:ascii="仿宋_GB2312" w:eastAsia="仿宋_GB2312"/>
                <w:b w:val="0"/>
                <w:bCs w:val="0"/>
                <w:color w:val="000000" w:themeColor="text1"/>
                <w:spacing w:val="-4"/>
                <w:szCs w:val="21"/>
                <w:highlight w:val="none"/>
                <w:lang w:val="en-US" w:eastAsia="zh-CN"/>
                <w14:textFill>
                  <w14:solidFill>
                    <w14:schemeClr w14:val="tx1"/>
                  </w14:solidFill>
                </w14:textFill>
              </w:rPr>
              <w:t>第八条</w:t>
            </w: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w:t>
            </w:r>
            <w:r>
              <w:rPr>
                <w:rFonts w:hint="default" w:ascii="仿宋_GB2312" w:eastAsia="仿宋_GB2312"/>
                <w:b w:val="0"/>
                <w:bCs w:val="0"/>
                <w:color w:val="000000" w:themeColor="text1"/>
                <w:spacing w:val="-4"/>
                <w:szCs w:val="21"/>
                <w:highlight w:val="none"/>
                <w:lang w:val="en-US" w:eastAsia="zh-CN"/>
                <w14:textFill>
                  <w14:solidFill>
                    <w14:schemeClr w14:val="tx1"/>
                  </w14:solidFill>
                </w14:textFill>
              </w:rPr>
              <w:t>村民委员会、农村集体经济组织和村民小组作为耕地发包方，有权监督承包方、耕地使用者依照承包合同约定的用途合理利用和保护耕地，督促耕地使用者因地制宜采取措施保护耕地，制止损害耕地和耕地基础设施的行为。</w:t>
            </w: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w:t>
            </w:r>
          </w:p>
        </w:tc>
      </w:tr>
      <w:tr w14:paraId="7563E86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6683" w:type="dxa"/>
            <w:shd w:val="clear" w:color="auto" w:fill="auto"/>
            <w:vAlign w:val="center"/>
          </w:tcPr>
          <w:p w14:paraId="63C8895B">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第七条【社会参与】 各级人民政府应当加强对耕地保护的宣传教育，增强全社会耕地保护意识。任何单位和个人都有保护耕地的义务，有权对破坏耕地的行为进行检举、控告。</w:t>
            </w:r>
          </w:p>
          <w:p w14:paraId="32FD7C15">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市、县（区）人民政府应当鼓励农村集体经济组织、新型农业经营主体、科研机构等参与耕地质量保护，通过技术推广、土壤改良、农田管护、污染防治等方式提升耕地质量。</w:t>
            </w:r>
          </w:p>
          <w:p w14:paraId="21AF02E4">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对在耕地保护和质量提升中成效显著的单位和个人，市、县（区）人民政府应当给予表彰奖励，具体办法由市人民政府制定。</w:t>
            </w:r>
          </w:p>
          <w:p w14:paraId="678D5922">
            <w:pPr>
              <w:keepNext w:val="0"/>
              <w:keepLines w:val="0"/>
              <w:pageBreakBefore w:val="0"/>
              <w:numPr>
                <w:ilvl w:val="0"/>
                <w:numId w:val="0"/>
              </w:numPr>
              <w:kinsoku/>
              <w:wordWrap/>
              <w:overflowPunct/>
              <w:topLinePunct w:val="0"/>
              <w:autoSpaceDE/>
              <w:autoSpaceDN/>
              <w:bidi w:val="0"/>
              <w:adjustRightInd w:val="0"/>
              <w:snapToGrid w:val="0"/>
              <w:spacing w:line="320" w:lineRule="exact"/>
              <w:ind w:leftChars="0" w:right="0" w:right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p>
        </w:tc>
        <w:tc>
          <w:tcPr>
            <w:tcW w:w="7284" w:type="dxa"/>
            <w:shd w:val="clear" w:color="auto" w:fill="auto"/>
            <w:vAlign w:val="center"/>
          </w:tcPr>
          <w:p w14:paraId="4CBB70B8">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依据《中华人民共和国土地管理法》第七条“任何单位和个人都有遵守土地管理法律、法规的义务，并有权对违反土地管理法律、法规的行为提出检举和控告。”</w:t>
            </w:r>
          </w:p>
          <w:p w14:paraId="620272D4">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依据《中华人民共和国生态环境法典》第七条：“任何单位和个人都有保护生态环境的义务。”及第一百四十四条：“国家鼓励公民、法人和其他组织对生态环境保护公共事务进行监督。”</w:t>
            </w:r>
          </w:p>
          <w:p w14:paraId="7B99BA26">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default"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依据《中华人民共和国粮食安全保障法》第九条“对在国家粮食安全保障工作中做出突出贡献的单位和个人，按照国家有关规定给予表彰和奖励。</w:t>
            </w:r>
            <w:r>
              <w:rPr>
                <w:rFonts w:hint="default" w:ascii="仿宋_GB2312" w:eastAsia="仿宋_GB2312"/>
                <w:b w:val="0"/>
                <w:bCs w:val="0"/>
                <w:color w:val="000000" w:themeColor="text1"/>
                <w:spacing w:val="-4"/>
                <w:szCs w:val="21"/>
                <w:highlight w:val="none"/>
                <w:lang w:val="en-US" w:eastAsia="zh-CN"/>
                <w14:textFill>
                  <w14:solidFill>
                    <w14:schemeClr w14:val="tx1"/>
                  </w14:solidFill>
                </w14:textFill>
              </w:rPr>
              <w:t>”</w:t>
            </w:r>
          </w:p>
          <w:p w14:paraId="6D9DE908">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依据《基本农田保护条例》第五条“任何单位和个人都有保护基本农田的义务，并有权检举、控告侵占、破坏基本农田的行为。”</w:t>
            </w:r>
          </w:p>
          <w:p w14:paraId="361B7B6E">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依据《基本农田保护条例》第七条“在基本农田保护工作中取得显著成绩的单位和个人，由县级以上各级人民政府给予奖励。”</w:t>
            </w:r>
          </w:p>
          <w:p w14:paraId="0673F75A">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依据《甘肃省高标准农田建设管理条例》第九条“对在高标准农田建设管理工作中取得显著成绩的单位和个人，由县级以上人民政府按照国家有关规定给予表彰奖励。”</w:t>
            </w:r>
          </w:p>
        </w:tc>
      </w:tr>
      <w:tr w14:paraId="0A7CE6E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0" w:hRule="atLeast"/>
        </w:trPr>
        <w:tc>
          <w:tcPr>
            <w:tcW w:w="13967" w:type="dxa"/>
            <w:gridSpan w:val="2"/>
            <w:shd w:val="clear" w:color="auto" w:fill="auto"/>
            <w:vAlign w:val="center"/>
          </w:tcPr>
          <w:p w14:paraId="4A429A18">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center"/>
              <w:textAlignment w:val="auto"/>
              <w:rPr>
                <w:rFonts w:hint="eastAsia" w:ascii="仿宋_GB2312" w:eastAsia="黑体"/>
                <w:b w:val="0"/>
                <w:bCs w:val="0"/>
                <w:color w:val="000000" w:themeColor="text1"/>
                <w:spacing w:val="-4"/>
                <w:szCs w:val="21"/>
                <w:highlight w:val="none"/>
                <w:lang w:val="en-US" w:eastAsia="zh-CN"/>
                <w14:textFill>
                  <w14:solidFill>
                    <w14:schemeClr w14:val="tx1"/>
                  </w14:solidFill>
                </w14:textFill>
              </w:rPr>
            </w:pPr>
            <w:r>
              <w:rPr>
                <w:rFonts w:hint="eastAsia" w:ascii="黑体" w:hAnsi="黑体" w:eastAsia="黑体" w:cs="仿宋_GB2312"/>
                <w:b w:val="0"/>
                <w:bCs w:val="0"/>
                <w:color w:val="000000" w:themeColor="text1"/>
                <w:sz w:val="24"/>
                <w:szCs w:val="24"/>
                <w:highlight w:val="none"/>
                <w14:textFill>
                  <w14:solidFill>
                    <w14:schemeClr w14:val="tx1"/>
                  </w14:solidFill>
                </w14:textFill>
              </w:rPr>
              <w:t>第</w:t>
            </w:r>
            <w:r>
              <w:rPr>
                <w:rFonts w:hint="eastAsia" w:ascii="黑体" w:hAnsi="黑体" w:eastAsia="黑体" w:cs="仿宋_GB2312"/>
                <w:b w:val="0"/>
                <w:bCs w:val="0"/>
                <w:color w:val="000000" w:themeColor="text1"/>
                <w:sz w:val="24"/>
                <w:szCs w:val="24"/>
                <w:highlight w:val="none"/>
                <w:lang w:eastAsia="zh-CN"/>
                <w14:textFill>
                  <w14:solidFill>
                    <w14:schemeClr w14:val="tx1"/>
                  </w14:solidFill>
                </w14:textFill>
              </w:rPr>
              <w:t>二</w:t>
            </w:r>
            <w:r>
              <w:rPr>
                <w:rFonts w:hint="eastAsia" w:ascii="黑体" w:hAnsi="黑体" w:eastAsia="黑体" w:cs="仿宋_GB2312"/>
                <w:b w:val="0"/>
                <w:bCs w:val="0"/>
                <w:color w:val="000000" w:themeColor="text1"/>
                <w:sz w:val="24"/>
                <w:szCs w:val="24"/>
                <w:highlight w:val="none"/>
                <w14:textFill>
                  <w14:solidFill>
                    <w14:schemeClr w14:val="tx1"/>
                  </w14:solidFill>
                </w14:textFill>
              </w:rPr>
              <w:t>章</w:t>
            </w:r>
            <w:r>
              <w:rPr>
                <w:rFonts w:hint="eastAsia" w:ascii="黑体" w:hAnsi="黑体" w:eastAsia="黑体" w:cs="仿宋_GB2312"/>
                <w:b w:val="0"/>
                <w:bCs w:val="0"/>
                <w:color w:val="000000" w:themeColor="text1"/>
                <w:sz w:val="24"/>
                <w:szCs w:val="24"/>
                <w:highlight w:val="none"/>
                <w:lang w:val="en-US" w:eastAsia="zh-CN"/>
                <w14:textFill>
                  <w14:solidFill>
                    <w14:schemeClr w14:val="tx1"/>
                  </w14:solidFill>
                </w14:textFill>
              </w:rPr>
              <w:t xml:space="preserve">  管控与规划</w:t>
            </w:r>
          </w:p>
        </w:tc>
      </w:tr>
      <w:tr w14:paraId="292BF9A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6683" w:type="dxa"/>
            <w:shd w:val="clear" w:color="auto" w:fill="auto"/>
            <w:vAlign w:val="center"/>
          </w:tcPr>
          <w:p w14:paraId="07CA67F2">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第八条【耕地保有量】 市、县（区）人民政府应当严格执行上级下达的耕地保有量和永久基本农田保护任务，确保实有耕地数量不减少、质量不降低。</w:t>
            </w:r>
          </w:p>
        </w:tc>
        <w:tc>
          <w:tcPr>
            <w:tcW w:w="7284" w:type="dxa"/>
            <w:shd w:val="clear" w:color="auto" w:fill="auto"/>
            <w:vAlign w:val="center"/>
          </w:tcPr>
          <w:p w14:paraId="51AADA4E">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依据《中华人民共和国土地管理法》第三十二条“省、自治区、直辖市人民政府应当严格执行土地利用总体规划和土地利用年度计划，采取措施，确保本行政区域内耕地总量不减少、质量不降低。”</w:t>
            </w:r>
          </w:p>
          <w:p w14:paraId="412C7864">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依据《中华人民共和国粮食安全保障法》第十条第二款“县级以上地方人民政府应当确保本行政区域内耕地和永久基本农田总量不减少、质量有提高。”</w:t>
            </w:r>
          </w:p>
          <w:p w14:paraId="7296A66F">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依据《甘肃省实施〈中华人民共和国土地管理法〉办法》第十二条第一款“各级人民政府应当严格执行国土空间规划，有计划地组织实施国土综合整治，确保本行政区域耕地布局稳定、数量不减少、质量不降低。</w:t>
            </w:r>
          </w:p>
        </w:tc>
      </w:tr>
      <w:tr w14:paraId="3FD66FA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6683" w:type="dxa"/>
            <w:shd w:val="clear" w:color="auto" w:fill="auto"/>
            <w:vAlign w:val="center"/>
          </w:tcPr>
          <w:p w14:paraId="36B5A247">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第九条【总体规划】 市、县（区）人民政府应当将耕地质量保护纳入国民经济和社会发展规划，并实行最严格的耕地保护制度,保持耕地数量，提高耕地质量，制止耕地“非农化”、防止耕地“非粮化”，实施“藏粮于地、藏粮于技”战略。</w:t>
            </w:r>
          </w:p>
        </w:tc>
        <w:tc>
          <w:tcPr>
            <w:tcW w:w="7284" w:type="dxa"/>
            <w:shd w:val="clear" w:color="auto" w:fill="auto"/>
            <w:vAlign w:val="center"/>
          </w:tcPr>
          <w:p w14:paraId="267B24E0">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中华人民共和国土地管理法》第十五条“各级人民政府应当依据国民经济和社会发展规划、国土整治和资源环境保护的要求、土地供给能力以及各项建设对土地的需求，组织编制土地利用总体规划。”第十八条“国土空间规划应当包括国土空间开发保护格局和规划用地布局、结构、用途管制要求等内容。经依法批准的国土空间规划是各类开发、保护、建设活动的基本依据。”</w:t>
            </w:r>
          </w:p>
          <w:p w14:paraId="572E18D4">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依据《基本农田保护条例》第八条“各级人民政府在编制土地利用总体规划时，应当将基本农田保护作为规划的一项内容，明确基本农田保护的布局安排、数量指标和质量要求。”</w:t>
            </w:r>
          </w:p>
          <w:p w14:paraId="248B6AE2">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中华人民共和国粮食安全保障法》第十条第一款“国家实施国土空间规划下的国土空间用途管制，统筹布局农业、生态、城镇等功能空间，划定落实耕地和永久基本农田保护红线、生态保护红线和城镇开发边界，严格保护耕地。</w:t>
            </w:r>
          </w:p>
        </w:tc>
      </w:tr>
      <w:tr w14:paraId="6A45081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6683" w:type="dxa"/>
            <w:shd w:val="clear" w:color="auto" w:fill="auto"/>
            <w:vAlign w:val="center"/>
          </w:tcPr>
          <w:p w14:paraId="2EA1F99A">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第十条【盐碱地综合利用】  市、县（区）人民政府应当在国土空间规划中明确盐碱地综合利用的区域和措施，将具备条件的盐碱地纳入耕地后备资源进行有序开发，优先用于补充耕地。</w:t>
            </w:r>
          </w:p>
          <w:p w14:paraId="37012299">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县（区）人民政府应当制定盐碱耕地改良专项计划，采取工程排盐、生物改良、农艺改良等综合措施，推进盐碱地改良和综合利用。应当统筹中央、省级转移支付资金和本级财政预算，保障耕地质量监测、技术推广、面源污染治理、土壤生态修复、盐碱地改良等基础性、长效性支出需求。</w:t>
            </w:r>
          </w:p>
        </w:tc>
        <w:tc>
          <w:tcPr>
            <w:tcW w:w="7284" w:type="dxa"/>
            <w:shd w:val="clear" w:color="auto" w:fill="auto"/>
            <w:vAlign w:val="center"/>
          </w:tcPr>
          <w:p w14:paraId="636D1362">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中华人民共和国粮食安全保障法》第十七条“国家推动盐碱地综合利用，制定相关规划和支持政策，鼓励和引导社会资本投入，挖掘盐碱地开发利用潜力，分区分类开展盐碱耕地治理改良，加快选育耐盐碱特色品种，推广改良盐碱地有效做法，遏制耕地盐碱化趋势。”</w:t>
            </w:r>
          </w:p>
          <w:p w14:paraId="1F758C87">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参考《江苏省耕地保护条例》第二十二条“地方各级人民政府应当采取工程、生物和农艺等措施，对耕地水土流失、次生盐渍化、酸化等进行综合防治，保护和改善耕地生态环境。”</w:t>
            </w:r>
          </w:p>
        </w:tc>
      </w:tr>
      <w:tr w14:paraId="488FAFC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6683" w:type="dxa"/>
            <w:shd w:val="clear" w:color="auto" w:fill="auto"/>
            <w:vAlign w:val="center"/>
          </w:tcPr>
          <w:p w14:paraId="2FE0BD10">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第十一条【水资源论证】 市、县（区）人民政府应当落实水资源刚性约束制度，建立健全“水地共管”机制，严控新增耕地面积，有序推进违规灌溉面积整治，“管水”与“控地”协同推进。在制定国土空间规划、审批耕地开垦和农业项目时，必须进行水资源论证，确保耕地布局、种植结构与水资源承载能力相匹配。</w:t>
            </w:r>
          </w:p>
          <w:p w14:paraId="63E406F6">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市、县（区）水务部门应当编制本行政区域农田水利规划，组织制定农田水利工程建设年度实施计划，对农田水利工程建设进行监督管理。水务部门应当配合生态环境部门对农田灌溉用水水质进行检测和监督检查。</w:t>
            </w:r>
          </w:p>
        </w:tc>
        <w:tc>
          <w:tcPr>
            <w:tcW w:w="7284" w:type="dxa"/>
            <w:shd w:val="clear" w:color="auto" w:fill="auto"/>
            <w:vAlign w:val="center"/>
          </w:tcPr>
          <w:p w14:paraId="20F6842E">
            <w:pPr>
              <w:pStyle w:val="19"/>
              <w:rPr>
                <w:rFonts w:hint="eastAsia" w:ascii="仿宋_GB2312" w:eastAsia="仿宋_GB2312" w:hAnsiTheme="minorHAnsi" w:cstheme="minorBidi"/>
                <w:b w:val="0"/>
                <w:bCs w:val="0"/>
                <w:color w:val="000000" w:themeColor="text1"/>
                <w:spacing w:val="-4"/>
                <w:kern w:val="2"/>
                <w:sz w:val="21"/>
                <w:szCs w:val="21"/>
                <w:highlight w:val="none"/>
                <w:lang w:val="en-US" w:eastAsia="zh-CN" w:bidi="ar-SA"/>
                <w14:textFill>
                  <w14:solidFill>
                    <w14:schemeClr w14:val="tx1"/>
                  </w14:solidFill>
                </w14:textFill>
              </w:rPr>
            </w:pPr>
            <w:r>
              <w:rPr>
                <w:rFonts w:hint="eastAsia" w:ascii="仿宋_GB2312" w:eastAsia="仿宋_GB2312" w:hAnsiTheme="minorHAnsi" w:cstheme="minorBidi"/>
                <w:b w:val="0"/>
                <w:bCs w:val="0"/>
                <w:color w:val="000000" w:themeColor="text1"/>
                <w:spacing w:val="-4"/>
                <w:kern w:val="2"/>
                <w:sz w:val="21"/>
                <w:szCs w:val="21"/>
                <w:highlight w:val="none"/>
                <w:lang w:val="en-US" w:eastAsia="zh-CN" w:bidi="ar-SA"/>
                <w14:textFill>
                  <w14:solidFill>
                    <w14:schemeClr w14:val="tx1"/>
                  </w14:solidFill>
                </w14:textFill>
              </w:rPr>
              <w:t>依据《中华人民共和国水法》第二十三条“国民经济和社会发展规划以及城市总体规划的编制、重大建设项目的布局，应当与当地水资源条件和防洪要求相适应，并进行科学论证；在水资源不足的地区，应当对城市规模和建设耗水量大的工业、农业和服务业项目加以限制。”</w:t>
            </w:r>
          </w:p>
          <w:p w14:paraId="33307633">
            <w:pPr>
              <w:pStyle w:val="19"/>
              <w:rPr>
                <w:rFonts w:hint="eastAsia" w:ascii="仿宋_GB2312" w:eastAsia="仿宋_GB2312" w:hAnsiTheme="minorHAnsi" w:cstheme="minorBidi"/>
                <w:b w:val="0"/>
                <w:bCs w:val="0"/>
                <w:color w:val="000000" w:themeColor="text1"/>
                <w:spacing w:val="-4"/>
                <w:kern w:val="2"/>
                <w:sz w:val="21"/>
                <w:szCs w:val="21"/>
                <w:highlight w:val="none"/>
                <w:lang w:val="en-US" w:eastAsia="zh-CN" w:bidi="ar-SA"/>
                <w14:textFill>
                  <w14:solidFill>
                    <w14:schemeClr w14:val="tx1"/>
                  </w14:solidFill>
                </w14:textFill>
              </w:rPr>
            </w:pPr>
            <w:r>
              <w:rPr>
                <w:rFonts w:hint="eastAsia" w:ascii="仿宋_GB2312" w:eastAsia="仿宋_GB2312" w:hAnsiTheme="minorHAnsi" w:cstheme="minorBidi"/>
                <w:b w:val="0"/>
                <w:bCs w:val="0"/>
                <w:color w:val="000000" w:themeColor="text1"/>
                <w:spacing w:val="-4"/>
                <w:kern w:val="2"/>
                <w:sz w:val="21"/>
                <w:szCs w:val="21"/>
                <w:highlight w:val="none"/>
                <w:lang w:val="en-US" w:eastAsia="zh-CN" w:bidi="ar-SA"/>
                <w14:textFill>
                  <w14:solidFill>
                    <w14:schemeClr w14:val="tx1"/>
                  </w14:solidFill>
                </w14:textFill>
              </w:rPr>
              <w:t>依据 《中华人民共和国农业法》第十九条“各级人民政府和农业生产经营组织应当加强农田水利设施建设，建立健全农田水利设施的管理制度，节约用水，发展节水型农业，提高农业用水效率。”</w:t>
            </w:r>
          </w:p>
          <w:p w14:paraId="3DBA80B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 w:lineRule="atLeast"/>
              <w:ind w:right="0"/>
              <w:jc w:val="both"/>
              <w:rPr>
                <w:rFonts w:hint="eastAsia" w:ascii="仿宋_GB2312" w:eastAsia="仿宋_GB2312" w:hAnsiTheme="minorHAnsi" w:cstheme="minorBidi"/>
                <w:b w:val="0"/>
                <w:bCs w:val="0"/>
                <w:color w:val="000000" w:themeColor="text1"/>
                <w:spacing w:val="-4"/>
                <w:kern w:val="2"/>
                <w:sz w:val="21"/>
                <w:szCs w:val="21"/>
                <w:highlight w:val="none"/>
                <w:lang w:val="en-US" w:eastAsia="zh-CN" w:bidi="ar-SA"/>
                <w14:textFill>
                  <w14:solidFill>
                    <w14:schemeClr w14:val="tx1"/>
                  </w14:solidFill>
                </w14:textFill>
              </w:rPr>
            </w:pPr>
            <w:r>
              <w:rPr>
                <w:rFonts w:hint="eastAsia" w:ascii="仿宋_GB2312" w:eastAsia="仿宋_GB2312" w:hAnsiTheme="minorHAnsi" w:cstheme="minorBidi"/>
                <w:b w:val="0"/>
                <w:bCs w:val="0"/>
                <w:color w:val="000000" w:themeColor="text1"/>
                <w:spacing w:val="-4"/>
                <w:kern w:val="2"/>
                <w:sz w:val="21"/>
                <w:szCs w:val="21"/>
                <w:highlight w:val="none"/>
                <w:lang w:val="en-US" w:eastAsia="zh-CN" w:bidi="ar-SA"/>
                <w14:textFill>
                  <w14:solidFill>
                    <w14:schemeClr w14:val="tx1"/>
                  </w14:solidFill>
                </w14:textFill>
              </w:rPr>
              <w:t>依据《中华人民共和国粮食安全保障法》第二十一条“国家加强水资源管理和水利基础设施建设，优化水资源配置，保障粮食生产合理用水需求。各级人民政府应当组织做好农田水利建设和运行维护，保护和完善农田灌溉排水体系，因地制宜发展高效节水农业。县级以上人民政府应当组织开展水土流失综合治理、土壤污染防治和地下水超采治理。”</w:t>
            </w:r>
          </w:p>
          <w:p w14:paraId="6796BEC8">
            <w:pPr>
              <w:pStyle w:val="19"/>
              <w:rPr>
                <w:rFonts w:hint="eastAsia" w:ascii="仿宋_GB2312" w:eastAsia="仿宋_GB2312" w:cstheme="minorBidi"/>
                <w:b w:val="0"/>
                <w:bCs w:val="0"/>
                <w:color w:val="000000" w:themeColor="text1"/>
                <w:spacing w:val="-4"/>
                <w:kern w:val="2"/>
                <w:sz w:val="21"/>
                <w:szCs w:val="21"/>
                <w:highlight w:val="none"/>
                <w:lang w:val="en-US" w:eastAsia="zh-CN" w:bidi="ar-SA"/>
                <w14:textFill>
                  <w14:solidFill>
                    <w14:schemeClr w14:val="tx1"/>
                  </w14:solidFill>
                </w14:textFill>
              </w:rPr>
            </w:pPr>
            <w:r>
              <w:rPr>
                <w:rFonts w:hint="eastAsia" w:ascii="仿宋_GB2312" w:eastAsia="仿宋_GB2312" w:cstheme="minorBidi"/>
                <w:b w:val="0"/>
                <w:bCs w:val="0"/>
                <w:color w:val="000000" w:themeColor="text1"/>
                <w:spacing w:val="-4"/>
                <w:kern w:val="2"/>
                <w:sz w:val="21"/>
                <w:szCs w:val="21"/>
                <w:highlight w:val="none"/>
                <w:lang w:val="en-US" w:eastAsia="zh-CN" w:bidi="ar-SA"/>
                <w14:textFill>
                  <w14:solidFill>
                    <w14:schemeClr w14:val="tx1"/>
                  </w14:solidFill>
                </w14:textFill>
              </w:rPr>
              <w:t>依据《中华人民共和国生态环境法典》第四百二十二条：“地方人民政府生态环境主管部门会同农业农村主管部门、水行政主管部门加强对农田灌溉用水水质的管理，对农田灌溉用水水质进行监测和监督检查。”</w:t>
            </w:r>
          </w:p>
          <w:p w14:paraId="22D455C9">
            <w:pPr>
              <w:pStyle w:val="19"/>
              <w:rPr>
                <w:rFonts w:hint="default" w:ascii="仿宋_GB2312" w:eastAsia="仿宋_GB2312" w:hAnsiTheme="minorHAnsi" w:cstheme="minorBidi"/>
                <w:b w:val="0"/>
                <w:bCs w:val="0"/>
                <w:color w:val="000000" w:themeColor="text1"/>
                <w:spacing w:val="-4"/>
                <w:kern w:val="2"/>
                <w:sz w:val="21"/>
                <w:szCs w:val="21"/>
                <w:highlight w:val="none"/>
                <w:lang w:val="en-US" w:eastAsia="zh-CN" w:bidi="ar-SA"/>
                <w14:textFill>
                  <w14:solidFill>
                    <w14:schemeClr w14:val="tx1"/>
                  </w14:solidFill>
                </w14:textFill>
              </w:rPr>
            </w:pPr>
            <w:r>
              <w:rPr>
                <w:rFonts w:hint="eastAsia" w:ascii="仿宋_GB2312" w:eastAsia="仿宋_GB2312" w:hAnsiTheme="minorHAnsi" w:cstheme="minorBidi"/>
                <w:b w:val="0"/>
                <w:bCs w:val="0"/>
                <w:color w:val="000000" w:themeColor="text1"/>
                <w:spacing w:val="-4"/>
                <w:kern w:val="2"/>
                <w:sz w:val="21"/>
                <w:szCs w:val="21"/>
                <w:highlight w:val="none"/>
                <w:lang w:val="en-US" w:eastAsia="zh-CN" w:bidi="ar-SA"/>
                <w14:textFill>
                  <w14:solidFill>
                    <w14:schemeClr w14:val="tx1"/>
                  </w14:solidFill>
                </w14:textFill>
              </w:rPr>
              <w:t>依据《农田水利条例》第四条“县级以上地方人民政府水行政主管部门负责本行政区域农田水利的管理和监督工作”。第六条“县级以上地方人民政府水行政主管部门负责编制本行政区域农田水利规划，征求本级人民政府有关部门意见后，报本级人民政府批准公布”。</w:t>
            </w:r>
          </w:p>
          <w:p w14:paraId="3E7BEDBA">
            <w:pPr>
              <w:pStyle w:val="19"/>
              <w:rPr>
                <w:rFonts w:hint="eastAsia" w:ascii="仿宋_GB2312" w:eastAsia="仿宋_GB2312" w:hAnsiTheme="minorHAnsi" w:cstheme="minorBidi"/>
                <w:b w:val="0"/>
                <w:bCs w:val="0"/>
                <w:color w:val="000000" w:themeColor="text1"/>
                <w:spacing w:val="-4"/>
                <w:kern w:val="2"/>
                <w:sz w:val="21"/>
                <w:szCs w:val="21"/>
                <w:highlight w:val="none"/>
                <w:lang w:val="en-US" w:eastAsia="zh-CN" w:bidi="ar-SA"/>
                <w14:textFill>
                  <w14:solidFill>
                    <w14:schemeClr w14:val="tx1"/>
                  </w14:solidFill>
                </w14:textFill>
              </w:rPr>
            </w:pPr>
            <w:r>
              <w:rPr>
                <w:rFonts w:hint="eastAsia" w:ascii="仿宋_GB2312" w:eastAsia="仿宋_GB2312" w:hAnsiTheme="minorHAnsi" w:cstheme="minorBidi"/>
                <w:b w:val="0"/>
                <w:bCs w:val="0"/>
                <w:color w:val="000000" w:themeColor="text1"/>
                <w:spacing w:val="-4"/>
                <w:kern w:val="2"/>
                <w:sz w:val="21"/>
                <w:szCs w:val="21"/>
                <w:highlight w:val="none"/>
                <w:lang w:val="en-US" w:eastAsia="zh-CN" w:bidi="ar-SA"/>
                <w14:textFill>
                  <w14:solidFill>
                    <w14:schemeClr w14:val="tx1"/>
                  </w14:solidFill>
                </w14:textFill>
              </w:rPr>
              <w:t>参考《中共甘肃省委甘肃省人民政府关于坚持“四水四定”原则全面推动生态保护和高质量发展的意见》(甘发〔2024〕</w:t>
            </w:r>
            <w:r>
              <w:rPr>
                <w:rFonts w:hint="eastAsia" w:ascii="仿宋_GB2312" w:eastAsia="仿宋_GB2312" w:cstheme="minorBidi"/>
                <w:b w:val="0"/>
                <w:bCs w:val="0"/>
                <w:color w:val="000000" w:themeColor="text1"/>
                <w:spacing w:val="-4"/>
                <w:kern w:val="2"/>
                <w:sz w:val="21"/>
                <w:szCs w:val="21"/>
                <w:highlight w:val="none"/>
                <w:lang w:val="en-US" w:eastAsia="zh-CN" w:bidi="ar-SA"/>
                <w14:textFill>
                  <w14:solidFill>
                    <w14:schemeClr w14:val="tx1"/>
                  </w14:solidFill>
                </w14:textFill>
              </w:rPr>
              <w:t>15</w:t>
            </w:r>
            <w:r>
              <w:rPr>
                <w:rFonts w:hint="eastAsia" w:ascii="仿宋_GB2312" w:eastAsia="仿宋_GB2312" w:hAnsiTheme="minorHAnsi" w:cstheme="minorBidi"/>
                <w:b w:val="0"/>
                <w:bCs w:val="0"/>
                <w:color w:val="000000" w:themeColor="text1"/>
                <w:spacing w:val="-4"/>
                <w:kern w:val="2"/>
                <w:sz w:val="21"/>
                <w:szCs w:val="21"/>
                <w:highlight w:val="none"/>
                <w:lang w:val="en-US" w:eastAsia="zh-CN" w:bidi="ar-SA"/>
                <w14:textFill>
                  <w14:solidFill>
                    <w14:schemeClr w14:val="tx1"/>
                  </w14:solidFill>
                </w14:textFill>
              </w:rPr>
              <w:t>号)明确提出“以水定地，促进水土资源协同高效利用。建立健全内陆河流‘地水共管’机制，严控新增耕地面积，有序推进违规灌溉面积整治，推行轮作休耕等措施，‘管水’与‘控地’ 协同推进”。</w:t>
            </w:r>
          </w:p>
          <w:p w14:paraId="60DC71EC">
            <w:pPr>
              <w:rPr>
                <w:rFonts w:hint="eastAsia" w:eastAsia="宋体"/>
                <w:highlight w:val="none"/>
                <w:lang w:val="en-US" w:eastAsia="zh-CN"/>
              </w:rPr>
            </w:pPr>
          </w:p>
        </w:tc>
      </w:tr>
      <w:tr w14:paraId="214B73E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6683" w:type="dxa"/>
            <w:shd w:val="clear" w:color="auto" w:fill="auto"/>
            <w:vAlign w:val="center"/>
          </w:tcPr>
          <w:p w14:paraId="4313D07A">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第十二条【耕地开垦土壤调查】 对未利用地、复垦土地等拟开垦为耕地的地块，农业农村部门应当在开垦前会同生态环境、自然资源部门开展土壤污染状况调查和质量等级评定。经调查存在污染风险的，依法进行分类管理。未经调查的，不得开垦为耕地。</w:t>
            </w:r>
          </w:p>
        </w:tc>
        <w:tc>
          <w:tcPr>
            <w:tcW w:w="7284" w:type="dxa"/>
            <w:shd w:val="clear" w:color="auto" w:fill="auto"/>
            <w:vAlign w:val="center"/>
          </w:tcPr>
          <w:p w14:paraId="31C5DF3B">
            <w:pPr>
              <w:pStyle w:val="19"/>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hAnsiTheme="minorHAnsi" w:cstheme="minorBidi"/>
                <w:b w:val="0"/>
                <w:bCs w:val="0"/>
                <w:color w:val="000000" w:themeColor="text1"/>
                <w:spacing w:val="-4"/>
                <w:kern w:val="2"/>
                <w:sz w:val="21"/>
                <w:szCs w:val="21"/>
                <w:highlight w:val="none"/>
                <w:lang w:val="en-US" w:eastAsia="zh-CN" w:bidi="ar-SA"/>
                <w14:textFill>
                  <w14:solidFill>
                    <w14:schemeClr w14:val="tx1"/>
                  </w14:solidFill>
                </w14:textFill>
              </w:rPr>
              <w:t>依据《中华人民共和国生态环境法典》第四百四十六条：“未利用地、复垦土地等拟开垦为耕地的，地方人民政府农业农村主管部门会同生态环境主管部门、自然资源主管部门进行土壤污染状况调查，依法进行分类管理。”</w:t>
            </w:r>
          </w:p>
        </w:tc>
      </w:tr>
      <w:tr w14:paraId="07228A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6683" w:type="dxa"/>
            <w:shd w:val="clear" w:color="auto" w:fill="auto"/>
            <w:vAlign w:val="center"/>
          </w:tcPr>
          <w:p w14:paraId="00584C93">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仿宋_GB2312" w:eastAsia="仿宋_GB2312" w:cs="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pacing w:val="-4"/>
                <w:szCs w:val="21"/>
                <w:highlight w:val="none"/>
                <w:lang w:val="en-US" w:eastAsia="zh-CN"/>
                <w14:textFill>
                  <w14:solidFill>
                    <w14:schemeClr w14:val="tx1"/>
                  </w14:solidFill>
                </w14:textFill>
              </w:rPr>
              <w:t>第十三条【占补平衡】 各类占用耕地行为统一纳入耕地占补平衡管理，建设单位必须依法履行补充耕地义务，补充数量相等、质量相当的耕地，并承担提升费用；无法自行补充的，按照规定缴纳耕地开垦费。但农村村民建住宅确需占用永久基本农田以外的耕地的，由县（区）人民政府落实补充耕地，不得向农村村民收取耕地开垦费。</w:t>
            </w:r>
          </w:p>
          <w:p w14:paraId="5CE4B904">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仿宋_GB2312" w:eastAsia="仿宋_GB2312" w:cs="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pacing w:val="-4"/>
                <w:szCs w:val="21"/>
                <w:highlight w:val="none"/>
                <w:lang w:val="en-US" w:eastAsia="zh-CN"/>
                <w14:textFill>
                  <w14:solidFill>
                    <w14:schemeClr w14:val="tx1"/>
                  </w14:solidFill>
                </w14:textFill>
              </w:rPr>
              <w:t>补充耕地质量验收由农业农村部门会同自然资源部门组织实施，验收内容包括土壤质量、灌溉排水条件、耕作层厚度等，验收不合格的，县级自然资源主管部门不得通过占补平衡审核，不得将相应耕地纳入补充耕地储备库。</w:t>
            </w:r>
          </w:p>
          <w:p w14:paraId="5E4CEB67">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仿宋_GB2312" w:eastAsia="仿宋_GB2312" w:cs="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pacing w:val="-4"/>
                <w:szCs w:val="21"/>
                <w:highlight w:val="none"/>
                <w:lang w:val="en-US" w:eastAsia="zh-CN"/>
                <w14:textFill>
                  <w14:solidFill>
                    <w14:schemeClr w14:val="tx1"/>
                  </w14:solidFill>
                </w14:textFill>
              </w:rPr>
              <w:t>市、县（区）人民政府应当建立新增建设占用耕地规模与存量建设用地使用效率挂钩制度，从严控制占用耕地。</w:t>
            </w:r>
          </w:p>
        </w:tc>
        <w:tc>
          <w:tcPr>
            <w:tcW w:w="7284" w:type="dxa"/>
            <w:shd w:val="clear" w:color="auto" w:fill="auto"/>
            <w:vAlign w:val="center"/>
          </w:tcPr>
          <w:p w14:paraId="4704A675">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仿宋_GB2312" w:eastAsia="仿宋_GB2312" w:cs="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pacing w:val="-4"/>
                <w:szCs w:val="21"/>
                <w:highlight w:val="none"/>
                <w:lang w:val="en-US" w:eastAsia="zh-CN"/>
                <w14:textFill>
                  <w14:solidFill>
                    <w14:schemeClr w14:val="tx1"/>
                  </w14:solidFill>
                </w14:textFill>
              </w:rPr>
              <w:t>依据《中华人民共和国土地管理法》第三十条“国家保护耕地，严格控制耕地转为非耕地。国家实行占用耕地补偿制度。非农业建设经批准占用耕地的，按照“占多少，垦多少”的原则，由占用耕地的单位负责开垦与所占用耕地的数量和质量相当的耕地；没有条件开垦或者开垦的耕地不符合要求的，应当按照省、自治区、直辖市的规定缴纳耕地开垦费，专款用于开垦新的耕地。”</w:t>
            </w:r>
          </w:p>
          <w:p w14:paraId="514C37DB">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仿宋_GB2312" w:eastAsia="仿宋_GB2312" w:cs="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pacing w:val="-4"/>
                <w:szCs w:val="21"/>
                <w:highlight w:val="none"/>
                <w:lang w:val="en-US" w:eastAsia="zh-CN"/>
                <w14:textFill>
                  <w14:solidFill>
                    <w14:schemeClr w14:val="tx1"/>
                  </w14:solidFill>
                </w14:textFill>
              </w:rPr>
              <w:t>依据《中华人民共和国粮食安全保障法》第十一条“国家实行占用耕地补偿制度，严格控制各类占用耕地行为；确需占用耕地的，应当依法落实补充耕地责任，补充与所占用耕地数量相等、质量相当的耕地。省、自治区、直辖市人民政府应当组织本级人民政府自然资源主管部门、农业农村主管部门对补充耕地的数量进行认定、对补充耕地的质量进行验收，并加强耕地质量跟踪评价。”</w:t>
            </w:r>
          </w:p>
          <w:p w14:paraId="0030EF44">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仿宋_GB2312" w:eastAsia="仿宋_GB2312" w:cs="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pacing w:val="-4"/>
                <w:szCs w:val="21"/>
                <w:highlight w:val="none"/>
                <w:lang w:val="en-US" w:eastAsia="zh-CN"/>
                <w14:textFill>
                  <w14:solidFill>
                    <w14:schemeClr w14:val="tx1"/>
                  </w14:solidFill>
                </w14:textFill>
              </w:rPr>
              <w:t>依据《中共中央国务院关于加强耕地保护和改进占补平衡的意见》（中发〔2017〕4号）“强化耕地保护意识，强化依据土地用途管制，强化耕地质量保护与提升，坚决防止耕地占补平衡中补充耕地数量不到位、补充耕地质量不到位的问题，坚决防止占多补少、占优补劣、占水田补旱地的现象。”</w:t>
            </w:r>
          </w:p>
          <w:p w14:paraId="6E8F7F42">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仿宋_GB2312" w:eastAsia="仿宋_GB2312" w:cs="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pacing w:val="-4"/>
                <w:szCs w:val="21"/>
                <w:highlight w:val="none"/>
                <w:lang w:val="en-US" w:eastAsia="zh-CN"/>
                <w14:textFill>
                  <w14:solidFill>
                    <w14:schemeClr w14:val="tx1"/>
                  </w14:solidFill>
                </w14:textFill>
              </w:rPr>
              <w:t>依据《补充耕地质量验收办法（试行）》第六条“县级以上地方农业农村主管部门对补充耕地质量开展鉴定，包括农业生产符合性评价和耕地质量等级评价，鉴定结果作为补充耕地质量验收的依据。”</w:t>
            </w:r>
          </w:p>
          <w:p w14:paraId="0453FBF8">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仿宋_GB2312" w:eastAsia="仿宋_GB2312" w:cs="仿宋_GB2312"/>
                <w:b w:val="0"/>
                <w:bCs w:val="0"/>
                <w:color w:val="000000" w:themeColor="text1"/>
                <w:spacing w:val="-4"/>
                <w:szCs w:val="21"/>
                <w:highlight w:val="none"/>
                <w:lang w:val="en-US" w:eastAsia="zh-CN"/>
                <w14:textFill>
                  <w14:solidFill>
                    <w14:schemeClr w14:val="tx1"/>
                  </w14:solidFill>
                </w14:textFill>
              </w:rPr>
            </w:pPr>
          </w:p>
        </w:tc>
      </w:tr>
      <w:tr w14:paraId="0DBEB3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6683" w:type="dxa"/>
            <w:shd w:val="clear" w:color="auto" w:fill="auto"/>
            <w:vAlign w:val="center"/>
          </w:tcPr>
          <w:p w14:paraId="3DADFF01">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第十四条【永久基本农田】 永久基本农田一经划定，任何单位和个人不得擅自占用或者改变用途。国家重大建设项目确需占用的，依法报国务院批准，并按照“先补后占”原则补划，补划的永久基本农田应当符合相关要求，优先从集中连片、质量等级相当的耕地中选取，补划结果需经省级自然资源部门验收确认，并及时更新国土空间规划数据库。严禁通过擅自调整国土空间规划等方式规避永久基本农田审批；严禁在永久基本农田范围内发展林果业、挖塘养鱼、新建建筑物构筑物等行为。</w:t>
            </w:r>
          </w:p>
        </w:tc>
        <w:tc>
          <w:tcPr>
            <w:tcW w:w="7284" w:type="dxa"/>
            <w:shd w:val="clear" w:color="auto" w:fill="auto"/>
            <w:vAlign w:val="center"/>
          </w:tcPr>
          <w:p w14:paraId="4D149750">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基本农田保护条例》第十六条“经国务院批准占用基本农田的，当地人民政府应当按照国务院的批准文件修改土地利用总体规划，并补充划入数量和质量相当的基本农田。占用单位应当按照占多少、垦多少的原则，负责开垦与所占基本农田的数量与质量相当的耕地；没有条件开垦或者开垦的耕地不符合要求的，应当按照省、自治区、直辖市的规定缴纳耕地开垦费，专款用于开垦新的耕地。”</w:t>
            </w:r>
          </w:p>
          <w:p w14:paraId="1E4B430D">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中华人民共和国粮食安全保障法》（2024年6月1日施行）第十二条“国家严格控制耕地转为林地、草地、园地等其他农用地。禁止违规占用耕地绿化造林、挖湖造景等行为。禁止在国家批准的退耕还林还草计划外擅自扩大退耕范围。”</w:t>
            </w:r>
          </w:p>
          <w:p w14:paraId="6F731D61">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依据《永久基本农田保护红线管理办法》（自然资源部、农业农村部令第17号，2025年10月1日施行）第一条规定了落实最严格的耕地保护制度、守住永久基本农田保护红线的基本原则。</w:t>
            </w:r>
          </w:p>
        </w:tc>
      </w:tr>
      <w:tr w14:paraId="14D8868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13967" w:type="dxa"/>
            <w:gridSpan w:val="2"/>
            <w:shd w:val="clear" w:color="auto" w:fill="auto"/>
            <w:vAlign w:val="center"/>
          </w:tcPr>
          <w:p w14:paraId="6517265D">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center"/>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黑体" w:hAnsi="黑体" w:eastAsia="黑体" w:cs="仿宋_GB2312"/>
                <w:b w:val="0"/>
                <w:bCs w:val="0"/>
                <w:color w:val="000000" w:themeColor="text1"/>
                <w:sz w:val="24"/>
                <w:szCs w:val="24"/>
                <w:highlight w:val="none"/>
                <w:lang w:val="en-US" w:eastAsia="zh-CN"/>
                <w14:textFill>
                  <w14:solidFill>
                    <w14:schemeClr w14:val="tx1"/>
                  </w14:solidFill>
                </w14:textFill>
              </w:rPr>
              <w:t>第三章  质量提升</w:t>
            </w:r>
          </w:p>
        </w:tc>
      </w:tr>
      <w:tr w14:paraId="4CB78FD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6683" w:type="dxa"/>
            <w:shd w:val="clear" w:color="auto" w:fill="auto"/>
            <w:vAlign w:val="center"/>
          </w:tcPr>
          <w:p w14:paraId="620C39EB">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第十五条【质量调查与档案】 市、县（区）农业农村部门应当每五年组织开展一次耕地质量全面调查与等级评价，建立“一地一档”耕地质量档案，并动态更新。</w:t>
            </w:r>
          </w:p>
        </w:tc>
        <w:tc>
          <w:tcPr>
            <w:tcW w:w="7284" w:type="dxa"/>
            <w:shd w:val="clear" w:color="auto" w:fill="auto"/>
            <w:vAlign w:val="center"/>
          </w:tcPr>
          <w:p w14:paraId="2918B488">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w:t>
            </w:r>
            <w:r>
              <w:rPr>
                <w:rFonts w:hint="default" w:ascii="仿宋_GB2312" w:eastAsia="仿宋_GB2312"/>
                <w:b w:val="0"/>
                <w:bCs w:val="0"/>
                <w:color w:val="000000" w:themeColor="text1"/>
                <w:spacing w:val="-4"/>
                <w:szCs w:val="21"/>
                <w:highlight w:val="none"/>
                <w:lang w:val="en-US" w:eastAsia="zh-CN"/>
                <w14:textFill>
                  <w14:solidFill>
                    <w14:schemeClr w14:val="tx1"/>
                  </w14:solidFill>
                </w14:textFill>
              </w:rPr>
              <w:t>《中华人民共和国粮食安全保障法》（2024年6月1日施行）第十五条第一款</w:t>
            </w: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w:t>
            </w:r>
            <w:r>
              <w:rPr>
                <w:rFonts w:hint="default" w:ascii="仿宋_GB2312" w:eastAsia="仿宋_GB2312"/>
                <w:b w:val="0"/>
                <w:bCs w:val="0"/>
                <w:color w:val="000000" w:themeColor="text1"/>
                <w:spacing w:val="-4"/>
                <w:szCs w:val="21"/>
                <w:highlight w:val="none"/>
                <w:lang w:val="en-US" w:eastAsia="zh-CN"/>
                <w14:textFill>
                  <w14:solidFill>
                    <w14:schemeClr w14:val="tx1"/>
                  </w14:solidFill>
                </w14:textFill>
              </w:rPr>
              <w:t>县级以上人民政府应当建立耕地质量和种植用途监测网络，开展耕地质量调查和监测评价，采取土壤改良、地力培肥、治理修复等措施，提高中低产田产能，治理退化耕地，加强大中型灌区建设与改造，提升耕地质量。</w:t>
            </w: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w:t>
            </w:r>
          </w:p>
          <w:p w14:paraId="35B33E0B">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w:t>
            </w:r>
            <w:r>
              <w:rPr>
                <w:rFonts w:hint="default" w:ascii="仿宋_GB2312" w:eastAsia="仿宋_GB2312"/>
                <w:b w:val="0"/>
                <w:bCs w:val="0"/>
                <w:color w:val="000000" w:themeColor="text1"/>
                <w:spacing w:val="-4"/>
                <w:szCs w:val="21"/>
                <w:highlight w:val="none"/>
                <w:lang w:val="en-US" w:eastAsia="zh-CN"/>
                <w14:textFill>
                  <w14:solidFill>
                    <w14:schemeClr w14:val="tx1"/>
                  </w14:solidFill>
                </w14:textFill>
              </w:rPr>
              <w:t>《耕地质量调查监测与评价办法》（农业部令2016年第2号）第四条</w:t>
            </w: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w:t>
            </w:r>
            <w:r>
              <w:rPr>
                <w:rFonts w:hint="default" w:ascii="仿宋_GB2312" w:eastAsia="仿宋_GB2312"/>
                <w:b w:val="0"/>
                <w:bCs w:val="0"/>
                <w:color w:val="000000" w:themeColor="text1"/>
                <w:spacing w:val="-4"/>
                <w:szCs w:val="21"/>
                <w:highlight w:val="none"/>
                <w:lang w:val="en-US" w:eastAsia="zh-CN"/>
                <w14:textFill>
                  <w14:solidFill>
                    <w14:schemeClr w14:val="tx1"/>
                  </w14:solidFill>
                </w14:textFill>
              </w:rPr>
              <w:t>全国耕地质量等级调查评价每5年开展一次。</w:t>
            </w: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w:t>
            </w:r>
          </w:p>
          <w:p w14:paraId="63C9A846">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default" w:ascii="仿宋_GB2312" w:eastAsia="仿宋_GB2312"/>
                <w:b w:val="0"/>
                <w:bCs w:val="0"/>
                <w:color w:val="000000" w:themeColor="text1"/>
                <w:spacing w:val="-4"/>
                <w:szCs w:val="21"/>
                <w:highlight w:val="none"/>
                <w:lang w:val="en-US" w:eastAsia="zh-CN"/>
                <w14:textFill>
                  <w14:solidFill>
                    <w14:schemeClr w14:val="tx1"/>
                  </w14:solidFill>
                </w14:textFill>
              </w:rPr>
              <w:t>参照《中华人民共和国生态环境法典》第四百零一条：“国务院统一领导全国土壤污染状况普查。国务院生态环境主管部门会同国务院农业农村、自然资源、住房城乡建设、林业草原等有关部门，每十年至少组织开展一次全国土壤污染状况普查。”</w:t>
            </w:r>
          </w:p>
        </w:tc>
      </w:tr>
      <w:tr w14:paraId="6752EF3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6683" w:type="dxa"/>
            <w:shd w:val="clear" w:color="auto" w:fill="auto"/>
            <w:vAlign w:val="center"/>
          </w:tcPr>
          <w:p w14:paraId="00271F07">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第十六条【质量提升计划】 县（区）人民政府应当根据调查结果制定耕地质量提升年度计划，明确区域、措施、资金和责任人。</w:t>
            </w:r>
          </w:p>
        </w:tc>
        <w:tc>
          <w:tcPr>
            <w:tcW w:w="7284" w:type="dxa"/>
            <w:shd w:val="clear" w:color="auto" w:fill="auto"/>
            <w:vAlign w:val="center"/>
          </w:tcPr>
          <w:p w14:paraId="52EAEDFB">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pacing w:val="-4"/>
                <w:kern w:val="2"/>
                <w:sz w:val="21"/>
                <w:szCs w:val="21"/>
                <w:highlight w:val="none"/>
                <w:lang w:val="en-US" w:eastAsia="zh-CN" w:bidi="ar-SA"/>
                <w14:textFill>
                  <w14:solidFill>
                    <w14:schemeClr w14:val="tx1"/>
                  </w14:solidFill>
                </w14:textFill>
              </w:rPr>
              <w:t>依据《中华人民共和国农业法》第五十八条“农民和农业生产经营组织应当保养耕地，合理使用化肥、农药、农用薄膜，增加使用有机肥料，采用先进技术，保护和提高地力，防止农用地的污染、破坏和地力衰退。”</w:t>
            </w:r>
          </w:p>
        </w:tc>
      </w:tr>
      <w:tr w14:paraId="123A37D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6683" w:type="dxa"/>
            <w:shd w:val="clear" w:color="auto" w:fill="auto"/>
            <w:vAlign w:val="center"/>
          </w:tcPr>
          <w:p w14:paraId="7C61BC33">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第十七条【高标准农田】 市、县（区）人民政府应当将具备条件的永久基本农田全部建成高标准农田，统筹整合高标准农田建设、农田水利建设、农业科技推广等各类涉农资金，同步实施土壤改良、灌溉排水、田间道路、农田防护与生态环境保护等措施。建立高标准农田建设资金保障机制，明确地方配套资金责任；健全多方参与、责任明确、协调顺畅、保障有力的建后管护机制，多渠道筹措管护经费，确保管护到位。建立高标准农田质量终身责任制，对建设项目的勘察、设计、施工、监理单位实行质量追溯，在高标准农田项目竣工验收时，需同步开展耕地质量等级评定，确保建成后的高标准农田质量达到相应等级标准。</w:t>
            </w:r>
          </w:p>
        </w:tc>
        <w:tc>
          <w:tcPr>
            <w:tcW w:w="7284" w:type="dxa"/>
            <w:shd w:val="clear" w:color="auto" w:fill="auto"/>
            <w:vAlign w:val="center"/>
          </w:tcPr>
          <w:p w14:paraId="32C3D025">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仿宋_GB2312" w:eastAsia="仿宋_GB2312" w:cs="仿宋_GB2312"/>
                <w:b w:val="0"/>
                <w:bCs w:val="0"/>
                <w:color w:val="000000" w:themeColor="text1"/>
                <w:spacing w:val="-4"/>
                <w:kern w:val="2"/>
                <w:sz w:val="21"/>
                <w:szCs w:val="21"/>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spacing w:val="-4"/>
                <w:kern w:val="2"/>
                <w:sz w:val="21"/>
                <w:szCs w:val="21"/>
                <w:highlight w:val="none"/>
                <w:lang w:val="en-US" w:eastAsia="zh-CN" w:bidi="ar-SA"/>
                <w14:textFill>
                  <w14:solidFill>
                    <w14:schemeClr w14:val="tx1"/>
                  </w14:solidFill>
                </w14:textFill>
              </w:rPr>
              <w:t>依据《中华人民共和国粮食安全保障法》（2024年6月1日施行）第十四条“国家建立严格的耕地质量保护制度，加强高标准农田建设，按照量质并重、系统推进、永续利用的要求，坚持政府主导与社会参与、统筹规划与分步实施、用养结合与建管并重的原则，健全完善多元投入保障机制，提高建设标准和质量。”</w:t>
            </w:r>
          </w:p>
          <w:p w14:paraId="653729E6">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仿宋_GB2312" w:eastAsia="仿宋_GB2312" w:cs="仿宋_GB2312"/>
                <w:b w:val="0"/>
                <w:bCs w:val="0"/>
                <w:color w:val="000000" w:themeColor="text1"/>
                <w:spacing w:val="-4"/>
                <w:kern w:val="2"/>
                <w:sz w:val="21"/>
                <w:szCs w:val="21"/>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spacing w:val="-4"/>
                <w:kern w:val="2"/>
                <w:sz w:val="21"/>
                <w:szCs w:val="21"/>
                <w:highlight w:val="none"/>
                <w:lang w:val="en-US" w:eastAsia="zh-CN" w:bidi="ar-SA"/>
                <w14:textFill>
                  <w14:solidFill>
                    <w14:schemeClr w14:val="tx1"/>
                  </w14:solidFill>
                </w14:textFill>
              </w:rPr>
              <w:t>依据《甘肃省高标准农田建设管理条例》（2024年5月1日施行）第一条“为了加强高标准农田规划、建设、管护工作，提升高标准农田建设质量和管理水平，提高粮食综合生产能力，保障粮食稳定安全供给，根据《中华人民共和国农业法》《中华人民共和国粮食安全保障法》《中华人民共和国土地管理法》和国务院《基本农田保护条例》等法律、行政法规，结合本省实际，制定本条例。”</w:t>
            </w:r>
          </w:p>
          <w:p w14:paraId="6F671101">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pacing w:val="-4"/>
                <w:kern w:val="2"/>
                <w:sz w:val="21"/>
                <w:szCs w:val="21"/>
                <w:highlight w:val="none"/>
                <w:lang w:val="en-US" w:eastAsia="zh-CN" w:bidi="ar-SA"/>
                <w14:textFill>
                  <w14:solidFill>
                    <w14:schemeClr w14:val="tx1"/>
                  </w14:solidFill>
                </w14:textFill>
              </w:rPr>
              <w:t>依据《甘肃省高标准农田建设管理条例》第三条“高标准农田建设管理应当按照量质并重、系统推进、永续利用的要求，坚持政府主导、社会参与，统筹规划、分步实施，用养结合、建管并重，因地制宜、综合治理的原则，健全完善多元投入保障机制，提高建设标准和质量。</w:t>
            </w:r>
          </w:p>
        </w:tc>
      </w:tr>
      <w:tr w14:paraId="68D8D21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6683" w:type="dxa"/>
            <w:shd w:val="clear" w:color="auto" w:fill="auto"/>
            <w:vAlign w:val="center"/>
          </w:tcPr>
          <w:p w14:paraId="59BAE47E">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第十八条【农田防护林】 市、县（区）人民政府应当将农田防护林建设纳入耕地质量保护体系，作为高标准农田建设的配套措施同步规划、同步实施；应当依据分配的用水指标，统筹安排农田防护林生态用水。</w:t>
            </w:r>
          </w:p>
          <w:p w14:paraId="0B62193B">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农业农村部门在高标准农田建设过程中同步配套完善农田防护林灌溉系统；水务部门在水资源指标内协调保障其灌溉用水需求。对于林地上的农田防护林，由县级林草主管部门负责更新改造和管护；对于非林地上的农田防护林，由县级人民政府依照有关规定明确管护主体，落实管护责任和经费。所需经费通过财政预算安排、社会资本参与等多渠道筹措，保障管护需求。</w:t>
            </w:r>
          </w:p>
        </w:tc>
        <w:tc>
          <w:tcPr>
            <w:tcW w:w="7284" w:type="dxa"/>
            <w:shd w:val="clear" w:color="auto" w:fill="auto"/>
            <w:vAlign w:val="center"/>
          </w:tcPr>
          <w:p w14:paraId="13CB1512">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中华人民共和国粮食安全保障法》（2024年6月1日施行）第十五条第三款“国家建立健全耕地轮作休耕制度，鼓励农作物秸秆科学还田，加强农田防护林建设；支持推广绿色、高效粮食生产技术，促进生态环境改善和资源永续利用。”</w:t>
            </w:r>
          </w:p>
          <w:p w14:paraId="04E2FB18">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张掖市农田防护林建设管理条例》第十条“实施高标准农田建设等项目应当与农田防护林建设同规划、同设计、同报批、同验收。项目建设管理单位应当严格执行国家招投标有关规定；施工单位应当具备相应的资质，严格按照项目技术要求和规程施工；项目建设管理单位应当会同林业和草原等主管部门对项目进行共同验收”；第十六条“市、县（区）人民政府应当依据分配的用水指标，统筹安排农田防护林生态用水。鼓励有条件的区域利用再生水灌溉农田防护林。市、县（区）人民政府应当统筹做好农田防护林灌溉系统建设。农田防护林灌溉系统缺失的，应当恢复渠系或者增设节水管网等灌溉配套设施。任何单位和个人不得擅自占用和破坏农田防护林灌溉渠系、节水管网等配套设施。”</w:t>
            </w:r>
          </w:p>
          <w:p w14:paraId="63B9D9ED">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国家林草局、自然资源部、农业农村部联合印发的《关于加强农田防护林建设管理工作的通知》（林生发〔2022〕65号）第四条规定，“对于林地上的农田防护林，由县级林业和草原主管部门负责建后管护；对于非林地上的农田防护林，由县级人民政府依照法律法规有关规定，明确管护主体和措施，落实管护责任和经费。</w:t>
            </w:r>
          </w:p>
        </w:tc>
      </w:tr>
      <w:tr w14:paraId="53A7AEA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6683" w:type="dxa"/>
            <w:shd w:val="clear" w:color="auto" w:fill="auto"/>
            <w:vAlign w:val="center"/>
          </w:tcPr>
          <w:p w14:paraId="53D3A8B2">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第十九条【农业投入品管控】 市、县（区）人民政府应当建立农业投入品质量追溯与联防联控机制，强化生产者、经营者主体责任，严把市场准入关。</w:t>
            </w:r>
          </w:p>
          <w:p w14:paraId="695D7F78">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市场监管、农业农村部门应当加强对农业投入品（包括滴灌带、地膜、农药、肥料等）的质量监督检查，对生产、销售不符合产品质量标准要求的行为依法查处。</w:t>
            </w:r>
          </w:p>
        </w:tc>
        <w:tc>
          <w:tcPr>
            <w:tcW w:w="7284" w:type="dxa"/>
            <w:shd w:val="clear" w:color="auto" w:fill="auto"/>
            <w:vAlign w:val="center"/>
          </w:tcPr>
          <w:p w14:paraId="5776FB77">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w:t>
            </w:r>
            <w:r>
              <w:rPr>
                <w:rFonts w:hint="default" w:ascii="仿宋_GB2312" w:eastAsia="仿宋_GB2312"/>
                <w:b w:val="0"/>
                <w:bCs w:val="0"/>
                <w:color w:val="000000" w:themeColor="text1"/>
                <w:spacing w:val="-4"/>
                <w:szCs w:val="21"/>
                <w:highlight w:val="none"/>
                <w:lang w:val="en-US" w:eastAsia="zh-CN"/>
                <w14:textFill>
                  <w14:solidFill>
                    <w14:schemeClr w14:val="tx1"/>
                  </w14:solidFill>
                </w14:textFill>
              </w:rPr>
              <w:t>《中华人民共和国农产品质量安全法》第二十二条</w:t>
            </w: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w:t>
            </w:r>
            <w:r>
              <w:rPr>
                <w:rFonts w:hint="default" w:ascii="仿宋_GB2312" w:eastAsia="仿宋_GB2312"/>
                <w:b w:val="0"/>
                <w:bCs w:val="0"/>
                <w:color w:val="000000" w:themeColor="text1"/>
                <w:spacing w:val="-4"/>
                <w:szCs w:val="21"/>
                <w:highlight w:val="none"/>
                <w:lang w:val="en-US" w:eastAsia="zh-CN"/>
                <w14:textFill>
                  <w14:solidFill>
                    <w14:schemeClr w14:val="tx1"/>
                  </w14:solidFill>
                </w14:textFill>
              </w:rPr>
              <w:t>国家建立农业投入品质量追溯制度。</w:t>
            </w: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w:t>
            </w:r>
          </w:p>
          <w:p w14:paraId="2998F518">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中华人民共和国生态环境法典》第四百二十四条：“禁止生产、销售或者使用国家明令禁止的农业投入品。农业投入品生产者、销售者和使用者应当及时回收农药、肥料等农业投入品的包装废弃物和农用薄膜，并将农药包装废弃物交由专门的机构或者组织进行无害化处理。具体办法由国务院农业农村主管部门会同国务院生态环境等有关部门制定。”</w:t>
            </w:r>
          </w:p>
        </w:tc>
      </w:tr>
      <w:tr w14:paraId="46512D6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6683" w:type="dxa"/>
            <w:shd w:val="clear" w:color="auto" w:fill="auto"/>
            <w:vAlign w:val="center"/>
          </w:tcPr>
          <w:p w14:paraId="065BF16D">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第二十条【培肥地力与污染防控】 耕地使用者应当采取以下措施提升地力并防控污染：</w:t>
            </w:r>
          </w:p>
          <w:p w14:paraId="761942E8">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（一）增施有机肥，减少化肥用量，全面推广测土配方施肥与病虫害绿色防控技术；</w:t>
            </w:r>
          </w:p>
          <w:p w14:paraId="24117729">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（二）推广秸秆还田、种植绿肥、合理轮作、休耕，防止长期单一种植导致土壤养分失衡；</w:t>
            </w:r>
          </w:p>
          <w:p w14:paraId="3F3CC698">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（三）使用高效低毒低残留农药，严格执行农药化肥使用定额；</w:t>
            </w:r>
          </w:p>
          <w:p w14:paraId="7492CF98">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（四）回收废旧农膜和农药包装废弃物，农膜处置率达到国家和省规定标准；建立农膜、农药、肥料等包装废弃物回收处理体系，明确回收责任主体和处置流程；</w:t>
            </w:r>
          </w:p>
          <w:p w14:paraId="04C489FD">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（五）在节水灌溉条件下采取水盐调控措施，预防土壤次生盐渍化；</w:t>
            </w:r>
          </w:p>
          <w:p w14:paraId="65BFA379">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（六）其他有利于耕地质量提升的措施。</w:t>
            </w:r>
          </w:p>
        </w:tc>
        <w:tc>
          <w:tcPr>
            <w:tcW w:w="7284" w:type="dxa"/>
            <w:shd w:val="clear" w:color="auto" w:fill="auto"/>
            <w:vAlign w:val="center"/>
          </w:tcPr>
          <w:p w14:paraId="53E1883A">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w:t>
            </w:r>
            <w:r>
              <w:rPr>
                <w:rFonts w:hint="default" w:ascii="仿宋_GB2312" w:eastAsia="仿宋_GB2312"/>
                <w:b w:val="0"/>
                <w:bCs w:val="0"/>
                <w:color w:val="000000" w:themeColor="text1"/>
                <w:spacing w:val="-4"/>
                <w:szCs w:val="21"/>
                <w:highlight w:val="none"/>
                <w:lang w:val="en-US" w:eastAsia="zh-CN"/>
                <w14:textFill>
                  <w14:solidFill>
                    <w14:schemeClr w14:val="tx1"/>
                  </w14:solidFill>
                </w14:textFill>
              </w:rPr>
              <w:t>《中华人民共和国农业法》第五十八条第一款：“农民和农业生产经营组织应当保养耕地，合理使用化肥、农药、农用薄膜，增加使用有机肥料，采用先进技术，保护和提高地力，防止农用地的污染、破坏和地力衰退。”</w:t>
            </w:r>
          </w:p>
          <w:p w14:paraId="5A389DA1">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中华人民共和国生态环境法典》第四百二十三条：“国家鼓励、支持农业生产经营者采取下列措施：（一）使用高效低毒低残留农药以及先进喷施技术；（二）使用符合标准的有机肥、高效肥；（三）采用测土配方施肥技术、生物防治等病虫害绿色防控技术；（四）使用生物可降解农用薄膜；（五）综合利用秸秆、移出高富集污染物秸秆；（六）按照规定对退化土壤等进行改良。”</w:t>
            </w:r>
          </w:p>
        </w:tc>
      </w:tr>
      <w:tr w14:paraId="7B47B1B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6683" w:type="dxa"/>
            <w:shd w:val="clear" w:color="auto" w:fill="auto"/>
            <w:vAlign w:val="center"/>
          </w:tcPr>
          <w:p w14:paraId="236D3854">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第二十一条【粪污资源化利用】 市、县（区）人民政府应当推进畜禽粪污无害化处理与资源化利用。县（区）农业农村部门应当制定符合本地实际的粪肥还田技术规范，明确无害化处理标准，还田路径和主体责任，防范土壤污染，保障耕地和农产品质量安全。</w:t>
            </w:r>
          </w:p>
          <w:p w14:paraId="728D1644">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鼓励种养结合，支持建设区域性粪污收集、处理、转运中心，培育粪肥还田社会化服务组织。畜牧兽医部门应当会同农业农村、生态环境部门强化对中小养殖场户的技术指导和监督检查，确保粪肥腐熟达标后还田。</w:t>
            </w:r>
          </w:p>
        </w:tc>
        <w:tc>
          <w:tcPr>
            <w:tcW w:w="7284" w:type="dxa"/>
            <w:shd w:val="clear" w:color="auto" w:fill="auto"/>
            <w:vAlign w:val="center"/>
          </w:tcPr>
          <w:p w14:paraId="3435F17C">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仿宋_GB2312" w:eastAsia="仿宋_GB2312" w:cs="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pacing w:val="-4"/>
                <w:szCs w:val="21"/>
                <w:highlight w:val="none"/>
                <w:lang w:val="en-US" w:eastAsia="zh-CN"/>
                <w14:textFill>
                  <w14:solidFill>
                    <w14:schemeClr w14:val="tx1"/>
                  </w14:solidFill>
                </w14:textFill>
              </w:rPr>
              <w:t>依据《中华人民共和国畜牧法》第四十六条：“畜禽养殖者应当按照国家有关规定做好畜禽粪污无害化处理，防止污染环境。”</w:t>
            </w:r>
          </w:p>
          <w:p w14:paraId="774820E4">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仿宋_GB2312" w:eastAsia="仿宋_GB2312" w:cs="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pacing w:val="-4"/>
                <w:szCs w:val="21"/>
                <w:highlight w:val="none"/>
                <w:lang w:val="en-US" w:eastAsia="zh-CN"/>
                <w14:textFill>
                  <w14:solidFill>
                    <w14:schemeClr w14:val="tx1"/>
                  </w14:solidFill>
                </w14:textFill>
              </w:rPr>
              <w:t>依据《中华人民共和国生态环境法典》第四百二十一条：“地方人民政府农业农村主管部门、林业草原主管部门应当在各自职责范围内开展农用地土壤污染防治宣传和技术培训活动，扶持农业生产专业化服务，指导农业生产经营者科学合理安全使用农药、兽药、饲料和饲料添加剂、肥料、农用薄膜等农业投入品，控制农药、兽药、化肥等的使用量。地方人民政府农业农村主管部门应当鼓励农业生产经营者采取有利于防止土壤污染的种养结合、轮作休耕等农业耕作措施；支持采取土壤改良、土壤肥力提升等有利于土壤养护和培育的措施；支持畜禽粪污处理、利用设施的建设。”</w:t>
            </w:r>
          </w:p>
          <w:p w14:paraId="5A9172F0">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pacing w:val="-4"/>
                <w:szCs w:val="21"/>
                <w:highlight w:val="none"/>
                <w:lang w:val="en-US" w:eastAsia="zh-CN"/>
                <w14:textFill>
                  <w14:solidFill>
                    <w14:schemeClr w14:val="tx1"/>
                  </w14:solidFill>
                </w14:textFill>
              </w:rPr>
              <w:t>参考《畜禽规模养殖污染防治条例》第二十条“向环境排放经过处理的畜禽养殖废弃物，应当符合国家和地方规定的污染物排放标准和总量控制指标。畜禽养殖废弃物未经处理，不得直接向环境排放。”</w:t>
            </w:r>
          </w:p>
        </w:tc>
      </w:tr>
      <w:tr w14:paraId="22FB340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6683" w:type="dxa"/>
            <w:shd w:val="clear" w:color="auto" w:fill="auto"/>
            <w:vAlign w:val="center"/>
          </w:tcPr>
          <w:p w14:paraId="09D20182">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第二十二条【涉重金属企业管控】 市、县（区）人民政府应当严格执行生态环境分区管控，严格涉重金属企业准入管理。对新、改、扩建重点行业建设项目，严格执行重点重金属污染物排放“等量替代”原则，建设单位在提交环境影响评价文件时应当同步提交区域削减方案，明确重点重金属污染物排放总量及来源。</w:t>
            </w:r>
          </w:p>
          <w:p w14:paraId="1E380FB8">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对无排放来源指标的县（区），生态环境部门不予审批涉重金属项目。涉重金属企业应当定期开展周边耕地土壤环境质量监测，发现污染的，立即采取措施消除风险。</w:t>
            </w:r>
          </w:p>
        </w:tc>
        <w:tc>
          <w:tcPr>
            <w:tcW w:w="7284" w:type="dxa"/>
            <w:shd w:val="clear" w:color="auto" w:fill="auto"/>
            <w:vAlign w:val="center"/>
          </w:tcPr>
          <w:p w14:paraId="5D42EA03">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宋体"/>
                <w:b w:val="0"/>
                <w:bCs w:val="0"/>
                <w:color w:val="000000" w:themeColor="text1"/>
                <w:spacing w:val="-4"/>
                <w:szCs w:val="21"/>
                <w:highlight w:val="none"/>
                <w:lang w:val="en-US" w:eastAsia="zh-CN"/>
                <w14:textFill>
                  <w14:solidFill>
                    <w14:schemeClr w14:val="tx1"/>
                  </w14:solidFill>
                </w14:textFill>
              </w:rPr>
            </w:pPr>
            <w:r>
              <w:rPr>
                <w:rFonts w:hint="default" w:ascii="仿宋_GB2312" w:eastAsia="仿宋_GB2312"/>
                <w:b w:val="0"/>
                <w:bCs w:val="0"/>
                <w:color w:val="000000" w:themeColor="text1"/>
                <w:spacing w:val="-4"/>
                <w:szCs w:val="21"/>
                <w:highlight w:val="none"/>
                <w:lang w:val="en-US" w:eastAsia="zh-CN"/>
                <w14:textFill>
                  <w14:solidFill>
                    <w14:schemeClr w14:val="tx1"/>
                  </w14:solidFill>
                </w14:textFill>
              </w:rPr>
              <w:t>依据《中华人民共和国生态环境法典》第一百七十三条：“国务院生态环境主管部门会同有关部门确定重金属污染防治重点地区和重点行业，报国务院批准。重点地区所在设区的市级以上地方人民政府，应当按照国家规定组织编制并实施重金属污染防治方案。重点行业企业应当定期开展隐患排查整治，采取有效措施防治重金属污染。”及第四百一十四条：“土壤污染重点监管单位应当履行下列义务：（一）严格控制有毒有害物质排放，并按年度向生态环境主管部门报告排放情况；（二）建立土壤、地下水污染隐患排查整治制度，保证持续有效防止有毒有害物质渗漏、流失、扬散；（三）制定、实施自行监测方案，并将监测数据报送生态环境主管部门……”</w:t>
            </w:r>
          </w:p>
        </w:tc>
      </w:tr>
      <w:tr w14:paraId="509C881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72" w:hRule="atLeast"/>
        </w:trPr>
        <w:tc>
          <w:tcPr>
            <w:tcW w:w="6683" w:type="dxa"/>
            <w:shd w:val="clear" w:color="auto" w:fill="auto"/>
            <w:vAlign w:val="center"/>
          </w:tcPr>
          <w:p w14:paraId="32F4F55E">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第二十三条【污染耕地治理】 对安全利用类农用地地块，县（区）农业农村部门应当会同生态环境部门制定安全利用方案，建立土壤环境监测网络，动态更新监测数据，采取种植结构调整、退耕还林还草、生物修复等措施；对严格管控类农用地地块，严格管控，禁止种植食用农产品。</w:t>
            </w:r>
          </w:p>
          <w:p w14:paraId="186D951C">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农业农村部门会同生态环境、自然资源等部门落实农用地分类管理制度，动态调整耕地土壤环境类别。定期开展治理进度督查，建立受污染耕地治理修复台账，明确治理主体、治理期限、治理目标。</w:t>
            </w:r>
          </w:p>
          <w:p w14:paraId="39E2108C">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涉重金属企业、化工企业等土壤污染重点监管单位应当定期对周边耕地开展土壤环境质量监测，发现异常情况的，立即报告生态环境部门并采取措施消除风险。</w:t>
            </w:r>
          </w:p>
        </w:tc>
        <w:tc>
          <w:tcPr>
            <w:tcW w:w="7284" w:type="dxa"/>
            <w:shd w:val="clear" w:color="auto" w:fill="auto"/>
            <w:vAlign w:val="center"/>
          </w:tcPr>
          <w:p w14:paraId="13C29B08">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中华人民共和国生态环境法典》第四百四十八条：“对安全利用类农用地地块，地方人民政府农业农村主管部门、林业草原主管部门，应当在各自职责范围内结合主要作物品种和种植习惯等情况，制定并实施安全利用方案。安全利用方案应当包括下列内容：（一）农艺调控、替代种植；（二）定期开展土壤和农产品协同监测与评价；（三）对农民、农民专业合作社及其他农业生产经营主体进行技术指导和培训；（四）其他风险管控措施。”及第四百四十九条：“对严格管控类农用地地块，地方人民政府农业农村主管部门、林业草原主管部门应当在各自职责范围内采取下列风险管控措施：（一）提出划定特定农产品禁止生产区域的建议，报本级人民政府批准后实施；（二）按照规定开展土壤和农产品协同监测与评价；（三）对农民、农民专业合作社及其他农业生产经营主体进行技术指导和培训；（四）其他风险管控措施。”</w:t>
            </w:r>
          </w:p>
        </w:tc>
      </w:tr>
      <w:tr w14:paraId="2222561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13967" w:type="dxa"/>
            <w:gridSpan w:val="2"/>
            <w:shd w:val="clear" w:color="auto" w:fill="auto"/>
            <w:vAlign w:val="center"/>
          </w:tcPr>
          <w:p w14:paraId="164DF749">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center"/>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黑体" w:hAnsi="黑体" w:eastAsia="黑体" w:cs="仿宋_GB2312"/>
                <w:b w:val="0"/>
                <w:bCs w:val="0"/>
                <w:color w:val="000000" w:themeColor="text1"/>
                <w:sz w:val="24"/>
                <w:szCs w:val="24"/>
                <w:highlight w:val="none"/>
                <w:lang w:val="en-US" w:eastAsia="zh-CN"/>
                <w14:textFill>
                  <w14:solidFill>
                    <w14:schemeClr w14:val="tx1"/>
                  </w14:solidFill>
                </w14:textFill>
              </w:rPr>
              <w:t>第四章 土地流转与经营</w:t>
            </w:r>
          </w:p>
        </w:tc>
      </w:tr>
      <w:tr w14:paraId="174FBD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6683" w:type="dxa"/>
            <w:shd w:val="clear" w:color="auto" w:fill="auto"/>
            <w:vAlign w:val="center"/>
          </w:tcPr>
          <w:p w14:paraId="60F4A4D9">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第二十四条【流转原则】 农村土地经营权流转应当坚持农地农用、保护优先、依法自愿、有偿协商的原则，不得降低耕地质量。</w:t>
            </w:r>
          </w:p>
        </w:tc>
        <w:tc>
          <w:tcPr>
            <w:tcW w:w="7284" w:type="dxa"/>
            <w:shd w:val="clear" w:color="auto" w:fill="auto"/>
            <w:vAlign w:val="center"/>
          </w:tcPr>
          <w:p w14:paraId="6BE13B59">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default" w:ascii="仿宋_GB2312" w:eastAsia="仿宋_GB2312"/>
                <w:b w:val="0"/>
                <w:bCs w:val="0"/>
                <w:color w:val="000000" w:themeColor="text1"/>
                <w:spacing w:val="-4"/>
                <w:szCs w:val="21"/>
                <w:highlight w:val="none"/>
                <w:lang w:val="en-US" w:eastAsia="zh-CN"/>
                <w14:textFill>
                  <w14:solidFill>
                    <w14:schemeClr w14:val="tx1"/>
                  </w14:solidFill>
                </w14:textFill>
              </w:rPr>
              <w:t>依据《中华</w:t>
            </w:r>
            <w:r>
              <w:rPr>
                <w:rFonts w:hint="eastAsia" w:ascii="仿宋_GB2312" w:hAnsi="仿宋_GB2312" w:eastAsia="仿宋_GB2312" w:cs="仿宋_GB2312"/>
                <w:b w:val="0"/>
                <w:bCs w:val="0"/>
                <w:color w:val="000000" w:themeColor="text1"/>
                <w:spacing w:val="-4"/>
                <w:szCs w:val="21"/>
                <w:highlight w:val="none"/>
                <w:lang w:val="en-US" w:eastAsia="zh-CN"/>
                <w14:textFill>
                  <w14:solidFill>
                    <w14:schemeClr w14:val="tx1"/>
                  </w14:solidFill>
                </w14:textFill>
              </w:rPr>
              <w:t>人民共和国农村土地承包法》</w:t>
            </w:r>
            <w:r>
              <w:rPr>
                <w:rFonts w:hint="eastAsia" w:ascii="仿宋_GB2312" w:hAnsi="仿宋_GB2312" w:eastAsia="仿宋_GB2312" w:cs="仿宋_GB2312"/>
                <w:b/>
                <w:bCs/>
                <w:color w:val="000000" w:themeColor="text1"/>
                <w:spacing w:val="-4"/>
                <w:szCs w:val="21"/>
                <w:highlight w:val="none"/>
                <w:lang w:val="en-US" w:eastAsia="zh-CN"/>
                <w14:textFill>
                  <w14:solidFill>
                    <w14:schemeClr w14:val="tx1"/>
                  </w14:solidFill>
                </w14:textFill>
              </w:rPr>
              <w:t>第十一条</w:t>
            </w:r>
            <w:r>
              <w:rPr>
                <w:rFonts w:hint="eastAsia" w:ascii="仿宋_GB2312" w:hAnsi="仿宋_GB2312" w:eastAsia="仿宋_GB2312" w:cs="仿宋_GB2312"/>
                <w:b w:val="0"/>
                <w:bCs w:val="0"/>
                <w:color w:val="000000" w:themeColor="text1"/>
                <w:spacing w:val="-4"/>
                <w:szCs w:val="21"/>
                <w:highlight w:val="none"/>
                <w:lang w:val="en-US" w:eastAsia="zh-CN"/>
                <w14:textFill>
                  <w14:solidFill>
                    <w14:schemeClr w14:val="tx1"/>
                  </w14:solidFill>
                </w14:textFill>
              </w:rPr>
              <w:t>“农村土地承包经营应当遵守法律、法规，保护土地资源的合理开发和可持续利用。”</w:t>
            </w:r>
            <w:r>
              <w:rPr>
                <w:rFonts w:hint="eastAsia" w:ascii="仿宋_GB2312" w:hAnsi="仿宋_GB2312" w:eastAsia="仿宋_GB2312" w:cs="仿宋_GB2312"/>
                <w:b/>
                <w:bCs/>
                <w:color w:val="000000" w:themeColor="text1"/>
                <w:spacing w:val="-4"/>
                <w:szCs w:val="21"/>
                <w:highlight w:val="none"/>
                <w:lang w:val="en-US" w:eastAsia="zh-CN"/>
                <w14:textFill>
                  <w14:solidFill>
                    <w14:schemeClr w14:val="tx1"/>
                  </w14:solidFill>
                </w14:textFill>
              </w:rPr>
              <w:t>第三十八条</w:t>
            </w:r>
            <w:r>
              <w:rPr>
                <w:rFonts w:hint="eastAsia" w:ascii="仿宋_GB2312" w:hAnsi="仿宋_GB2312" w:eastAsia="仿宋_GB2312" w:cs="仿宋_GB2312"/>
                <w:b w:val="0"/>
                <w:bCs w:val="0"/>
                <w:color w:val="000000" w:themeColor="text1"/>
                <w:spacing w:val="-4"/>
                <w:szCs w:val="21"/>
                <w:highlight w:val="none"/>
                <w:lang w:val="en-US" w:eastAsia="zh-CN"/>
                <w14:textFill>
                  <w14:solidFill>
                    <w14:schemeClr w14:val="tx1"/>
                  </w14:solidFill>
                </w14:textFill>
              </w:rPr>
              <w:t>“土地经营权流转应当遵循以下原则：（一）依法、自愿、有偿，任何组织和个人不得强迫或者阻碍土地经营权流转；（二）不得改变土地所有权的性质和土地的农业用途，不得破坏农业综合生产能力和农业生态环境；（三）流转期限不得超过承包期的剩余期限；（四）受让方须有农业经营能力或者资质；（五）在同等条件下，本集体经济组织成员享有优先权。”</w:t>
            </w:r>
          </w:p>
        </w:tc>
      </w:tr>
      <w:tr w14:paraId="57E725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6683" w:type="dxa"/>
            <w:shd w:val="clear" w:color="auto" w:fill="auto"/>
            <w:vAlign w:val="center"/>
          </w:tcPr>
          <w:p w14:paraId="31E64FC7">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第二十五条【流转耕地用途监管】 土地经营权流转后，受让方不得改变耕地的农业用途，不得在耕地上建设非农设施。</w:t>
            </w:r>
          </w:p>
          <w:p w14:paraId="0A5B49D2">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县（区）人民政府应当加强基层农业农村执法能力建设，配备必要的执法装备和技术人员，保障执法工作正常开展。</w:t>
            </w:r>
          </w:p>
          <w:p w14:paraId="2C6E4A26">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县（区）农业农村部门可以依照《中华人民共和国行政处罚法》第二十条、第二十一条的规定，委托乡镇人民政府在法定权限内对下列违法行为实施行政处罚：超过规定标准施用化肥、农药的；不履行农膜、农药包装废弃物回收义务的；其他依法可以委托的耕地质量保护相关违法行为。</w:t>
            </w:r>
          </w:p>
          <w:p w14:paraId="3112D466">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县（区）农业农村部门应当会同乡镇人民政府，每年度至少对流转耕地的用途开展一次专项检查，对永久基本农田、高标准农田和整村整组流转区域应当增加检查频次。发现改变耕地农业用途的，应当立即制止并依法查处；涉嫌犯罪的，移送司法机关。</w:t>
            </w:r>
          </w:p>
        </w:tc>
        <w:tc>
          <w:tcPr>
            <w:tcW w:w="7284" w:type="dxa"/>
            <w:shd w:val="clear" w:color="auto" w:fill="auto"/>
            <w:vAlign w:val="center"/>
          </w:tcPr>
          <w:p w14:paraId="23540990">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default"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粮食安全保障法》第十三条明确规定，县级以上地方人民政府农业农村主管部门应当加强耕地种植用途管控日常监督；村民委员会、农村集体经济组织发现违反耕地种植用途管控要求行为的，应当及时向乡镇人民政府或者县级人民政府农业农村主管部门报告”</w:t>
            </w:r>
            <w:r>
              <w:rPr>
                <w:rFonts w:hint="default" w:ascii="仿宋_GB2312" w:eastAsia="仿宋_GB2312"/>
                <w:b w:val="0"/>
                <w:bCs w:val="0"/>
                <w:color w:val="000000" w:themeColor="text1"/>
                <w:spacing w:val="-4"/>
                <w:szCs w:val="21"/>
                <w:highlight w:val="none"/>
                <w:lang w:val="en-US" w:eastAsia="zh-CN"/>
                <w14:textFill>
                  <w14:solidFill>
                    <w14:schemeClr w14:val="tx1"/>
                  </w14:solidFill>
                </w14:textFill>
              </w:rPr>
              <w:br w:type="textWrapping"/>
            </w:r>
            <w:r>
              <w:rPr>
                <w:rFonts w:hint="default" w:ascii="仿宋_GB2312" w:eastAsia="仿宋_GB2312"/>
                <w:b w:val="0"/>
                <w:bCs w:val="0"/>
                <w:color w:val="000000" w:themeColor="text1"/>
                <w:spacing w:val="-4"/>
                <w:szCs w:val="21"/>
                <w:highlight w:val="none"/>
                <w:lang w:val="en-US" w:eastAsia="zh-CN"/>
                <w14:textFill>
                  <w14:solidFill>
                    <w14:schemeClr w14:val="tx1"/>
                  </w14:solidFill>
                </w14:textFill>
              </w:rPr>
              <w:t>参考《农村土地经营权流转管理办法》第二十条“受让方应当依照有关法律法规保护土地，禁止改变土地的农业用途。禁止闲置、荒芜耕地，禁止占用耕地建窑、建坟或者擅自在耕地上建房、挖砂、采石、采矿、取土等。禁止占用永久基本农田发展林果业和挖塘养鱼。”</w:t>
            </w:r>
          </w:p>
          <w:p w14:paraId="673A50B9">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Segoe UI" w:hAnsi="Segoe UI" w:eastAsia="Segoe UI" w:cs="Segoe UI"/>
                <w:i w:val="0"/>
                <w:iCs w:val="0"/>
                <w:caps w:val="0"/>
                <w:spacing w:val="0"/>
                <w:sz w:val="16"/>
                <w:szCs w:val="16"/>
                <w:highlight w:val="none"/>
                <w:shd w:val="clear" w:fill="FFFFFF"/>
                <w:lang w:val="en-US" w:eastAsia="zh-CN"/>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参考甘肃省实施《中华人民共和国土地管理法》办法（2021年11月26日修订，2022年1月1日起施行）第三条规定“各级人民政府应当采取措施，全面规划，严格管理，保护、开发土地资源，落实土地用途管制制度，节约集约用地，对耕地实行特殊保护，制止非法占用土地行为</w:t>
            </w:r>
            <w:r>
              <w:rPr>
                <w:rFonts w:hint="default" w:ascii="仿宋_GB2312" w:eastAsia="仿宋_GB2312"/>
                <w:b w:val="0"/>
                <w:bCs w:val="0"/>
                <w:color w:val="000000" w:themeColor="text1"/>
                <w:spacing w:val="-4"/>
                <w:szCs w:val="21"/>
                <w:highlight w:val="none"/>
                <w:lang w:val="en-US" w:eastAsia="zh-CN"/>
                <w14:textFill>
                  <w14:solidFill>
                    <w14:schemeClr w14:val="tx1"/>
                  </w14:solidFill>
                </w14:textFill>
              </w:rPr>
              <w:t>。</w:t>
            </w:r>
          </w:p>
        </w:tc>
      </w:tr>
      <w:tr w14:paraId="7B67E4F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6683" w:type="dxa"/>
            <w:shd w:val="clear" w:color="auto" w:fill="auto"/>
            <w:vAlign w:val="center"/>
          </w:tcPr>
          <w:p w14:paraId="3D38295A">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第二十六条【本底评价】 土地经营权流转前，发包方或者农村集体经济组织应当委托具有相应资质的机构，对拟流转耕地进行质量本底调查与等级评价，评价内容需包含土壤有机质含量、酸碱度、重金属含量、耕层厚度等核心指标。</w:t>
            </w:r>
            <w:bookmarkStart w:id="0" w:name="_GoBack"/>
            <w:bookmarkEnd w:id="0"/>
          </w:p>
          <w:p w14:paraId="65550E4F">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县（区）农业农村部门收到评价报告后，应当在15个工作日内完成审核确认；审核确认结论应当书面告知当事人。评价报告经审核确认后，作为耕地质量本底档案的法定依据。</w:t>
            </w:r>
          </w:p>
        </w:tc>
        <w:tc>
          <w:tcPr>
            <w:tcW w:w="7284" w:type="dxa"/>
            <w:shd w:val="clear" w:color="auto" w:fill="auto"/>
            <w:vAlign w:val="center"/>
          </w:tcPr>
          <w:p w14:paraId="0FCE50DF">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仿宋_GB2312" w:eastAsia="仿宋_GB2312" w:cs="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pacing w:val="-4"/>
                <w:szCs w:val="21"/>
                <w:highlight w:val="none"/>
                <w:lang w:val="en-US" w:eastAsia="zh-CN"/>
                <w14:textFill>
                  <w14:solidFill>
                    <w14:schemeClr w14:val="tx1"/>
                  </w14:solidFill>
                </w14:textFill>
              </w:rPr>
              <w:t>依据《耕地质量调查监测与评价办法》（农业部令2016年第2号）第四条：“县级以上地方人民政府农业主管部门应当加强耕地质量调查监测与评价工作。”</w:t>
            </w:r>
          </w:p>
          <w:p w14:paraId="1D555312">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pacing w:val="-4"/>
                <w:szCs w:val="21"/>
                <w:highlight w:val="none"/>
                <w:lang w:val="en-US" w:eastAsia="zh-CN"/>
                <w14:textFill>
                  <w14:solidFill>
                    <w14:schemeClr w14:val="tx1"/>
                  </w14:solidFill>
                </w14:textFill>
              </w:rPr>
              <w:t>参考《江苏省耕地质量管理条例》第二十一条“土地经营权流转合同应当明确耕地质量保护的内容和要求。受让方应当按照合同约定，合理使用耕地，采取措施保护和提升耕地质量。”</w:t>
            </w:r>
          </w:p>
        </w:tc>
      </w:tr>
      <w:tr w14:paraId="34FA36A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6683" w:type="dxa"/>
            <w:shd w:val="clear" w:color="auto" w:fill="auto"/>
            <w:vAlign w:val="center"/>
          </w:tcPr>
          <w:p w14:paraId="6D36D34C">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第二十七条【合同要求】 土地经营权流转合同应当包含耕地保护条款，并明确以下事项：</w:t>
            </w:r>
          </w:p>
          <w:p w14:paraId="11259973">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 xml:space="preserve">    （一）耕地质量等级及核心指标参考值；</w:t>
            </w:r>
          </w:p>
          <w:p w14:paraId="6A9ED464">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 xml:space="preserve">    （二）化肥、农药使用种类、用量上限、规范以及农药包装废弃物回收责任及安全处置率；</w:t>
            </w:r>
          </w:p>
          <w:p w14:paraId="7E01F193">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 xml:space="preserve">    （三）农膜使用标准、回收责任及处置率；</w:t>
            </w:r>
          </w:p>
          <w:p w14:paraId="375F1999">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 xml:space="preserve">    （四）秸秆还田、有机肥施用数量或者比例；</w:t>
            </w:r>
          </w:p>
          <w:p w14:paraId="67079689">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 xml:space="preserve">    （五）禁止破坏耕作层的行为；</w:t>
            </w:r>
          </w:p>
          <w:p w14:paraId="55A569EB">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 xml:space="preserve">    （六）因不当经营造成质量下降的修复、赔偿及违约责任；</w:t>
            </w:r>
          </w:p>
          <w:p w14:paraId="445391A9">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 xml:space="preserve">    （七）配合耕地质量监测的义务。</w:t>
            </w:r>
          </w:p>
          <w:p w14:paraId="0F3EF30D">
            <w:pPr>
              <w:keepNext w:val="0"/>
              <w:keepLines w:val="0"/>
              <w:pageBreakBefore w:val="0"/>
              <w:kinsoku/>
              <w:wordWrap/>
              <w:overflowPunct/>
              <w:topLinePunct w:val="0"/>
              <w:autoSpaceDE/>
              <w:autoSpaceDN/>
              <w:bidi w:val="0"/>
              <w:adjustRightInd w:val="0"/>
              <w:snapToGrid w:val="0"/>
              <w:spacing w:line="320" w:lineRule="exact"/>
              <w:ind w:left="0" w:right="0" w:firstLine="404" w:firstLineChars="20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（八）耕地所有权人、承包权人、经营权人的具体保护责任。</w:t>
            </w:r>
          </w:p>
          <w:p w14:paraId="3FFE16B5">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县（区）农业农村部门应当制定流转合同示范文本，对未包含耕地保护条款的合同不予备案。</w:t>
            </w:r>
          </w:p>
        </w:tc>
        <w:tc>
          <w:tcPr>
            <w:tcW w:w="7284" w:type="dxa"/>
            <w:shd w:val="clear" w:color="auto" w:fill="auto"/>
            <w:vAlign w:val="center"/>
          </w:tcPr>
          <w:p w14:paraId="5259A7C7">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仿宋_GB2312" w:eastAsia="仿宋_GB2312" w:cs="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pacing w:val="-4"/>
                <w:szCs w:val="21"/>
                <w:highlight w:val="none"/>
                <w:lang w:val="en-US" w:eastAsia="zh-CN"/>
                <w14:textFill>
                  <w14:solidFill>
                    <w14:schemeClr w14:val="tx1"/>
                  </w14:solidFill>
                </w14:textFill>
              </w:rPr>
              <w:t>依据《中华人民共和国农村土地承包法》第四十条“土地经营权流转，当事人双方应当签订书面流转合同。土地经营权流转合同一般包括以下条款：（一）双方当事人的姓名、住所；（二）流转土地的名称、坐落、面积、质量等级；（三）流转期限和起止日期；（四）流转土地的用途；（五）双方当事人的权利和义务；（六）流转价款及支付方式；（七）土地被依法征收、征用、占用时有关补偿费的归属；（八）违约责任。”</w:t>
            </w:r>
          </w:p>
          <w:p w14:paraId="6DD0D7AA">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Segoe UI" w:hAnsi="Segoe UI" w:eastAsia="Segoe UI" w:cs="Segoe UI"/>
                <w:i w:val="0"/>
                <w:iCs w:val="0"/>
                <w:caps w:val="0"/>
                <w:spacing w:val="0"/>
                <w:sz w:val="16"/>
                <w:szCs w:val="16"/>
                <w:highlight w:val="none"/>
                <w:shd w:val="clear" w:fill="FFFFFF"/>
                <w:lang w:val="en-US" w:eastAsia="zh-CN"/>
              </w:rPr>
            </w:pPr>
            <w:r>
              <w:rPr>
                <w:rFonts w:hint="eastAsia" w:ascii="仿宋_GB2312" w:hAnsi="仿宋_GB2312" w:eastAsia="仿宋_GB2312" w:cs="仿宋_GB2312"/>
                <w:b w:val="0"/>
                <w:bCs w:val="0"/>
                <w:color w:val="000000" w:themeColor="text1"/>
                <w:spacing w:val="-4"/>
                <w:szCs w:val="21"/>
                <w:highlight w:val="none"/>
                <w:lang w:val="en-US" w:eastAsia="zh-CN"/>
                <w14:textFill>
                  <w14:solidFill>
                    <w14:schemeClr w14:val="tx1"/>
                  </w14:solidFill>
                </w14:textFill>
              </w:rPr>
              <w:t> 参考</w:t>
            </w:r>
            <w:r>
              <w:rPr>
                <w:rFonts w:hint="default" w:ascii="仿宋_GB2312" w:hAnsi="仿宋_GB2312" w:eastAsia="仿宋_GB2312" w:cs="仿宋_GB2312"/>
                <w:b w:val="0"/>
                <w:bCs w:val="0"/>
                <w:color w:val="000000" w:themeColor="text1"/>
                <w:spacing w:val="-4"/>
                <w:szCs w:val="21"/>
                <w:highlight w:val="none"/>
                <w:lang w:val="en-US" w:eastAsia="zh-CN"/>
                <w14:textFill>
                  <w14:solidFill>
                    <w14:schemeClr w14:val="tx1"/>
                  </w14:solidFill>
                </w14:textFill>
              </w:rPr>
              <w:t>《农村土地经营权流转管理办法》第十一条：流转合同应当包括以下内容：（一）双方当事人的姓名或者名称、住所……（五）流转土地的用途……（七）违约责任。 </w:t>
            </w:r>
          </w:p>
        </w:tc>
      </w:tr>
      <w:tr w14:paraId="25CCBE3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6683" w:type="dxa"/>
            <w:shd w:val="clear" w:color="auto" w:fill="auto"/>
            <w:vAlign w:val="center"/>
          </w:tcPr>
          <w:p w14:paraId="23BB62C4">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第二十八条【耕地质量保护和修复资金制度】 流转双方当事人可以协商约定耕地质量保护和修复的资金保障措施。鼓励通过合同约定、保险等方式建立耕地质量保障机制。</w:t>
            </w:r>
          </w:p>
          <w:p w14:paraId="1A81575D">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耕地质量保护和修复资金实行专户存储、专款专用，任何单位和个人不得挪用。</w:t>
            </w:r>
          </w:p>
        </w:tc>
        <w:tc>
          <w:tcPr>
            <w:tcW w:w="7284" w:type="dxa"/>
            <w:shd w:val="clear" w:color="auto" w:fill="auto"/>
            <w:vAlign w:val="center"/>
          </w:tcPr>
          <w:p w14:paraId="77F2B704">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参考《农村土地经营权流转管理办法》第二十条：受让方对流转土地投资改良土壤，提高土地生产能力的，土地流转合同到期或者未到期由承包方依法收回承包土地时，受让方有权获得合理补偿。</w:t>
            </w:r>
          </w:p>
          <w:p w14:paraId="3535650A">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依据《中华人民共和国民法典》第五百零九条：“当事人应当按照约定全面履行自己的义务。”</w:t>
            </w:r>
          </w:p>
        </w:tc>
      </w:tr>
      <w:tr w14:paraId="19DCD42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6683" w:type="dxa"/>
            <w:shd w:val="clear" w:color="auto" w:fill="auto"/>
            <w:vAlign w:val="center"/>
          </w:tcPr>
          <w:p w14:paraId="4E578863">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第二十九条【期末评价与追溯】 土地流转合同期满或者提前解除时，乡镇人民政府应当组织耕地质量期末评价。质量等级下降且责任明确的，由受让方限期修复，修复期限一般不超过六个月，具体由乡镇人民政府根据实际情况确定；拒不修复的，由乡镇人民政府代为修复，代为修复的程序和费用标准由县（区）农业农村部门会同财政部门制定，费用从耕地质量保护和修复资金中列支，不足部分依法向受让方追偿。</w:t>
            </w:r>
          </w:p>
        </w:tc>
        <w:tc>
          <w:tcPr>
            <w:tcW w:w="7284" w:type="dxa"/>
            <w:shd w:val="clear" w:color="auto" w:fill="auto"/>
            <w:vAlign w:val="center"/>
          </w:tcPr>
          <w:p w14:paraId="452B7810">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仿宋_GB2312" w:eastAsia="仿宋_GB2312" w:cs="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w:t>
            </w:r>
            <w:r>
              <w:rPr>
                <w:rFonts w:hint="default" w:ascii="仿宋_GB2312" w:eastAsia="仿宋_GB2312"/>
                <w:b w:val="0"/>
                <w:bCs w:val="0"/>
                <w:color w:val="000000" w:themeColor="text1"/>
                <w:spacing w:val="-4"/>
                <w:szCs w:val="21"/>
                <w:highlight w:val="none"/>
                <w:lang w:val="en-US" w:eastAsia="zh-CN"/>
                <w14:textFill>
                  <w14:solidFill>
                    <w14:schemeClr w14:val="tx1"/>
                  </w14:solidFill>
                </w14:textFill>
              </w:rPr>
              <w:t>《中华人民共和</w:t>
            </w:r>
            <w:r>
              <w:rPr>
                <w:rFonts w:hint="eastAsia" w:ascii="仿宋_GB2312" w:hAnsi="仿宋_GB2312" w:eastAsia="仿宋_GB2312" w:cs="仿宋_GB2312"/>
                <w:b w:val="0"/>
                <w:bCs w:val="0"/>
                <w:color w:val="000000" w:themeColor="text1"/>
                <w:spacing w:val="-4"/>
                <w:szCs w:val="21"/>
                <w:highlight w:val="none"/>
                <w:lang w:val="en-US" w:eastAsia="zh-CN"/>
                <w14:textFill>
                  <w14:solidFill>
                    <w14:schemeClr w14:val="tx1"/>
                  </w14:solidFill>
                </w14:textFill>
              </w:rPr>
              <w:t>国民法典》第五百七十七条：“当事人一方不履行合同义务或者履行合同义务不符合约定的，应当承担继续履行、采取补救措施或者赔偿损失等违约责任。”</w:t>
            </w:r>
          </w:p>
          <w:p w14:paraId="558C9643">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仿宋_GB2312" w:eastAsia="仿宋_GB2312" w:cs="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pacing w:val="-4"/>
                <w:szCs w:val="21"/>
                <w:highlight w:val="none"/>
                <w:lang w:val="en-US" w:eastAsia="zh-CN"/>
                <w14:textFill>
                  <w14:solidFill>
                    <w14:schemeClr w14:val="tx1"/>
                  </w14:solidFill>
                </w14:textFill>
              </w:rPr>
              <w:t>依据《中华人民共和国农村土地承包法》第六十四条：“土地经营权人擅自改变土地的农业用途、弃耕抛荒连续两年以上、给土地造成严重损害或者严重破坏土地生态环境，承包方在合理期限内不解除土地经营权流转合同的，发包方有权要求终止土地经营权流转合同。</w:t>
            </w:r>
          </w:p>
          <w:p w14:paraId="60BAECDC">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pacing w:val="-4"/>
                <w:szCs w:val="21"/>
                <w:highlight w:val="none"/>
                <w:lang w:val="en-US" w:eastAsia="zh-CN"/>
                <w14:textFill>
                  <w14:solidFill>
                    <w14:schemeClr w14:val="tx1"/>
                  </w14:solidFill>
                </w14:textFill>
              </w:rPr>
              <w:t>参考《农村土地经营权流转管理办法》第二十七条“承包方不得单方解除土地经营权流转合同，但受让方有下列情形之一的除外：（一）擅自改变土地的农业用途；（二）弃耕抛荒连续两年以上；（三）给土地造成严重损害或者严重破坏土地生态环境；（四）其他严重违约行为。”</w:t>
            </w:r>
          </w:p>
        </w:tc>
      </w:tr>
      <w:tr w14:paraId="7E01832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82" w:hRule="atLeast"/>
        </w:trPr>
        <w:tc>
          <w:tcPr>
            <w:tcW w:w="13967" w:type="dxa"/>
            <w:gridSpan w:val="2"/>
            <w:shd w:val="clear" w:color="auto" w:fill="auto"/>
            <w:vAlign w:val="center"/>
          </w:tcPr>
          <w:p w14:paraId="0C307BAD">
            <w:pPr>
              <w:keepNext w:val="0"/>
              <w:keepLines w:val="0"/>
              <w:pageBreakBefore w:val="0"/>
              <w:kinsoku/>
              <w:wordWrap/>
              <w:overflowPunct/>
              <w:topLinePunct w:val="0"/>
              <w:autoSpaceDE/>
              <w:autoSpaceDN/>
              <w:bidi w:val="0"/>
              <w:adjustRightInd w:val="0"/>
              <w:snapToGrid w:val="0"/>
              <w:spacing w:line="320" w:lineRule="exact"/>
              <w:ind w:right="0"/>
              <w:jc w:val="center"/>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黑体" w:hAnsi="黑体" w:eastAsia="黑体" w:cs="仿宋_GB2312"/>
                <w:b w:val="0"/>
                <w:bCs w:val="0"/>
                <w:color w:val="000000" w:themeColor="text1"/>
                <w:sz w:val="24"/>
                <w:szCs w:val="24"/>
                <w:highlight w:val="none"/>
                <w:lang w:val="en-US" w:eastAsia="zh-CN"/>
                <w14:textFill>
                  <w14:solidFill>
                    <w14:schemeClr w14:val="tx1"/>
                  </w14:solidFill>
                </w14:textFill>
              </w:rPr>
              <w:t>第五章 监测与监管</w:t>
            </w:r>
          </w:p>
        </w:tc>
      </w:tr>
      <w:tr w14:paraId="7D3BF99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6683" w:type="dxa"/>
            <w:shd w:val="clear" w:color="auto" w:fill="auto"/>
            <w:vAlign w:val="center"/>
          </w:tcPr>
          <w:p w14:paraId="160FA023">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第三十条【监测网络】 市、县（区）人民政府应当建立“市—县—乡”三级耕地质量长期定位监测网络，在工业园区、矿区周边、高标准农田、规模化流转等重点区域加密监测点位。</w:t>
            </w:r>
          </w:p>
          <w:p w14:paraId="39CDEE10">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农业农村、林业和草原主管部门会同生态环境、自然资源主管部门将农产品污染物含量超标区、曾作为污水灌溉区，曾用于规模化养殖、固体废物堆放填埋区域，工矿企业污染区域等作为重点进行监测。</w:t>
            </w:r>
          </w:p>
          <w:p w14:paraId="45F38DF1">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耕地质量长期定位监测点应当设立永久性标志。任何单位和个人不得损毁、擅自变动耕地质量长期定位监测点的基础设施和永久性标志。确需变动的，应当经设立监测点的耕地质量工作机构同意，所需费用由提出变动的单位或者个人承担。</w:t>
            </w:r>
          </w:p>
        </w:tc>
        <w:tc>
          <w:tcPr>
            <w:tcW w:w="7284" w:type="dxa"/>
            <w:shd w:val="clear" w:color="auto" w:fill="auto"/>
            <w:vAlign w:val="center"/>
          </w:tcPr>
          <w:p w14:paraId="3184868F">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中华人民共和国生态环境法典》第四百零二条：“国务院生态环境主管部门会同国务院农业农村、自然资源、住房城乡建设、水行政、卫生健康、林业草原等有关部门组织监测网络，统一规划国家土壤环境监测站点的设置。”及第四百零三条：“地方人民政府农业农村主管部门、林业草原主管部门会同生态环境主管部门、自然资源主管部门对下列农用地地块进行重点监测：（一）产出的农产品污染物含量超标的；（二）作为或者曾作为污水灌溉区的；（三）用于或者曾用于规模化养殖，固体废物堆放、填埋的；（四）曾作为工矿用地或者发生过重大、特别重大污染事故的；（五）有毒有害物质生产、贮存、利用、处置设施周边的；（六）国务院农业农村主管部门、林业草原主管部门、生态环境主管部门、自然资源主管部门规定的其他情形。”</w:t>
            </w:r>
          </w:p>
          <w:p w14:paraId="75CA7E03">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中华人民共和国粮食安全保障法》（2024年6月1日施行）第十五条第一款：“县级以上人民政府应当建立耕地质量和种植用途监测网络，开展耕地质量调查和监测评价，采取土壤改良、地力培肥、治理修复等措施，提高中低产田产能，治理退化耕地，加强大中型灌区建设与改造，提升耕地质量。</w:t>
            </w:r>
          </w:p>
          <w:p w14:paraId="74A16B14">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default"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参照《江苏省耕地质量管理条例》第二十五条“县级以上地方人民政府农业行政主管部门应当会同环境保护行政主管部门建立耕地质量监测网络和预警体系，对耕地地力和环境状况进行动态监测。耕地质量长期定位监测点应当设立永久性标志。”</w:t>
            </w:r>
          </w:p>
        </w:tc>
      </w:tr>
      <w:tr w14:paraId="53B384A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6683" w:type="dxa"/>
            <w:shd w:val="clear" w:color="auto" w:fill="auto"/>
            <w:vAlign w:val="center"/>
          </w:tcPr>
          <w:p w14:paraId="152F195D">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 xml:space="preserve"> 第三十一条【年度监测】 农业农村部门应当制定年度监测计划，每年采集土壤样品频次不少于1次，监测指标包含土壤养分、重金属、酸碱度、耕层厚度等；监测数据应当同步上传至国家耕地质量监测系统。与自然资源、生态环境、水务等部门实现数据共享；每年向本级人民政府报告耕地质量、数量监测和土地等级评价情况，提出保护建议。</w:t>
            </w:r>
          </w:p>
        </w:tc>
        <w:tc>
          <w:tcPr>
            <w:tcW w:w="7284" w:type="dxa"/>
            <w:shd w:val="clear" w:color="auto" w:fill="auto"/>
            <w:vAlign w:val="center"/>
          </w:tcPr>
          <w:p w14:paraId="4DEC0CA9">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中华人民共和国粮食安全保障法》（2024年6月1日施行）第十五条第一款：“县级以上人民政府应当建立耕地质量和种植用途监测网络，开展耕地质量调查和监测评价，采取土壤改良、地力培肥、治理修复等措施，提高中低产田产能，治理退化耕地，加强大中型灌区建设与改造，提升耕地质量。</w:t>
            </w:r>
          </w:p>
          <w:p w14:paraId="1C146791">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中华人民共和国土地管理法实施条例》第六条：“县级以上人民政府自然资源主管部门应当加强信息化建设，建立统一的国土空间基础信息平台，实行土地管理全流程信息化管理……县级以上人民政府自然资源主管部门应当与发展改革、住房和城乡建设等有关部门建立土地管理信息共享机制。”</w:t>
            </w:r>
          </w:p>
          <w:p w14:paraId="54D22F80">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中华人民共和国生态环境法典》第四百零五条：“国务院生态环境主管部门会同国务院农业农村、自然资源、住房城乡建设、水行政、卫生健康、林业草原等有关部门建立健全土壤环境基础数据库，构建全国土壤环境信息平台，实行数据动态更新和信息共享。”</w:t>
            </w:r>
          </w:p>
          <w:p w14:paraId="05ACDDC0">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default"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参考《黑龙江省耕地保护条例》第五十一条“县级以上农业农村、自然资源行政主管部门应当完善监测网络体系，按照各自职责，开展耕地质量、数量和土地等级监测；每年向本级人民政府报告耕地质量、数量监测和土地等级评价情况，提出保护建议。县级以上人民政府应当组织有关部门根据耕地质量、数量和土地等级变化情况，采取相应保护措施。”</w:t>
            </w:r>
          </w:p>
        </w:tc>
      </w:tr>
      <w:tr w14:paraId="76D449E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6683" w:type="dxa"/>
            <w:shd w:val="clear" w:color="auto" w:fill="auto"/>
            <w:vAlign w:val="center"/>
          </w:tcPr>
          <w:p w14:paraId="3E585938">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第三十二条【巡查制度】 县（区）、乡（镇）人民政府应当建立耕地保护网格化动态巡查制度，实行定人员、定区域、定责任、定考核制度。</w:t>
            </w:r>
          </w:p>
        </w:tc>
        <w:tc>
          <w:tcPr>
            <w:tcW w:w="7284" w:type="dxa"/>
            <w:shd w:val="clear" w:color="auto" w:fill="auto"/>
            <w:vAlign w:val="center"/>
          </w:tcPr>
          <w:p w14:paraId="3511AF83">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中华人民共和国土地管理法》第六十七条“县级以上人民政府自然资源主管部门对违反土地管理法律、法规的行为进行监督检查。县级以上人民政府农业农村主管部门对违反农村土地承包管理法律、法规的行为进行监督检查。”</w:t>
            </w:r>
          </w:p>
          <w:p w14:paraId="3A54346B">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Segoe UI" w:hAnsi="Segoe UI" w:eastAsia="宋体" w:cs="Segoe UI"/>
                <w:i w:val="0"/>
                <w:iCs w:val="0"/>
                <w:caps w:val="0"/>
                <w:spacing w:val="0"/>
                <w:sz w:val="16"/>
                <w:szCs w:val="16"/>
                <w:highlight w:val="none"/>
                <w:shd w:val="clear" w:fill="FFFFFF"/>
                <w:lang w:val="en-US" w:eastAsia="zh-CN"/>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参考《自然资源部关于完善早发现早制止严查处工作机制的意见》（自然资办发〔2021〕33号），要求建立早发现、早制止、严查处的耕地保护工作机制，推行网格化监管模式。</w:t>
            </w:r>
          </w:p>
        </w:tc>
      </w:tr>
      <w:tr w14:paraId="67CAB95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6683" w:type="dxa"/>
            <w:shd w:val="clear" w:color="auto" w:fill="auto"/>
            <w:vAlign w:val="center"/>
          </w:tcPr>
          <w:p w14:paraId="415EBA2D">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第三十三条【田长制与网格化管理】 市、县（区）、乡（镇）人民政府应当建立健全耕地保护“田长制”，实行分级负责、属地管理。自然资源主管部门负责具体组织实施，各级田长应当按照规定开展巡查，发现违法占用、破坏耕地行为的，及时制止并上报依法查处。</w:t>
            </w:r>
          </w:p>
        </w:tc>
        <w:tc>
          <w:tcPr>
            <w:tcW w:w="7284" w:type="dxa"/>
            <w:shd w:val="clear" w:color="auto" w:fill="auto"/>
            <w:vAlign w:val="center"/>
          </w:tcPr>
          <w:p w14:paraId="5CA027FD">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参考自然资源部关于全面推行“田长制”的总体工作部署，以及《自然资源部关于完善早发现早制止严查处工作机制的意见》中关于压实各级耕地保护责任、探索“田长制”的要求。</w:t>
            </w:r>
          </w:p>
        </w:tc>
      </w:tr>
      <w:tr w14:paraId="5E482F4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00" w:hRule="atLeast"/>
        </w:trPr>
        <w:tc>
          <w:tcPr>
            <w:tcW w:w="6683" w:type="dxa"/>
            <w:shd w:val="clear" w:color="auto" w:fill="auto"/>
            <w:vAlign w:val="center"/>
          </w:tcPr>
          <w:p w14:paraId="7F252DD3">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第三十四条【信用管理】 市、县（区）人民政府应当将耕地保护责任履行情况纳入社会信用体系。</w:t>
            </w:r>
          </w:p>
          <w:p w14:paraId="391D5968">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对履行耕地保护责任良好耕地质量等级保持或提升的单位和个人，在农业补贴、项目审批、信贷支持等方面按照规定给予优先支持。对破坏耕地、造成耕地质量等级下降且拒不修复的，应当依法将相关信息纳入信用记录，并依照国家和本省有关规定实施惩戒。</w:t>
            </w:r>
          </w:p>
        </w:tc>
        <w:tc>
          <w:tcPr>
            <w:tcW w:w="7284" w:type="dxa"/>
            <w:shd w:val="clear" w:color="auto" w:fill="auto"/>
            <w:vAlign w:val="center"/>
          </w:tcPr>
          <w:p w14:paraId="05108796">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依据《中华人民共和国土地管理法》第七条“任何单位和个人都有遵守土地管理法律、法规的义务，并有权对违反土地管理法律、法规的行为提出检举和控告。”</w:t>
            </w:r>
          </w:p>
          <w:p w14:paraId="4F9CD1D7">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default"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参考《国务院关于建立完善守信联合激励和失信联合惩戒制度加快推进社会诚信建设的指导意见》（国发〔2016〕33号）：对重点领域和严重失信行为实施联合惩戒……依法依规限制失信对象参与政府采购、招标投标、行政审批、政府扶持、融资信贷、市场准入、资质认定等。</w:t>
            </w:r>
            <w:r>
              <w:rPr>
                <w:rFonts w:hint="default" w:ascii="仿宋_GB2312" w:eastAsia="仿宋_GB2312"/>
                <w:b w:val="0"/>
                <w:bCs w:val="0"/>
                <w:color w:val="000000" w:themeColor="text1"/>
                <w:spacing w:val="-4"/>
                <w:szCs w:val="21"/>
                <w:highlight w:val="none"/>
                <w:lang w:val="en-US" w:eastAsia="zh-CN"/>
                <w14:textFill>
                  <w14:solidFill>
                    <w14:schemeClr w14:val="tx1"/>
                  </w14:solidFill>
                </w14:textFill>
              </w:rPr>
              <w:t> </w:t>
            </w:r>
          </w:p>
          <w:p w14:paraId="4139B731">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参考《国务院办公厅关于加快推进社会信用体系建设构建以信用为基础的新型监管机制的指导意见》（国办发〔2019〕35号），要求建立健全失信联合惩戒机制，将信用监管纳入各行业领域。</w:t>
            </w:r>
          </w:p>
        </w:tc>
      </w:tr>
      <w:tr w14:paraId="5A3DFD8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45" w:hRule="atLeast"/>
        </w:trPr>
        <w:tc>
          <w:tcPr>
            <w:tcW w:w="6683" w:type="dxa"/>
            <w:shd w:val="clear" w:color="auto" w:fill="auto"/>
            <w:vAlign w:val="center"/>
          </w:tcPr>
          <w:p w14:paraId="439AE1AC">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第三十五条【考核问责】 市、县（区）人民政府应当将耕地保护纳入年度绩效考核和领导干部自然资源资产离任审计。对履职不力、耕地保护目标未完成的，依法约谈、通报、问责；对造成严重后果的，追究主要负责人和相关责任人责任。</w:t>
            </w:r>
          </w:p>
        </w:tc>
        <w:tc>
          <w:tcPr>
            <w:tcW w:w="7284" w:type="dxa"/>
            <w:shd w:val="clear" w:color="auto" w:fill="auto"/>
            <w:vAlign w:val="center"/>
          </w:tcPr>
          <w:p w14:paraId="54D27EE9">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default" w:ascii="仿宋_GB2312" w:eastAsia="仿宋_GB2312"/>
                <w:b w:val="0"/>
                <w:bCs w:val="0"/>
                <w:color w:val="000000" w:themeColor="text1"/>
                <w:spacing w:val="-4"/>
                <w:szCs w:val="21"/>
                <w:highlight w:val="none"/>
                <w:lang w:val="en-US" w:eastAsia="zh-CN"/>
                <w14:textFill>
                  <w14:solidFill>
                    <w14:schemeClr w14:val="tx1"/>
                  </w14:solidFill>
                </w14:textFill>
              </w:rPr>
            </w:pPr>
            <w:r>
              <w:rPr>
                <w:rFonts w:ascii="Segoe UI" w:hAnsi="Segoe UI" w:eastAsia="Segoe UI" w:cs="Segoe UI"/>
                <w:i w:val="0"/>
                <w:iCs w:val="0"/>
                <w:caps w:val="0"/>
                <w:spacing w:val="0"/>
                <w:sz w:val="19"/>
                <w:szCs w:val="19"/>
                <w:highlight w:val="none"/>
                <w:shd w:val="clear" w:fill="FFFFFF"/>
              </w:rPr>
              <w:t> </w:t>
            </w: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中华人民共和国生态环境法典》第二十七条：“国家实行生态环境保护目标责任制和考核评价制度，将生态环境保护目标完成情况纳入考核评价内容。考核评价工作应当增强针对性、实效性，力戒形式主义。考核结果应当向社会公开。”</w:t>
            </w:r>
          </w:p>
          <w:p w14:paraId="03322CCB">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default"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w:t>
            </w:r>
            <w:r>
              <w:rPr>
                <w:rFonts w:hint="default" w:ascii="仿宋_GB2312" w:eastAsia="仿宋_GB2312"/>
                <w:b w:val="0"/>
                <w:bCs w:val="0"/>
                <w:color w:val="000000" w:themeColor="text1"/>
                <w:spacing w:val="-4"/>
                <w:szCs w:val="21"/>
                <w:highlight w:val="none"/>
                <w:lang w:val="en-US" w:eastAsia="zh-CN"/>
                <w14:textFill>
                  <w14:solidFill>
                    <w14:schemeClr w14:val="tx1"/>
                  </w14:solidFill>
                </w14:textFill>
              </w:rPr>
              <w:t>《甘肃省实施〈中华人民共和国土地管理法〉办法》（2022年1月1日施行）第十二条第三款：“国土空间规划确定的耕地保有量、耕地质量和永久基本农田保护任务应当列入本级人民政府工作目标考核和政府主要负责人任期目标考核，并由上一级人民政府制定考核办法。</w:t>
            </w:r>
          </w:p>
          <w:p w14:paraId="106C7C91">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default"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参考《中华人民共和国耕地保护和质量提升法（草案）》提出的耕地保护和质量提升情况将纳入领导干部自然资源资产离任审计。</w:t>
            </w:r>
          </w:p>
        </w:tc>
      </w:tr>
      <w:tr w14:paraId="70551DF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13967" w:type="dxa"/>
            <w:gridSpan w:val="2"/>
            <w:shd w:val="clear" w:color="auto" w:fill="auto"/>
            <w:vAlign w:val="center"/>
          </w:tcPr>
          <w:p w14:paraId="30FD8452">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center"/>
              <w:textAlignment w:val="auto"/>
              <w:rPr>
                <w:rFonts w:hint="default"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黑体" w:hAnsi="黑体" w:eastAsia="黑体" w:cs="仿宋_GB2312"/>
                <w:b w:val="0"/>
                <w:bCs w:val="0"/>
                <w:color w:val="000000" w:themeColor="text1"/>
                <w:sz w:val="24"/>
                <w:szCs w:val="24"/>
                <w:highlight w:val="none"/>
                <w14:textFill>
                  <w14:solidFill>
                    <w14:schemeClr w14:val="tx1"/>
                  </w14:solidFill>
                </w14:textFill>
              </w:rPr>
              <w:t>第</w:t>
            </w:r>
            <w:r>
              <w:rPr>
                <w:rFonts w:hint="eastAsia" w:ascii="黑体" w:hAnsi="黑体" w:eastAsia="黑体" w:cs="仿宋_GB2312"/>
                <w:b w:val="0"/>
                <w:bCs w:val="0"/>
                <w:color w:val="000000" w:themeColor="text1"/>
                <w:sz w:val="24"/>
                <w:szCs w:val="24"/>
                <w:highlight w:val="none"/>
                <w:lang w:val="en-US" w:eastAsia="zh-CN"/>
                <w14:textFill>
                  <w14:solidFill>
                    <w14:schemeClr w14:val="tx1"/>
                  </w14:solidFill>
                </w14:textFill>
              </w:rPr>
              <w:t>六</w:t>
            </w:r>
            <w:r>
              <w:rPr>
                <w:rFonts w:hint="eastAsia" w:ascii="黑体" w:hAnsi="黑体" w:eastAsia="黑体" w:cs="仿宋_GB2312"/>
                <w:b w:val="0"/>
                <w:bCs w:val="0"/>
                <w:color w:val="000000" w:themeColor="text1"/>
                <w:sz w:val="24"/>
                <w:szCs w:val="24"/>
                <w:highlight w:val="none"/>
                <w14:textFill>
                  <w14:solidFill>
                    <w14:schemeClr w14:val="tx1"/>
                  </w14:solidFill>
                </w14:textFill>
              </w:rPr>
              <w:t>章</w:t>
            </w:r>
            <w:r>
              <w:rPr>
                <w:rFonts w:hint="eastAsia" w:ascii="黑体" w:hAnsi="黑体" w:eastAsia="黑体" w:cs="仿宋_GB2312"/>
                <w:b w:val="0"/>
                <w:bCs w:val="0"/>
                <w:color w:val="000000" w:themeColor="text1"/>
                <w:sz w:val="24"/>
                <w:szCs w:val="24"/>
                <w:highlight w:val="none"/>
                <w:lang w:val="en-US" w:eastAsia="zh-CN"/>
                <w14:textFill>
                  <w14:solidFill>
                    <w14:schemeClr w14:val="tx1"/>
                  </w14:solidFill>
                </w14:textFill>
              </w:rPr>
              <w:t xml:space="preserve">  资金与科技保障</w:t>
            </w:r>
          </w:p>
        </w:tc>
      </w:tr>
      <w:tr w14:paraId="4E64022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6683" w:type="dxa"/>
            <w:shd w:val="clear" w:color="auto" w:fill="auto"/>
            <w:vAlign w:val="center"/>
          </w:tcPr>
          <w:p w14:paraId="5680B2A9">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第三十六条【财政投入】 市、县（区）级人民政府应当将耕地保护和质量提升所需经费列入年度财政预算，严格按照预算管理规定统筹保障耕地质量保护工作必要支出，强化预算刚性约束，确保资金专款专用。加强耕地质量保护资金使用全过程监管，全面实施绩效管理，强化评价结果在预算安排、政策调整中的运用，对绩效差的项目限期整改，对整改不到位的减少或取消资金安排。</w:t>
            </w:r>
          </w:p>
        </w:tc>
        <w:tc>
          <w:tcPr>
            <w:tcW w:w="7284" w:type="dxa"/>
            <w:shd w:val="clear" w:color="auto" w:fill="auto"/>
            <w:vAlign w:val="center"/>
          </w:tcPr>
          <w:p w14:paraId="190726D5">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仿宋_GB2312" w:eastAsia="仿宋_GB2312" w:cs="仿宋_GB2312"/>
                <w:i w:val="0"/>
                <w:iCs w:val="0"/>
                <w:caps w:val="0"/>
                <w:color w:val="000000"/>
                <w:spacing w:val="0"/>
                <w:sz w:val="21"/>
                <w:szCs w:val="21"/>
                <w:shd w:val="clear" w:fill="FFFFFF"/>
              </w:rPr>
            </w:pPr>
            <w:r>
              <w:rPr>
                <w:rFonts w:hint="eastAsia" w:ascii="仿宋_GB2312" w:hAnsi="仿宋_GB2312" w:eastAsia="仿宋_GB2312" w:cs="仿宋_GB2312"/>
                <w:b w:val="0"/>
                <w:bCs w:val="0"/>
                <w:color w:val="000000" w:themeColor="text1"/>
                <w:spacing w:val="-4"/>
                <w:sz w:val="21"/>
                <w:szCs w:val="21"/>
                <w:highlight w:val="none"/>
                <w:lang w:val="en-US" w:eastAsia="zh-CN"/>
                <w14:textFill>
                  <w14:solidFill>
                    <w14:schemeClr w14:val="tx1"/>
                  </w14:solidFill>
                </w14:textFill>
              </w:rPr>
              <w:t>依据《</w:t>
            </w:r>
            <w:r>
              <w:rPr>
                <w:rFonts w:hint="eastAsia" w:ascii="仿宋_GB2312" w:hAnsi="仿宋_GB2312" w:eastAsia="仿宋_GB2312" w:cs="仿宋_GB2312"/>
                <w:i w:val="0"/>
                <w:iCs w:val="0"/>
                <w:caps w:val="0"/>
                <w:color w:val="0F1115"/>
                <w:spacing w:val="0"/>
                <w:sz w:val="21"/>
                <w:szCs w:val="21"/>
                <w:shd w:val="clear" w:fill="FFFFFF"/>
              </w:rPr>
              <w:t>中华人民共和国粮食安全保障法</w:t>
            </w:r>
            <w:r>
              <w:rPr>
                <w:rFonts w:hint="eastAsia" w:ascii="仿宋_GB2312" w:hAnsi="仿宋_GB2312" w:eastAsia="仿宋_GB2312" w:cs="仿宋_GB2312"/>
                <w:b w:val="0"/>
                <w:bCs w:val="0"/>
                <w:color w:val="000000" w:themeColor="text1"/>
                <w:spacing w:val="-4"/>
                <w:sz w:val="21"/>
                <w:szCs w:val="21"/>
                <w:highlight w:val="none"/>
                <w:lang w:val="en-US" w:eastAsia="zh-CN"/>
                <w14:textFill>
                  <w14:solidFill>
                    <w14:schemeClr w14:val="tx1"/>
                  </w14:solidFill>
                </w14:textFill>
              </w:rPr>
              <w:t>》</w:t>
            </w:r>
            <w:r>
              <w:rPr>
                <w:rFonts w:hint="eastAsia" w:ascii="仿宋_GB2312" w:hAnsi="仿宋_GB2312" w:eastAsia="仿宋_GB2312" w:cs="仿宋_GB2312"/>
                <w:i w:val="0"/>
                <w:iCs w:val="0"/>
                <w:caps w:val="0"/>
                <w:color w:val="000000"/>
                <w:spacing w:val="0"/>
                <w:sz w:val="21"/>
                <w:szCs w:val="21"/>
                <w:shd w:val="clear" w:fill="FFFFFF"/>
              </w:rPr>
              <w:t>第十四条 国家建立严格的耕地质量保护制度，加强高标准农田建设，按照量质并重、系统推进、永续利用的要求，坚持政府主导与社会参与、统筹规划与分步实施、用养结合与建管并重的原则，健全完善多元投入保障机制，提高建设标准和质量。</w:t>
            </w:r>
          </w:p>
          <w:p w14:paraId="545380AD">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仿宋_GB2312" w:eastAsia="仿宋_GB2312" w:cs="仿宋_GB2312"/>
                <w:b w:val="0"/>
                <w:bCs w:val="0"/>
                <w:color w:val="000000" w:themeColor="text1"/>
                <w:spacing w:val="-4"/>
                <w:sz w:val="21"/>
                <w:szCs w:val="21"/>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pacing w:val="-4"/>
                <w:sz w:val="21"/>
                <w:szCs w:val="21"/>
                <w:highlight w:val="none"/>
                <w:lang w:val="en-US" w:eastAsia="zh-CN"/>
                <w14:textFill>
                  <w14:solidFill>
                    <w14:schemeClr w14:val="tx1"/>
                  </w14:solidFill>
                </w14:textFill>
              </w:rPr>
              <w:t>依据《中华人民共和国土地管理法》第四十三条、《中华人民共和国土地管理法实施条例》第三十二条明确“新增建设用地土地有偿使用费，必须专项用于耕地开发和土地整理”，中央财政已对应设立新增建设用地土地有偿使用费、土地复垦费、耕地开垦费、中低产田改造资金、从土地出让收益中计提的农业土地开发资金和农田水利建设资金等。</w:t>
            </w:r>
          </w:p>
          <w:p w14:paraId="1845AFE5">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仿宋_GB2312" w:eastAsia="仿宋_GB2312" w:cs="仿宋_GB2312"/>
                <w:b w:val="0"/>
                <w:bCs w:val="0"/>
                <w:color w:val="000000" w:themeColor="text1"/>
                <w:spacing w:val="-4"/>
                <w:sz w:val="21"/>
                <w:szCs w:val="21"/>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pacing w:val="-4"/>
                <w:sz w:val="21"/>
                <w:szCs w:val="21"/>
                <w:highlight w:val="none"/>
                <w:lang w:val="en-US" w:eastAsia="zh-CN"/>
                <w14:textFill>
                  <w14:solidFill>
                    <w14:schemeClr w14:val="tx1"/>
                  </w14:solidFill>
                </w14:textFill>
              </w:rPr>
              <w:t>依据《中华人民共和国生态环境法典》第一百二十八条：“国务院和县级以上地方人民政府应当按照事权和支出责任划分原则，将生态环境保护工作所需经费纳入本级政府预算，加大生态环境保护的财政投入，优化生态文明建设领域财政资源配置，确保投入规模同建设任务相匹配，提高财政资金的使用效益。”</w:t>
            </w:r>
          </w:p>
          <w:p w14:paraId="57CB2400">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仿宋_GB2312" w:eastAsia="仿宋_GB2312" w:cs="仿宋_GB2312"/>
                <w:b w:val="0"/>
                <w:bCs w:val="0"/>
                <w:color w:val="000000" w:themeColor="text1"/>
                <w:spacing w:val="-4"/>
                <w:sz w:val="21"/>
                <w:szCs w:val="21"/>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pacing w:val="-4"/>
                <w:sz w:val="21"/>
                <w:szCs w:val="21"/>
                <w:highlight w:val="none"/>
                <w:lang w:val="en-US" w:eastAsia="zh-CN"/>
                <w14:textFill>
                  <w14:solidFill>
                    <w14:schemeClr w14:val="tx1"/>
                  </w14:solidFill>
                </w14:textFill>
              </w:rPr>
              <w:t>依据</w:t>
            </w:r>
            <w:r>
              <w:rPr>
                <w:rFonts w:hint="eastAsia" w:ascii="仿宋_GB2312" w:hAnsi="仿宋_GB2312" w:eastAsia="仿宋_GB2312" w:cs="仿宋_GB2312"/>
                <w:i w:val="0"/>
                <w:iCs w:val="0"/>
                <w:caps w:val="0"/>
                <w:color w:val="0F1115"/>
                <w:spacing w:val="0"/>
                <w:sz w:val="21"/>
                <w:szCs w:val="21"/>
                <w:shd w:val="clear" w:fill="FFFFFF"/>
              </w:rPr>
              <w:t>《甘肃省高标准农田建设管理条例》第五条：“县级以上人民政府应当加强对高标准农田建设管理工作的组织领导，将其纳入国民经济和社会发展规划，建立健全高标准农田建设管理目标责任制，统筹协调高标准农田建设的规划实施、任务落实、资金保障、建后管护和考核评价等工作。</w:t>
            </w:r>
            <w:r>
              <w:rPr>
                <w:rFonts w:hint="eastAsia" w:ascii="仿宋_GB2312" w:hAnsi="仿宋_GB2312" w:eastAsia="仿宋_GB2312" w:cs="仿宋_GB2312"/>
                <w:i w:val="0"/>
                <w:iCs w:val="0"/>
                <w:caps w:val="0"/>
                <w:color w:val="0F1115"/>
                <w:spacing w:val="0"/>
                <w:sz w:val="21"/>
                <w:szCs w:val="21"/>
                <w:shd w:val="clear" w:fill="FFFFFF"/>
                <w:lang w:eastAsia="zh-CN"/>
              </w:rPr>
              <w:t>”</w:t>
            </w:r>
          </w:p>
          <w:p w14:paraId="386B40F6">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pacing w:val="-4"/>
                <w:sz w:val="21"/>
                <w:szCs w:val="21"/>
                <w:highlight w:val="none"/>
                <w:lang w:val="en-US" w:eastAsia="zh-CN"/>
                <w14:textFill>
                  <w14:solidFill>
                    <w14:schemeClr w14:val="tx1"/>
                  </w14:solidFill>
                </w14:textFill>
              </w:rPr>
              <w:t>依据</w:t>
            </w:r>
            <w:r>
              <w:rPr>
                <w:rFonts w:hint="eastAsia" w:ascii="仿宋_GB2312" w:hAnsi="仿宋_GB2312" w:eastAsia="仿宋_GB2312" w:cs="仿宋_GB2312"/>
                <w:i w:val="0"/>
                <w:iCs w:val="0"/>
                <w:caps w:val="0"/>
                <w:color w:val="0F1115"/>
                <w:spacing w:val="0"/>
                <w:sz w:val="21"/>
                <w:szCs w:val="21"/>
                <w:highlight w:val="none"/>
                <w:shd w:val="clear" w:fill="FFFFFF"/>
              </w:rPr>
              <w:t>《</w:t>
            </w:r>
            <w:r>
              <w:rPr>
                <w:rFonts w:hint="eastAsia" w:ascii="仿宋_GB2312" w:hAnsi="仿宋_GB2312" w:eastAsia="仿宋_GB2312" w:cs="仿宋_GB2312"/>
                <w:b w:val="0"/>
                <w:bCs w:val="0"/>
                <w:color w:val="000000" w:themeColor="text1"/>
                <w:spacing w:val="-4"/>
                <w:sz w:val="21"/>
                <w:szCs w:val="21"/>
                <w:highlight w:val="none"/>
                <w:lang w:val="en-US" w:eastAsia="zh-CN"/>
                <w14:textFill>
                  <w14:solidFill>
                    <w14:schemeClr w14:val="tx1"/>
                  </w14:solidFill>
                </w14:textFill>
              </w:rPr>
              <w:t>中华人民共和国审计法》第十八条、第二十九条规定审计机关可对专项资金进行专项审计调查。</w:t>
            </w:r>
          </w:p>
        </w:tc>
      </w:tr>
      <w:tr w14:paraId="225C34C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6683" w:type="dxa"/>
            <w:shd w:val="clear" w:color="auto" w:fill="auto"/>
            <w:vAlign w:val="center"/>
          </w:tcPr>
          <w:p w14:paraId="0E2761F9">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第三十七条【多元融资】 市、县（区）人民政府应当建立健全多元投入激励机制，通过融资担保、以奖代补、贷款贴息、风险补偿等方式，鼓励金融机构创新耕地保护信贷产品；支持社会资本参与高标准农田建设、耕地质量提升和污染修复项目，依法享受相关优惠政策。</w:t>
            </w:r>
          </w:p>
          <w:p w14:paraId="13697498">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支持发展耕地保护相关保险，鼓励保险机构开发耕地质量保险、农产品质量安全保险等产品。</w:t>
            </w:r>
          </w:p>
        </w:tc>
        <w:tc>
          <w:tcPr>
            <w:tcW w:w="7284" w:type="dxa"/>
            <w:shd w:val="clear" w:color="auto" w:fill="auto"/>
            <w:vAlign w:val="center"/>
          </w:tcPr>
          <w:p w14:paraId="53AF2E49">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w:t>
            </w:r>
            <w:r>
              <w:rPr>
                <w:rFonts w:hint="default" w:ascii="仿宋_GB2312" w:eastAsia="仿宋_GB2312"/>
                <w:b w:val="0"/>
                <w:bCs w:val="0"/>
                <w:color w:val="000000" w:themeColor="text1"/>
                <w:spacing w:val="-4"/>
                <w:szCs w:val="21"/>
                <w:highlight w:val="none"/>
                <w:lang w:val="en-US" w:eastAsia="zh-CN"/>
                <w14:textFill>
                  <w14:solidFill>
                    <w14:schemeClr w14:val="tx1"/>
                  </w14:solidFill>
                </w14:textFill>
              </w:rPr>
              <w:t>《中华人民共和国粮食安全保障法》第六条：</w:t>
            </w: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w:t>
            </w:r>
            <w:r>
              <w:rPr>
                <w:rFonts w:hint="default" w:ascii="仿宋_GB2312" w:eastAsia="仿宋_GB2312"/>
                <w:b w:val="0"/>
                <w:bCs w:val="0"/>
                <w:color w:val="000000" w:themeColor="text1"/>
                <w:spacing w:val="-4"/>
                <w:szCs w:val="21"/>
                <w:highlight w:val="none"/>
                <w:lang w:val="en-US" w:eastAsia="zh-CN"/>
                <w14:textFill>
                  <w14:solidFill>
                    <w14:schemeClr w14:val="tx1"/>
                  </w14:solidFill>
                </w14:textFill>
              </w:rPr>
              <w:t>国家建立健全粮食安全保障投入机制，采取财政、金融等支持政策加强粮食安全保障……国家引导社会资本投入粮食生产、储备、流通、加工等领域，并保障其合法权益。国家引导金融机构合理推出金融产品和服务，为粮食生产、储备、流通、加工等提供支持。国家完善政策性农业保险制度，鼓励开展商业性保险业务。</w:t>
            </w: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w:t>
            </w:r>
          </w:p>
          <w:p w14:paraId="169DD200">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default"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w:t>
            </w:r>
            <w:r>
              <w:rPr>
                <w:rFonts w:hint="default" w:ascii="仿宋_GB2312" w:eastAsia="仿宋_GB2312"/>
                <w:b w:val="0"/>
                <w:bCs w:val="0"/>
                <w:color w:val="000000" w:themeColor="text1"/>
                <w:spacing w:val="-4"/>
                <w:szCs w:val="21"/>
                <w:highlight w:val="none"/>
                <w:lang w:val="en-US" w:eastAsia="zh-CN"/>
                <w14:textFill>
                  <w14:solidFill>
                    <w14:schemeClr w14:val="tx1"/>
                  </w14:solidFill>
                </w14:textFill>
              </w:rPr>
              <w:t>《甘肃省高标准农田建设管理条例》第八条：</w:t>
            </w: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w:t>
            </w:r>
            <w:r>
              <w:rPr>
                <w:rFonts w:hint="default" w:ascii="仿宋_GB2312" w:eastAsia="仿宋_GB2312"/>
                <w:b w:val="0"/>
                <w:bCs w:val="0"/>
                <w:color w:val="000000" w:themeColor="text1"/>
                <w:spacing w:val="-4"/>
                <w:szCs w:val="21"/>
                <w:highlight w:val="none"/>
                <w:lang w:val="en-US" w:eastAsia="zh-CN"/>
                <w14:textFill>
                  <w14:solidFill>
                    <w14:schemeClr w14:val="tx1"/>
                  </w14:solidFill>
                </w14:textFill>
              </w:rPr>
              <w:t>各级人民政府及其有关部门应当加强对高标准农田建设管理法律法规和政策的宣传，积极引导农民、新型农业经营主体、农村集体经济组织和各类社会资本参与高标准农田建设和管护。</w:t>
            </w: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w:t>
            </w:r>
          </w:p>
          <w:p w14:paraId="6486F1D6">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参考《国务院办公厅关于鼓励和支持社会资本参与生态保护修复的意见》（国办发〔2021〕40号）：鼓励和支持社会资本参与生态保护修复项目投资、设计、修复、管护等全过程，围绕生态保护修复开展生态产品开发、产业发展、科技创新、技术服务等活动，对区域生态保护修复进行全生命周期运营管护 。</w:t>
            </w:r>
          </w:p>
        </w:tc>
      </w:tr>
      <w:tr w14:paraId="0CC7DB2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6683" w:type="dxa"/>
            <w:shd w:val="clear" w:color="auto" w:fill="auto"/>
            <w:vAlign w:val="center"/>
          </w:tcPr>
          <w:p w14:paraId="0113A4B3">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第三十八条【科技支撑】 市、县（区）人民政府应当加强耕地保护科研和技术推广，建立专家指导组，开展耕地质量提升关键技术研发、集成与示范，推广智能化监测、精准施肥、生物修复等先进技术。</w:t>
            </w:r>
          </w:p>
        </w:tc>
        <w:tc>
          <w:tcPr>
            <w:tcW w:w="7284" w:type="dxa"/>
            <w:shd w:val="clear" w:color="auto" w:fill="auto"/>
            <w:vAlign w:val="center"/>
          </w:tcPr>
          <w:p w14:paraId="1B1C9126">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中华人民共和国农业法》第十条：国家支持农业科学技术研究、开发和应用，推广先进的农业技术，发展农业科技教育事业。第五十八条：“农民和农业生产经营组织应当保养耕地，合理使用化肥、农药、农用薄膜，增加使用有机肥料，采用先进技术，保护和提高地力，防止农用地的污染、破坏和地力衰退。”</w:t>
            </w:r>
          </w:p>
          <w:p w14:paraId="00D237DB">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中华人民共和国生态环境法典》第十一条：“国家支持生态环境科学技术研究、开发和应用，加强生态环境保护工作的科技支撑和人才培养，在确保安全前提下促进信息技术、数字技术、人工智能技术等的应用，提高生态环境保护的科学技术水平。”</w:t>
            </w:r>
          </w:p>
          <w:p w14:paraId="62010330">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依据《中华人民共和国农业技术推广法》第二条：“本法所称农业技术推广，是指通过试验、示范、培训、指导以及咨询服务等，把农业技术普及应用于农业生产产前、产中、产后全过程的活动。”</w:t>
            </w:r>
          </w:p>
        </w:tc>
      </w:tr>
      <w:tr w14:paraId="4271C39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6683" w:type="dxa"/>
            <w:shd w:val="clear" w:color="auto" w:fill="auto"/>
            <w:vAlign w:val="center"/>
          </w:tcPr>
          <w:p w14:paraId="1C94A5E1">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第三十九条【信息共享】 市、县（区）农业农村部门应当建立耕地质量信息管理平台，实现与自然资源、生态环境、水务等部门数据共享，面向社会提供查询服务。</w:t>
            </w:r>
          </w:p>
        </w:tc>
        <w:tc>
          <w:tcPr>
            <w:tcW w:w="7284" w:type="dxa"/>
            <w:shd w:val="clear" w:color="auto" w:fill="auto"/>
            <w:vAlign w:val="center"/>
          </w:tcPr>
          <w:p w14:paraId="46C03530">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中华人民共和国生态环境法典》第二十三条：“国家建立健全生态环境信息共享机制，提升信息共享能力，加强生态环境信息共享。县级以上人民政府应当推进生态环境信息共享平台建设，有关部门应当及时组织上传生态环境信息并动态更新。”</w:t>
            </w:r>
          </w:p>
          <w:p w14:paraId="6A05C127">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default"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w:t>
            </w:r>
            <w:r>
              <w:rPr>
                <w:rFonts w:hint="default" w:ascii="仿宋_GB2312" w:eastAsia="仿宋_GB2312"/>
                <w:b w:val="0"/>
                <w:bCs w:val="0"/>
                <w:color w:val="000000" w:themeColor="text1"/>
                <w:spacing w:val="-4"/>
                <w:szCs w:val="21"/>
                <w:highlight w:val="none"/>
                <w:lang w:val="en-US" w:eastAsia="zh-CN"/>
                <w14:textFill>
                  <w14:solidFill>
                    <w14:schemeClr w14:val="tx1"/>
                  </w14:solidFill>
                </w14:textFill>
              </w:rPr>
              <w:t>《甘肃省高标准农田建设管理条例》（2024年5月1日施行）第七条：</w:t>
            </w: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w:t>
            </w:r>
            <w:r>
              <w:rPr>
                <w:rFonts w:hint="default" w:ascii="仿宋_GB2312" w:eastAsia="仿宋_GB2312"/>
                <w:b w:val="0"/>
                <w:bCs w:val="0"/>
                <w:color w:val="000000" w:themeColor="text1"/>
                <w:spacing w:val="-4"/>
                <w:szCs w:val="21"/>
                <w:highlight w:val="none"/>
                <w:lang w:val="en-US" w:eastAsia="zh-CN"/>
                <w14:textFill>
                  <w14:solidFill>
                    <w14:schemeClr w14:val="tx1"/>
                  </w14:solidFill>
                </w14:textFill>
              </w:rPr>
              <w:t>县级以上人民政府应当组织农业农村、自然资源、水利等部门加强高标准农田信息化建设，建立信息互通共享机制，依托国家有关监测监管平台，将高标准农田建设项目立项、实施、验收、使用等各阶段相关信息上图入库，实现高标准农田建设有据可查、全程监控、精准管理、资源共享。</w:t>
            </w: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w:t>
            </w:r>
          </w:p>
          <w:p w14:paraId="7C8B9066">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参考《江苏省耕地质量管理条例》第三十条“县级以上地方人民政府农业农村、自然资源、生态环境等部门应当建立耕地质量保护信息共享机制，及时通报耕地质量保护相关信息。”</w:t>
            </w:r>
          </w:p>
        </w:tc>
      </w:tr>
      <w:tr w14:paraId="446C3FB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13967" w:type="dxa"/>
            <w:gridSpan w:val="2"/>
            <w:shd w:val="clear" w:color="auto" w:fill="auto"/>
            <w:vAlign w:val="center"/>
          </w:tcPr>
          <w:p w14:paraId="13C7A77A">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center"/>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黑体" w:hAnsi="黑体" w:eastAsia="黑体" w:cs="仿宋_GB2312"/>
                <w:b w:val="0"/>
                <w:bCs w:val="0"/>
                <w:color w:val="000000" w:themeColor="text1"/>
                <w:sz w:val="24"/>
                <w:szCs w:val="24"/>
                <w:highlight w:val="none"/>
                <w:lang w:val="en-US" w:eastAsia="zh-CN"/>
                <w14:textFill>
                  <w14:solidFill>
                    <w14:schemeClr w14:val="tx1"/>
                  </w14:solidFill>
                </w14:textFill>
              </w:rPr>
              <w:t>第七章 法律责任</w:t>
            </w:r>
          </w:p>
        </w:tc>
      </w:tr>
      <w:tr w14:paraId="3CFE08B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6683" w:type="dxa"/>
            <w:shd w:val="clear" w:color="auto" w:fill="auto"/>
            <w:vAlign w:val="center"/>
          </w:tcPr>
          <w:p w14:paraId="043E0888">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第四十条【非法占用责任】 违反本条例规定，未经批准或者采取欺骗手段占用耕地的，由自然资源部门责令退还、恢复原状，可以并处非法占用土地每平方米一百元以上一千元以下罚款；构成犯罪的，依法追究刑事责任。</w:t>
            </w:r>
          </w:p>
        </w:tc>
        <w:tc>
          <w:tcPr>
            <w:tcW w:w="7284" w:type="dxa"/>
            <w:shd w:val="clear" w:color="auto" w:fill="auto"/>
            <w:vAlign w:val="center"/>
          </w:tcPr>
          <w:p w14:paraId="60AF4116">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中华人民共和国土地管理法》第七十七条“未经批准或者采取欺骗手段骗取批准，非法占用土地的，由县级以上人民政府自然资源主管部门责令退还非法占用的土地，对违反土地利用总体规划擅自将农用地改为建设用地的，限期拆除在非法占用的土地上新建的建筑物和其他设施，恢复土地原状，对符合土地利用总体规划的，没收在非法占用的土地上新建的建筑物和其他设施，可以并处罚款；对非法占用土地单位的直接负责的主管人员和其他直接责任人员，依法给予处分；构成犯罪的，依法追究刑事责任。超过批准的数量占用土地，多占的土地以非法占用土地论处。”</w:t>
            </w:r>
          </w:p>
          <w:p w14:paraId="2C2D0E82">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default"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依据《土地管理法实施条例》第五十七条第一款规定：依照《土地管理法》第七十七条的规定处以罚款的，罚款额为非法占用土地每平方米100元以上1000元以下</w:t>
            </w:r>
            <w:r>
              <w:rPr>
                <w:rFonts w:hint="default" w:ascii="仿宋_GB2312" w:eastAsia="仿宋_GB2312"/>
                <w:b w:val="0"/>
                <w:bCs w:val="0"/>
                <w:color w:val="000000" w:themeColor="text1"/>
                <w:spacing w:val="-4"/>
                <w:szCs w:val="21"/>
                <w:highlight w:val="none"/>
                <w:lang w:val="en-US" w:eastAsia="zh-CN"/>
                <w14:textFill>
                  <w14:solidFill>
                    <w14:schemeClr w14:val="tx1"/>
                  </w14:solidFill>
                </w14:textFill>
              </w:rPr>
              <w:t>。</w:t>
            </w:r>
          </w:p>
          <w:p w14:paraId="6F3A7FCA">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刑法》第三百四十二条规定，违反土地管理法规，非法占用耕地、林地等农用地，改变被占用土地用途，数量较大，造成耕地、林地等农用地大量毁坏的，处五年以下有期徒刑或者拘役，并处或者单处罚金。</w:t>
            </w:r>
          </w:p>
        </w:tc>
      </w:tr>
      <w:tr w14:paraId="58DDFE3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6683" w:type="dxa"/>
            <w:shd w:val="clear" w:color="auto" w:fill="auto"/>
            <w:vAlign w:val="center"/>
          </w:tcPr>
          <w:p w14:paraId="40464B78">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第四十一条【破坏永久基本农田责任】  违反本条例规定，占用基本农田建窑、建房、建坟、挖砂、采石、采矿、取土、堆放固体废弃物或者从事其他活动破坏基本农田，毁坏种植条件的，由县级以上人民政府自然资源主管部门责令改正或者治理，恢复原种植条件，处占用基本农田的耕地开垦费一倍以上二倍以下的罚款。构成犯罪的，依法追究刑事责任。</w:t>
            </w:r>
          </w:p>
          <w:p w14:paraId="4466AC08">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yellow"/>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非法占用永久基本农田发展林果业或者挖塘养鱼的，由县级以上人民政府自然资源主管部门责令限期改正；逾期不改正的，按占用面积处耕地开垦费二倍以上五倍以下的罚款；构成犯罪的，依法追究刑事责任。</w:t>
            </w:r>
          </w:p>
        </w:tc>
        <w:tc>
          <w:tcPr>
            <w:tcW w:w="7284" w:type="dxa"/>
            <w:shd w:val="clear" w:color="auto" w:fill="auto"/>
            <w:vAlign w:val="center"/>
          </w:tcPr>
          <w:p w14:paraId="58463A3A">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default"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中华人民共和国土地管理法》第七十五条“违反本法规定，占用耕地建窑、建坟或者擅自在耕地上建房、挖砂、采石、采矿、取土等，破坏种植条件的，或者因开发土地造成土地荒漠化、盐渍化的，由县级以上人民政府自然资源主管部门、农业农村主管部门等按照职责责令限期改正或者治理，可以并处罚款；构成犯罪的，依法追究刑事责任。”</w:t>
            </w:r>
            <w:r>
              <w:rPr>
                <w:rFonts w:hint="default" w:ascii="仿宋_GB2312" w:eastAsia="仿宋_GB2312"/>
                <w:b w:val="0"/>
                <w:bCs w:val="0"/>
                <w:color w:val="000000" w:themeColor="text1"/>
                <w:spacing w:val="-4"/>
                <w:szCs w:val="21"/>
                <w:highlight w:val="none"/>
                <w:lang w:val="en-US" w:eastAsia="zh-CN"/>
                <w14:textFill>
                  <w14:solidFill>
                    <w14:schemeClr w14:val="tx1"/>
                  </w14:solidFill>
                </w14:textFill>
              </w:rPr>
              <w:br w:type="textWrapping"/>
            </w:r>
            <w:r>
              <w:rPr>
                <w:rFonts w:hint="default" w:ascii="仿宋_GB2312" w:eastAsia="仿宋_GB2312"/>
                <w:b w:val="0"/>
                <w:bCs w:val="0"/>
                <w:color w:val="000000" w:themeColor="text1"/>
                <w:spacing w:val="-4"/>
                <w:szCs w:val="21"/>
                <w:highlight w:val="none"/>
                <w:lang w:val="en-US" w:eastAsia="zh-CN"/>
                <w14:textFill>
                  <w14:solidFill>
                    <w14:schemeClr w14:val="tx1"/>
                  </w14:solidFill>
                </w14:textFill>
              </w:rPr>
              <w:t>依据《基本农田保护条例》第三十三条“违反本条例规定，占用基本农田建窑、建房、建坟、挖砂、采石、采矿、取土、堆放固体废弃物或者从事其他活动破坏基本农田，毁坏种植条件的，由县级以上人民政府土地行政主管部门责令改正或者治理，恢复原种植条件，处占用基本农田的耕地开垦费1倍以上2倍以下的罚款；构成犯罪的，依法追究刑事责任。”</w:t>
            </w:r>
          </w:p>
          <w:p w14:paraId="3F727E8F">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default"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依据《中华人民共和国土地管理法实施条例》第五十一条　违反《土地管理法》第三十七条的规定，非法占用永久基本农田发展林果业或者挖塘养鱼的，由县级以上人民政府自然资源主管部门责令限期改正；逾期不改正的，按占用面积处耕地开垦费2倍以上5倍以下的罚款；</w:t>
            </w:r>
          </w:p>
          <w:p w14:paraId="4AC3C063">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Segoe UI" w:hAnsi="Segoe UI" w:eastAsia="Segoe UI" w:cs="Segoe UI"/>
                <w:i w:val="0"/>
                <w:iCs w:val="0"/>
                <w:caps w:val="0"/>
                <w:spacing w:val="0"/>
                <w:sz w:val="16"/>
                <w:szCs w:val="16"/>
                <w:highlight w:val="yellow"/>
                <w:shd w:val="clear" w:fill="FFFFFF"/>
                <w:lang w:val="en-US" w:eastAsia="zh-CN"/>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《中华人民共和国粮食安全保障法》（2024年6月1日施行）第十二条：“国家严格控制耕地转为林地、草地、园地等其他农用地。禁止违规占用耕地绿化造林、挖湖造景等行为。</w:t>
            </w:r>
          </w:p>
        </w:tc>
      </w:tr>
      <w:tr w14:paraId="44B170A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6683" w:type="dxa"/>
            <w:shd w:val="clear" w:color="auto" w:fill="auto"/>
            <w:vAlign w:val="center"/>
          </w:tcPr>
          <w:p w14:paraId="565CC00E">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第四十二条【破坏质量责任】 耕地使用者有下列行为之一，造成耕地质量等级下降的，由农业农村主管部门、生态环境主管部门按照各自职责责令限期改正；逾期不改正或者造成严重后果的，依照下列规定予以处罚：</w:t>
            </w:r>
          </w:p>
          <w:p w14:paraId="5BB08C1D">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一）未按照规定及时回收肥料等农业投入品的包装废弃物或者农用薄膜，或者未按照规定及时回收农药包装废弃物交由专门的机构或者组织进行无害化处理的，由农业农村主管部门依照相关规定予以处罚；受让方为单位的，处一万元以上十万元以下罚款；受让方为个人的，处二百元以上二千元以下罚款。</w:t>
            </w:r>
          </w:p>
          <w:p w14:paraId="4EB5AE7B">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（二）</w:t>
            </w:r>
            <w:r>
              <w:rPr>
                <w:rFonts w:hint="default" w:ascii="仿宋_GB2312" w:eastAsia="仿宋_GB2312"/>
                <w:b w:val="0"/>
                <w:bCs w:val="0"/>
                <w:color w:val="000000" w:themeColor="text1"/>
                <w:spacing w:val="-4"/>
                <w:szCs w:val="21"/>
                <w:highlight w:val="none"/>
                <w:lang w:val="en-US" w:eastAsia="zh-CN"/>
                <w14:textFill>
                  <w14:solidFill>
                    <w14:schemeClr w14:val="tx1"/>
                  </w14:solidFill>
                </w14:textFill>
              </w:rPr>
              <w:t>排放重金属或者其他有毒有害物质含量超标的污水、污泥，以及可能造成土壤污染的清淤底泥、尾矿、矿渣等</w:t>
            </w: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的，</w:t>
            </w:r>
            <w:r>
              <w:rPr>
                <w:rFonts w:hint="default" w:ascii="仿宋_GB2312" w:eastAsia="仿宋_GB2312"/>
                <w:b w:val="0"/>
                <w:bCs w:val="0"/>
                <w:color w:val="000000" w:themeColor="text1"/>
                <w:spacing w:val="-4"/>
                <w:szCs w:val="21"/>
                <w:highlight w:val="none"/>
                <w:lang w:val="en-US" w:eastAsia="zh-CN"/>
                <w14:textFill>
                  <w14:solidFill>
                    <w14:schemeClr w14:val="tx1"/>
                  </w14:solidFill>
                </w14:textFill>
              </w:rPr>
              <w:t>由生态环境主管部门责令改正，处十万元以上五十万元以下的罚款；情节严重的，处五十万元以上二百万元以下的罚款，并可以将案件移送公安机关，对直接负责的主管人员和其他直接责任人员处五日以上十五日以下的拘留；有违法所得的，没收违法所得</w:t>
            </w: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w:t>
            </w:r>
          </w:p>
          <w:p w14:paraId="2EDA3904">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（三）向耕地排放未经无害化处理或者虽经处理但不符合相关标准的畜禽粪污等养殖废弃物的，由生态环境主管部门责令限期治理，可以处五万元以下的罚款。</w:t>
            </w:r>
          </w:p>
        </w:tc>
        <w:tc>
          <w:tcPr>
            <w:tcW w:w="7284" w:type="dxa"/>
            <w:shd w:val="clear" w:color="auto" w:fill="auto"/>
            <w:vAlign w:val="center"/>
          </w:tcPr>
          <w:p w14:paraId="5EBE9E43">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中华人民共和国生态环境法典》第一千一百六十条：“违反本法规定，向农用地排放重金属或者其他有毒有害物质含量超标的污水、污泥，以及可能造成土壤污染的清淤底泥、尾矿、矿渣等的，由生态环境主管部门责令改正，没收违法所得，并处十万元以上五十万元以下的罚款；情节严重的，并处五十万元以上二百万元以下的罚款，并将案件移送公安机关，由公安机关对直接负责的主管人员和其他直接责任人员处五日以上十五日以下拘留。”及第一千一百六十一条：“违反本法规定，农业投入品生产者、销售者、使用者未及时回收农药、肥料等农业投入品的包装废弃物或者农用薄膜，或者未将农药包装废弃物交由专门的机构或者组织进行无害化处理的，由农业农村主管部门责令改正，处一万元以上十万元以下的罚款；农业投入品使用者为个人的，可以处二百元以上二千元以下的罚款。”</w:t>
            </w:r>
          </w:p>
          <w:p w14:paraId="6BFAFA0F">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依据《畜禽规模养殖污染防治条例》第四十一条“　排放畜禽养殖废弃物不符合国家或者地方规定的污染物排放标准或者总量控制指标，或者未经无害化处理直接向环境排放畜禽养殖废弃物的，由县级以上地方人民政府环境保护主管部门责令限期治理，可以处5万元以下的罚款。”</w:t>
            </w:r>
          </w:p>
        </w:tc>
      </w:tr>
      <w:tr w14:paraId="151BAA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6683" w:type="dxa"/>
            <w:shd w:val="clear" w:color="auto" w:fill="auto"/>
            <w:vAlign w:val="center"/>
          </w:tcPr>
          <w:p w14:paraId="6A4C8911">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hAnsiTheme="minorHAnsi" w:cstheme="minorBidi"/>
                <w:b w:val="0"/>
                <w:bCs w:val="0"/>
                <w:color w:val="000000" w:themeColor="text1"/>
                <w:spacing w:val="-4"/>
                <w:kern w:val="2"/>
                <w:sz w:val="21"/>
                <w:szCs w:val="21"/>
                <w:highlight w:val="none"/>
                <w:lang w:val="en-US" w:eastAsia="zh-CN" w:bidi="ar-SA"/>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 xml:space="preserve"> 第四十三条【违反流转合同责任】 土地经营权流转受让方违反耕地保护条款，造成耕地质量下降的，应当按照合同约定承担修复、赔偿责任。同时，将其违法信息纳入社会信用体系管理。</w:t>
            </w:r>
          </w:p>
        </w:tc>
        <w:tc>
          <w:tcPr>
            <w:tcW w:w="7284" w:type="dxa"/>
            <w:shd w:val="clear" w:color="auto" w:fill="auto"/>
            <w:vAlign w:val="center"/>
          </w:tcPr>
          <w:p w14:paraId="173E9216">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中华人民共和国农村土地承包法》第六十四条规定，土地经营权人擅自改变土地的农业用途、给土地造成严重损害或者严重破坏土地生态环境的，承包方有权解除合同，发包方有权要求终止土地经营权流转合同。”</w:t>
            </w:r>
          </w:p>
          <w:p w14:paraId="5CE18182">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参考《江苏省耕地质量管理条例》第三十五条“违反本条例规定，土地经营权受让方破坏耕地质量的，由农业农村主管部门责令限期改正；逾期不改正的，处一千元以上一万元以下的罚款；造成耕地质量下降的，依法承担赔偿责任”。</w:t>
            </w:r>
          </w:p>
        </w:tc>
      </w:tr>
      <w:tr w14:paraId="2384F03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6683" w:type="dxa"/>
            <w:shd w:val="clear" w:color="auto" w:fill="auto"/>
            <w:vAlign w:val="center"/>
          </w:tcPr>
          <w:p w14:paraId="255814C0">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第四十四条【基层监管责任】 县（区）、乡（镇）人民政府未履行耕地保护监管职责，有下列情形之一的，由上级人民政府责令限期改正；情节严重的，对直接负责的主管人员和其他直接责任人员依法给予处分：</w:t>
            </w:r>
          </w:p>
          <w:p w14:paraId="3B7C7C48">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（一）未按照规定开展耕地质量监测、巡查的；</w:t>
            </w:r>
          </w:p>
          <w:p w14:paraId="5AAD46AB">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（二）对破坏耕地质量的行为不依法查处的；</w:t>
            </w:r>
          </w:p>
          <w:p w14:paraId="033735BD">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（三）未按照规定审核确认耕地质量评价报告的；</w:t>
            </w:r>
          </w:p>
          <w:p w14:paraId="4D365B9D">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（四）挪用耕地质量保护和修复资金的。</w:t>
            </w:r>
          </w:p>
        </w:tc>
        <w:tc>
          <w:tcPr>
            <w:tcW w:w="7284" w:type="dxa"/>
            <w:shd w:val="clear" w:color="auto" w:fill="auto"/>
            <w:vAlign w:val="center"/>
          </w:tcPr>
          <w:p w14:paraId="78F1664D">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仿宋_GB2312" w:eastAsia="仿宋_GB2312" w:cs="仿宋_GB2312"/>
                <w:b w:val="0"/>
                <w:bCs w:val="0"/>
                <w:color w:val="000000" w:themeColor="text1"/>
                <w:spacing w:val="-4"/>
                <w:sz w:val="21"/>
                <w:szCs w:val="21"/>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pacing w:val="-4"/>
                <w:sz w:val="21"/>
                <w:szCs w:val="21"/>
                <w:highlight w:val="none"/>
                <w:lang w:val="en-US" w:eastAsia="zh-CN"/>
                <w14:textFill>
                  <w14:solidFill>
                    <w14:schemeClr w14:val="tx1"/>
                  </w14:solidFill>
                </w14:textFill>
              </w:rPr>
              <w:t>依据《中华人民共和国生态环境法典》第一千零六十二条：“地方各级人民政府、负有生态环境保护监督管理职责的部门、机构有下列情形之一的，对负有责任的领导人员和直接责任人员给予记过、记大过或者降级处分；造成严重后果的，给予撤职或者开除处分：……（二）对生态环境违法行为进行包庇；（三）依法应当作出责令停业、关闭的决定而未作出；（四）对未按照许可证规定排放污染物、采用逃避监管的方式排放污染物、造成环境污染或者生态破坏事故以及不落实生态保护措施造成生态破坏等行为，发现或者接到举报未及时依法查处……”</w:t>
            </w:r>
          </w:p>
          <w:p w14:paraId="52E048A8">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hAnsi="仿宋_GB2312" w:eastAsia="仿宋_GB2312" w:cs="仿宋_GB2312"/>
                <w:i w:val="0"/>
                <w:iCs w:val="0"/>
                <w:caps w:val="0"/>
                <w:color w:val="0F1115"/>
                <w:spacing w:val="0"/>
                <w:sz w:val="21"/>
                <w:szCs w:val="21"/>
                <w:shd w:val="clear" w:fill="FFFFFF"/>
                <w:lang w:val="en-US" w:eastAsia="zh-CN"/>
              </w:rPr>
              <w:t>依据</w:t>
            </w:r>
            <w:r>
              <w:rPr>
                <w:rFonts w:hint="eastAsia" w:ascii="仿宋_GB2312" w:hAnsi="仿宋_GB2312" w:eastAsia="仿宋_GB2312" w:cs="仿宋_GB2312"/>
                <w:i w:val="0"/>
                <w:iCs w:val="0"/>
                <w:caps w:val="0"/>
                <w:color w:val="0F1115"/>
                <w:spacing w:val="0"/>
                <w:sz w:val="21"/>
                <w:szCs w:val="21"/>
                <w:shd w:val="clear" w:fill="FFFFFF"/>
              </w:rPr>
              <w:t>《基本农田保护条例》第四条“县级以上地方各级人民政府应当采取措施，确保本行政区域内基本农田的数量不减少。</w:t>
            </w:r>
          </w:p>
        </w:tc>
      </w:tr>
      <w:tr w14:paraId="7CA9ACA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6683" w:type="dxa"/>
            <w:shd w:val="clear" w:color="auto" w:fill="auto"/>
            <w:vAlign w:val="center"/>
          </w:tcPr>
          <w:p w14:paraId="7EED41B4">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第四十五条【部门协同责任】 自然资源、农业农村、生态环境、水务、林草、市场监管等部门未按照本条例规定履行耕地质量保护职责，有下列情形之一的，由本级人民政府或者上级主管部门责令限期改正；情节严重的，对直接负责的主管人员和其他直接责任人员依法给予处分：</w:t>
            </w:r>
          </w:p>
          <w:p w14:paraId="60C6FBDF">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（一）未建立或未执行信息共享、联合执法、案件移送等协同工作机制的；</w:t>
            </w:r>
          </w:p>
          <w:p w14:paraId="058CB159">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（二）在耕地占补平衡、永久基本农田补划、补充耕地质量验收中弄虚作假的；</w:t>
            </w:r>
          </w:p>
          <w:p w14:paraId="2FE07C69">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（三）对涉重金属企业准入把关不严，造成耕地污染的；</w:t>
            </w:r>
          </w:p>
          <w:p w14:paraId="178BC61C">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（四）未按照规定开展土壤污染状况调查、监测的。</w:t>
            </w:r>
          </w:p>
        </w:tc>
        <w:tc>
          <w:tcPr>
            <w:tcW w:w="7284" w:type="dxa"/>
            <w:shd w:val="clear" w:color="auto" w:fill="auto"/>
            <w:vAlign w:val="center"/>
          </w:tcPr>
          <w:p w14:paraId="5ACFB067">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中华人民共和国生态环境法典》第十七条“国务院生态环境主管部门在其职责范围内对全国生态环境保护工作实施统一监督管理，统一政策规划标准制定，统一监测评估，统一监督执法，统一督察问责。地方人民政府生态环境主管部门在其职责范围内对本行政区域生态环境保护工作实施统一监督管理。</w:t>
            </w:r>
          </w:p>
          <w:p w14:paraId="73753479">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国务院自然资源主管部门在其职责范围内对全国自然资源开发利用和保护工作实施监督管理，根据国务院授权统一履行全民所有自然资源资产所有者职责，统一履行所有国土空间用途管制和生态的保护与修复职责。地方人民政府自然资源主管部门在其职责范围内对本行政区域自然资源开发利用和保护，以及国土空间开发保护工作实施监督管理。</w:t>
            </w:r>
          </w:p>
          <w:p w14:paraId="16D1F145">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县级以上人民政府发展改革、工业和信息化、住房城乡建设、交通运输、水行政、农业农村、林业草原等有关部门和军队生态环境保护部门在各自职责范围内对生态环境保护工作实施监督管理。”</w:t>
            </w:r>
          </w:p>
          <w:p w14:paraId="660DFB40">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中华人民共和国生态环境法典》第一千零六十二条：“地方各级人民政府、负有生态环境保护监督管理职责的部门、机构有下列情形之一的，对负有责任的领导人员和直接责任人员给予记过、记大过或者降级处分；造成严重后果的，给予撤职或者开除处分：……（二）对生态环境违法行为进行包庇；（三）依法应当作出责令停业、关闭的决定而未作出；（四）对未按照许可证规定排放污染物、采用逃避监管的方式排放污染物、造成环境污染或者生态破坏事故以及不落实生态保护措施造成生态破坏等行为，发现或者接到举报未及时依法查处……”</w:t>
            </w:r>
          </w:p>
        </w:tc>
      </w:tr>
      <w:tr w14:paraId="54C15D8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6683" w:type="dxa"/>
            <w:shd w:val="clear" w:color="auto" w:fill="auto"/>
            <w:vAlign w:val="center"/>
          </w:tcPr>
          <w:p w14:paraId="1368584F">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第四十六条【监管部门责任】 各级人民政府及有关部门工作人员在耕地保护工作中，存在下列情形之一的，依法给予处分；构成犯罪的，依法追究刑事责任：</w:t>
            </w:r>
          </w:p>
          <w:p w14:paraId="08C3517C">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（一）未落实耕地保护目标责任的；</w:t>
            </w:r>
          </w:p>
          <w:p w14:paraId="43773087">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（二）在耕地占补平衡、永久基本农田补划中弄虚作假的；</w:t>
            </w:r>
          </w:p>
          <w:p w14:paraId="2ADC2170">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（三）对破坏耕地的行为不依法查处的；</w:t>
            </w:r>
          </w:p>
          <w:p w14:paraId="266E6E4B">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（四）其他玩忽职守、滥用职权、徇私舞弊的行为。</w:t>
            </w:r>
          </w:p>
        </w:tc>
        <w:tc>
          <w:tcPr>
            <w:tcW w:w="7284" w:type="dxa"/>
            <w:shd w:val="clear" w:color="auto" w:fill="auto"/>
            <w:vAlign w:val="center"/>
          </w:tcPr>
          <w:p w14:paraId="54F190D4">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中华人民共和国土地管理法》第七十九条“无权批准征收、使用土地的单位或者个人非法批准占用土地的，超越批准权限非法批准占用土地的，不按照土地利用总体规划确定的用途批准用地的，或者违反法律规定的程序批准占用、征收土地的，其批准文件无效，对非法批准征收、使用土地的直接负责的主管人员和其他直接责任人员，依法给予处分；构成犯罪的，依法追究刑事责任”。第八十四条“自然资源主管部门、农业农村主管部门的工作人员玩忽职守、滥用职权、徇私舞弊，构成犯罪的，依法追究刑事责任；尚不构成犯罪的，依法给予处分。”</w:t>
            </w:r>
          </w:p>
          <w:p w14:paraId="0BA19497">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t>依据《中华人民共和国生态环境法典》第一千零六十二条：“地方各级人民政府、负有生态环境保护监督管理职责的部门、机构有下列情形之一的，对负有责任的领导人员和直接责任人员给予记过、记大过或者降级处分；造成严重后果的，给予撤职或者开除处分：……（二）对生态环境违法行为进行包庇；（三）依法应当作出责令停业、关闭的决定而未作出；（四）对未按照许可证规定排放污染物、采用逃避监管的方式排放污染物、造成环境污染或者生态破坏事故以及不落实生态保护措施造成生态破坏等行为，发现或者接到举报未及时依法查处……”</w:t>
            </w:r>
          </w:p>
        </w:tc>
      </w:tr>
      <w:tr w14:paraId="26C3673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20" w:hRule="atLeast"/>
        </w:trPr>
        <w:tc>
          <w:tcPr>
            <w:tcW w:w="13967" w:type="dxa"/>
            <w:gridSpan w:val="2"/>
            <w:shd w:val="clear" w:color="auto" w:fill="auto"/>
            <w:vAlign w:val="center"/>
          </w:tcPr>
          <w:p w14:paraId="5455526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60" w:lineRule="exact"/>
              <w:ind w:left="0" w:right="0" w:firstLine="0"/>
              <w:jc w:val="center"/>
              <w:textAlignment w:val="baseline"/>
              <w:rPr>
                <w:rFonts w:hint="eastAsia" w:ascii="仿宋_GB2312" w:eastAsia="仿宋_GB2312"/>
                <w:b w:val="0"/>
                <w:bCs w:val="0"/>
                <w:color w:val="000000" w:themeColor="text1"/>
                <w:spacing w:val="-4"/>
                <w:szCs w:val="21"/>
                <w:highlight w:val="none"/>
                <w:lang w:val="en-US" w:eastAsia="zh-CN"/>
                <w14:textFill>
                  <w14:solidFill>
                    <w14:schemeClr w14:val="tx1"/>
                  </w14:solidFill>
                </w14:textFill>
              </w:rPr>
            </w:pPr>
            <w:r>
              <w:rPr>
                <w:rFonts w:hint="eastAsia" w:ascii="黑体" w:hAnsi="黑体" w:eastAsia="黑体" w:cs="仿宋_GB2312"/>
                <w:b w:val="0"/>
                <w:bCs w:val="0"/>
                <w:color w:val="000000" w:themeColor="text1"/>
                <w:sz w:val="24"/>
                <w:szCs w:val="24"/>
                <w:highlight w:val="none"/>
                <w:lang w:val="en-US" w:eastAsia="zh-CN"/>
                <w14:textFill>
                  <w14:solidFill>
                    <w14:schemeClr w14:val="tx1"/>
                  </w14:solidFill>
                </w14:textFill>
              </w:rPr>
              <w:t>第八章 附 则</w:t>
            </w:r>
          </w:p>
        </w:tc>
      </w:tr>
      <w:tr w14:paraId="4FDF499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7" w:hRule="atLeast"/>
        </w:trPr>
        <w:tc>
          <w:tcPr>
            <w:tcW w:w="6683" w:type="dxa"/>
            <w:shd w:val="clear" w:color="auto" w:fill="auto"/>
            <w:vAlign w:val="center"/>
          </w:tcPr>
          <w:p w14:paraId="7ABF7EE4">
            <w:pPr>
              <w:keepNext w:val="0"/>
              <w:keepLines w:val="0"/>
              <w:pageBreakBefore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eastAsia" w:ascii="仿宋_GB2312" w:eastAsia="仿宋_GB2312" w:hAnsiTheme="minorHAnsi" w:cstheme="minorBidi"/>
                <w:b w:val="0"/>
                <w:bCs w:val="0"/>
                <w:color w:val="000000" w:themeColor="text1"/>
                <w:spacing w:val="-4"/>
                <w:kern w:val="2"/>
                <w:sz w:val="21"/>
                <w:szCs w:val="21"/>
                <w:lang w:val="en-US" w:eastAsia="zh-CN" w:bidi="ar-SA"/>
                <w14:textFill>
                  <w14:solidFill>
                    <w14:schemeClr w14:val="tx1"/>
                  </w14:solidFill>
                </w14:textFill>
              </w:rPr>
            </w:pPr>
            <w:r>
              <w:rPr>
                <w:rFonts w:hint="eastAsia" w:ascii="仿宋_GB2312" w:eastAsia="仿宋_GB2312" w:hAnsiTheme="minorHAnsi" w:cstheme="minorBidi"/>
                <w:b w:val="0"/>
                <w:bCs w:val="0"/>
                <w:color w:val="000000" w:themeColor="text1"/>
                <w:spacing w:val="-4"/>
                <w:kern w:val="2"/>
                <w:sz w:val="21"/>
                <w:szCs w:val="21"/>
                <w:lang w:val="en-US" w:eastAsia="zh-CN" w:bidi="ar-SA"/>
                <w14:textFill>
                  <w14:solidFill>
                    <w14:schemeClr w14:val="tx1"/>
                  </w14:solidFill>
                </w14:textFill>
              </w:rPr>
              <w:t>第四十</w:t>
            </w:r>
            <w:r>
              <w:rPr>
                <w:rFonts w:hint="eastAsia" w:ascii="仿宋_GB2312" w:eastAsia="仿宋_GB2312" w:cstheme="minorBidi"/>
                <w:b w:val="0"/>
                <w:bCs w:val="0"/>
                <w:color w:val="000000" w:themeColor="text1"/>
                <w:spacing w:val="-4"/>
                <w:kern w:val="2"/>
                <w:sz w:val="21"/>
                <w:szCs w:val="21"/>
                <w:lang w:val="en-US" w:eastAsia="zh-CN" w:bidi="ar-SA"/>
                <w14:textFill>
                  <w14:solidFill>
                    <w14:schemeClr w14:val="tx1"/>
                  </w14:solidFill>
                </w14:textFill>
              </w:rPr>
              <w:t>七</w:t>
            </w:r>
            <w:r>
              <w:rPr>
                <w:rFonts w:hint="eastAsia" w:ascii="仿宋_GB2312" w:eastAsia="仿宋_GB2312" w:hAnsiTheme="minorHAnsi" w:cstheme="minorBidi"/>
                <w:b w:val="0"/>
                <w:bCs w:val="0"/>
                <w:color w:val="000000" w:themeColor="text1"/>
                <w:spacing w:val="-4"/>
                <w:kern w:val="2"/>
                <w:sz w:val="21"/>
                <w:szCs w:val="21"/>
                <w:lang w:val="en-US" w:eastAsia="zh-CN" w:bidi="ar-SA"/>
                <w14:textFill>
                  <w14:solidFill>
                    <w14:schemeClr w14:val="tx1"/>
                  </w14:solidFill>
                </w14:textFill>
              </w:rPr>
              <w:t>条【配套规定】 市人民政府应当根据本条例制定耕地质量评价、信用管理、多元投入激励、失信惩戒等配套办法，配套办法应当自本条例施行之日起6个月内制定并公布。</w:t>
            </w:r>
          </w:p>
        </w:tc>
        <w:tc>
          <w:tcPr>
            <w:tcW w:w="7284" w:type="dxa"/>
            <w:shd w:val="clear" w:color="auto" w:fill="auto"/>
            <w:vAlign w:val="center"/>
          </w:tcPr>
          <w:p w14:paraId="722C300A">
            <w:pPr>
              <w:keepNext w:val="0"/>
              <w:keepLines w:val="0"/>
              <w:pageBreakBefore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eastAsia" w:ascii="仿宋_GB2312" w:hAnsi="仿宋_GB2312" w:eastAsia="仿宋_GB2312" w:cs="仿宋_GB2312"/>
                <w:b w:val="0"/>
                <w:bCs w:val="0"/>
                <w:color w:val="000000" w:themeColor="text1"/>
                <w:spacing w:val="-4"/>
                <w:szCs w:val="21"/>
                <w:lang w:val="en-US" w:eastAsia="zh-CN"/>
                <w14:textFill>
                  <w14:solidFill>
                    <w14:schemeClr w14:val="tx1"/>
                  </w14:solidFill>
                </w14:textFill>
              </w:rPr>
            </w:pPr>
            <w:r>
              <w:rPr>
                <w:rFonts w:hint="eastAsia" w:ascii="仿宋_GB2312" w:hAnsi="仿宋_GB2312" w:eastAsia="仿宋_GB2312" w:cs="仿宋_GB2312"/>
                <w:i w:val="0"/>
                <w:iCs w:val="0"/>
                <w:caps w:val="0"/>
                <w:color w:val="0F1115"/>
                <w:spacing w:val="0"/>
                <w:sz w:val="19"/>
                <w:szCs w:val="19"/>
                <w:shd w:val="clear" w:fill="FFFFFF"/>
              </w:rPr>
              <w:t>《中华人民共和国立法法》第八十二条：“设区的市的人民代表大会及其常务委员会根据本市的具体情况和实际需要，在不同宪法、法律、行政法规和本省、自治区的地方性法规相抵触的前提下，可以对城乡建设与管理、生态文明建设、历史文化保护、基层治理等方面的事项制定地方性法规……”</w:t>
            </w:r>
          </w:p>
        </w:tc>
      </w:tr>
      <w:tr w14:paraId="371463C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25" w:hRule="atLeast"/>
        </w:trPr>
        <w:tc>
          <w:tcPr>
            <w:tcW w:w="6683" w:type="dxa"/>
            <w:shd w:val="clear" w:color="auto" w:fill="auto"/>
            <w:vAlign w:val="center"/>
          </w:tcPr>
          <w:p w14:paraId="100F1E0A">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第四十八条【生效时间】 本条例自202*年**月**日起施行。</w:t>
            </w:r>
          </w:p>
        </w:tc>
        <w:tc>
          <w:tcPr>
            <w:tcW w:w="7284" w:type="dxa"/>
            <w:shd w:val="clear" w:color="auto" w:fill="auto"/>
            <w:vAlign w:val="center"/>
          </w:tcPr>
          <w:p w14:paraId="7FDDE398">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立法技术规范</w:t>
            </w:r>
          </w:p>
        </w:tc>
      </w:tr>
    </w:tbl>
    <w:p w14:paraId="24108F91">
      <w:pPr>
        <w:spacing w:line="587" w:lineRule="exact"/>
        <w:rPr>
          <w:rFonts w:ascii="方正小标宋简体" w:eastAsia="方正小标宋简体"/>
          <w:color w:val="000000" w:themeColor="text1"/>
          <w:sz w:val="44"/>
          <w:szCs w:val="44"/>
          <w14:textFill>
            <w14:solidFill>
              <w14:schemeClr w14:val="tx1"/>
            </w14:solidFill>
          </w14:textFill>
        </w:rPr>
      </w:pPr>
    </w:p>
    <w:sectPr>
      <w:footerReference r:id="rId3" w:type="default"/>
      <w:pgSz w:w="16838" w:h="11906" w:orient="landscape"/>
      <w:pgMar w:top="1417" w:right="1418" w:bottom="1134" w:left="141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小标宋_GBK">
    <w:altName w:val="微软雅黑"/>
    <w:panose1 w:val="02000000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810456"/>
      <w:docPartObj>
        <w:docPartGallery w:val="autotext"/>
      </w:docPartObj>
    </w:sdtPr>
    <w:sdtContent>
      <w:p w14:paraId="67E4E751">
        <w:pPr>
          <w:pStyle w:val="6"/>
          <w:jc w:val="center"/>
        </w:pPr>
        <w:r>
          <w:rPr>
            <w:rFonts w:asciiTheme="minorEastAsia" w:hAnsiTheme="minorEastAsia"/>
            <w:sz w:val="24"/>
            <w:szCs w:val="24"/>
          </w:rPr>
          <w:fldChar w:fldCharType="begin"/>
        </w:r>
        <w:r>
          <w:rPr>
            <w:rFonts w:asciiTheme="minorEastAsia" w:hAnsiTheme="minorEastAsia"/>
            <w:sz w:val="24"/>
            <w:szCs w:val="24"/>
          </w:rPr>
          <w:instrText xml:space="preserve"> PAGE   \* MERGEFORMAT </w:instrText>
        </w:r>
        <w:r>
          <w:rPr>
            <w:rFonts w:asciiTheme="minorEastAsia" w:hAnsiTheme="minorEastAsia"/>
            <w:sz w:val="24"/>
            <w:szCs w:val="24"/>
          </w:rPr>
          <w:fldChar w:fldCharType="separate"/>
        </w:r>
        <w:r>
          <w:rPr>
            <w:rFonts w:asciiTheme="minorEastAsia" w:hAnsiTheme="minorEastAsia"/>
            <w:sz w:val="24"/>
            <w:szCs w:val="24"/>
            <w:lang w:val="zh-CN"/>
          </w:rPr>
          <w:t>-</w:t>
        </w:r>
        <w:r>
          <w:rPr>
            <w:rFonts w:asciiTheme="minorEastAsia" w:hAnsiTheme="minorEastAsia"/>
            <w:sz w:val="24"/>
            <w:szCs w:val="24"/>
          </w:rPr>
          <w:t xml:space="preserve"> 13 -</w:t>
        </w:r>
        <w:r>
          <w:rPr>
            <w:rFonts w:asciiTheme="minorEastAsia" w:hAnsiTheme="minorEastAsia"/>
            <w:sz w:val="24"/>
            <w:szCs w:val="24"/>
          </w:rPr>
          <w:fldChar w:fldCharType="end"/>
        </w:r>
      </w:p>
    </w:sdtContent>
  </w:sdt>
  <w:p w14:paraId="09306C34">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cwZWNjYjkwZjc4OGJjOWIzODM4MzI2ODQ5N2Q1NTUifQ=="/>
  </w:docVars>
  <w:rsids>
    <w:rsidRoot w:val="00F65813"/>
    <w:rsid w:val="00022A88"/>
    <w:rsid w:val="0003541A"/>
    <w:rsid w:val="000566F2"/>
    <w:rsid w:val="00056E46"/>
    <w:rsid w:val="000625D6"/>
    <w:rsid w:val="00066A65"/>
    <w:rsid w:val="000A0250"/>
    <w:rsid w:val="000A589E"/>
    <w:rsid w:val="000B7E5D"/>
    <w:rsid w:val="000C4CF0"/>
    <w:rsid w:val="000D7A08"/>
    <w:rsid w:val="000F2273"/>
    <w:rsid w:val="00107385"/>
    <w:rsid w:val="00114D6F"/>
    <w:rsid w:val="001175AE"/>
    <w:rsid w:val="00133F1A"/>
    <w:rsid w:val="001440AC"/>
    <w:rsid w:val="0015445B"/>
    <w:rsid w:val="00163581"/>
    <w:rsid w:val="001643E3"/>
    <w:rsid w:val="00165428"/>
    <w:rsid w:val="00172B14"/>
    <w:rsid w:val="00184713"/>
    <w:rsid w:val="001858E2"/>
    <w:rsid w:val="00185944"/>
    <w:rsid w:val="00195AB4"/>
    <w:rsid w:val="001C1C31"/>
    <w:rsid w:val="001C7103"/>
    <w:rsid w:val="0020106D"/>
    <w:rsid w:val="00207A0F"/>
    <w:rsid w:val="00240717"/>
    <w:rsid w:val="00246B84"/>
    <w:rsid w:val="002531C4"/>
    <w:rsid w:val="00270B0D"/>
    <w:rsid w:val="00295E34"/>
    <w:rsid w:val="002B5CD1"/>
    <w:rsid w:val="002C77D0"/>
    <w:rsid w:val="002D0991"/>
    <w:rsid w:val="002E5CC7"/>
    <w:rsid w:val="002F0178"/>
    <w:rsid w:val="002F1684"/>
    <w:rsid w:val="003022B2"/>
    <w:rsid w:val="00321678"/>
    <w:rsid w:val="00321B41"/>
    <w:rsid w:val="00331D15"/>
    <w:rsid w:val="00334635"/>
    <w:rsid w:val="00362437"/>
    <w:rsid w:val="0036434F"/>
    <w:rsid w:val="003A23EA"/>
    <w:rsid w:val="003E150B"/>
    <w:rsid w:val="003E44F8"/>
    <w:rsid w:val="00410EFD"/>
    <w:rsid w:val="00414EB1"/>
    <w:rsid w:val="0044302E"/>
    <w:rsid w:val="00446175"/>
    <w:rsid w:val="004537F2"/>
    <w:rsid w:val="00465F45"/>
    <w:rsid w:val="004755FA"/>
    <w:rsid w:val="004A6094"/>
    <w:rsid w:val="004B3E19"/>
    <w:rsid w:val="004B3F2E"/>
    <w:rsid w:val="004D368F"/>
    <w:rsid w:val="004D604E"/>
    <w:rsid w:val="004D6982"/>
    <w:rsid w:val="004F57B2"/>
    <w:rsid w:val="005319FA"/>
    <w:rsid w:val="00535C6B"/>
    <w:rsid w:val="00563C39"/>
    <w:rsid w:val="00572027"/>
    <w:rsid w:val="00574DAC"/>
    <w:rsid w:val="005874BA"/>
    <w:rsid w:val="0059597D"/>
    <w:rsid w:val="005973B5"/>
    <w:rsid w:val="00597EAF"/>
    <w:rsid w:val="005B3EA3"/>
    <w:rsid w:val="005C3FB0"/>
    <w:rsid w:val="005E05DB"/>
    <w:rsid w:val="005E0B91"/>
    <w:rsid w:val="00615EA1"/>
    <w:rsid w:val="00620662"/>
    <w:rsid w:val="00626997"/>
    <w:rsid w:val="006364DF"/>
    <w:rsid w:val="00637C73"/>
    <w:rsid w:val="0064008A"/>
    <w:rsid w:val="0066200A"/>
    <w:rsid w:val="006A5A12"/>
    <w:rsid w:val="006B64C7"/>
    <w:rsid w:val="006B7CEA"/>
    <w:rsid w:val="006C7FEA"/>
    <w:rsid w:val="006D7C13"/>
    <w:rsid w:val="006E6385"/>
    <w:rsid w:val="007036A3"/>
    <w:rsid w:val="00711A9A"/>
    <w:rsid w:val="007541A7"/>
    <w:rsid w:val="00756448"/>
    <w:rsid w:val="007729F2"/>
    <w:rsid w:val="00792DD2"/>
    <w:rsid w:val="007C3883"/>
    <w:rsid w:val="007C3B22"/>
    <w:rsid w:val="007C75AA"/>
    <w:rsid w:val="007D2130"/>
    <w:rsid w:val="007F29C1"/>
    <w:rsid w:val="008016B8"/>
    <w:rsid w:val="00815929"/>
    <w:rsid w:val="00873716"/>
    <w:rsid w:val="00875026"/>
    <w:rsid w:val="008817B2"/>
    <w:rsid w:val="00896EF0"/>
    <w:rsid w:val="008A7DA5"/>
    <w:rsid w:val="008D2D22"/>
    <w:rsid w:val="009155A2"/>
    <w:rsid w:val="00946147"/>
    <w:rsid w:val="009B407F"/>
    <w:rsid w:val="009D224B"/>
    <w:rsid w:val="00A62E6B"/>
    <w:rsid w:val="00A85C7E"/>
    <w:rsid w:val="00AA307A"/>
    <w:rsid w:val="00AA48F8"/>
    <w:rsid w:val="00AA65C3"/>
    <w:rsid w:val="00AD38FB"/>
    <w:rsid w:val="00AF06A5"/>
    <w:rsid w:val="00AF6670"/>
    <w:rsid w:val="00AF7505"/>
    <w:rsid w:val="00B07CC7"/>
    <w:rsid w:val="00B20576"/>
    <w:rsid w:val="00B311C8"/>
    <w:rsid w:val="00B41A84"/>
    <w:rsid w:val="00B632DD"/>
    <w:rsid w:val="00B77321"/>
    <w:rsid w:val="00B80446"/>
    <w:rsid w:val="00BA4D2C"/>
    <w:rsid w:val="00BD3F1B"/>
    <w:rsid w:val="00C13773"/>
    <w:rsid w:val="00C2090E"/>
    <w:rsid w:val="00C406F1"/>
    <w:rsid w:val="00C4308F"/>
    <w:rsid w:val="00C636FD"/>
    <w:rsid w:val="00C64B11"/>
    <w:rsid w:val="00C71AC3"/>
    <w:rsid w:val="00C94673"/>
    <w:rsid w:val="00CF7BC5"/>
    <w:rsid w:val="00D16ECC"/>
    <w:rsid w:val="00D21141"/>
    <w:rsid w:val="00D366BE"/>
    <w:rsid w:val="00D45812"/>
    <w:rsid w:val="00D87D1A"/>
    <w:rsid w:val="00D90A71"/>
    <w:rsid w:val="00D92352"/>
    <w:rsid w:val="00DB283C"/>
    <w:rsid w:val="00DE037C"/>
    <w:rsid w:val="00DE11F8"/>
    <w:rsid w:val="00DE362F"/>
    <w:rsid w:val="00DE418B"/>
    <w:rsid w:val="00DE6EE7"/>
    <w:rsid w:val="00DF7AC9"/>
    <w:rsid w:val="00E1188D"/>
    <w:rsid w:val="00E300E8"/>
    <w:rsid w:val="00E36480"/>
    <w:rsid w:val="00E73FA9"/>
    <w:rsid w:val="00E969D8"/>
    <w:rsid w:val="00EA5200"/>
    <w:rsid w:val="00EB7DEE"/>
    <w:rsid w:val="00EF23D3"/>
    <w:rsid w:val="00EF790A"/>
    <w:rsid w:val="00EF7BC7"/>
    <w:rsid w:val="00F02F90"/>
    <w:rsid w:val="00F14E5B"/>
    <w:rsid w:val="00F23E30"/>
    <w:rsid w:val="00F25316"/>
    <w:rsid w:val="00F56AE8"/>
    <w:rsid w:val="00F65813"/>
    <w:rsid w:val="00F93A7A"/>
    <w:rsid w:val="00FB1E06"/>
    <w:rsid w:val="00FC7240"/>
    <w:rsid w:val="011138F0"/>
    <w:rsid w:val="018C7FE2"/>
    <w:rsid w:val="02536BD2"/>
    <w:rsid w:val="030518BB"/>
    <w:rsid w:val="03E42E9A"/>
    <w:rsid w:val="03F66D0E"/>
    <w:rsid w:val="044116F6"/>
    <w:rsid w:val="04B270C1"/>
    <w:rsid w:val="054020B2"/>
    <w:rsid w:val="055A3B91"/>
    <w:rsid w:val="05F1758E"/>
    <w:rsid w:val="061A7DF9"/>
    <w:rsid w:val="0695100B"/>
    <w:rsid w:val="071F05B5"/>
    <w:rsid w:val="075E2523"/>
    <w:rsid w:val="078B7A03"/>
    <w:rsid w:val="07B64236"/>
    <w:rsid w:val="08A93CEE"/>
    <w:rsid w:val="09BA5B2A"/>
    <w:rsid w:val="09DA4F52"/>
    <w:rsid w:val="09FB12FD"/>
    <w:rsid w:val="0B51102E"/>
    <w:rsid w:val="0B5B05C2"/>
    <w:rsid w:val="0B6D6647"/>
    <w:rsid w:val="0BB664A4"/>
    <w:rsid w:val="0BC85736"/>
    <w:rsid w:val="0BCF17D9"/>
    <w:rsid w:val="0C4F74F5"/>
    <w:rsid w:val="0C552FCB"/>
    <w:rsid w:val="0DD17E03"/>
    <w:rsid w:val="0DD237BC"/>
    <w:rsid w:val="0EF95E3E"/>
    <w:rsid w:val="0EFC1FA5"/>
    <w:rsid w:val="0F403993"/>
    <w:rsid w:val="0F4E3FAD"/>
    <w:rsid w:val="0F8E1513"/>
    <w:rsid w:val="10B96178"/>
    <w:rsid w:val="11234E2D"/>
    <w:rsid w:val="118969A8"/>
    <w:rsid w:val="127C06A1"/>
    <w:rsid w:val="1289719A"/>
    <w:rsid w:val="135C425F"/>
    <w:rsid w:val="13E048D2"/>
    <w:rsid w:val="1430702E"/>
    <w:rsid w:val="14CD263C"/>
    <w:rsid w:val="14F72BCE"/>
    <w:rsid w:val="15E10861"/>
    <w:rsid w:val="164129CA"/>
    <w:rsid w:val="166B7621"/>
    <w:rsid w:val="16A03762"/>
    <w:rsid w:val="177277A3"/>
    <w:rsid w:val="17BB757F"/>
    <w:rsid w:val="18295325"/>
    <w:rsid w:val="185C559A"/>
    <w:rsid w:val="186743B5"/>
    <w:rsid w:val="186B59DF"/>
    <w:rsid w:val="18793543"/>
    <w:rsid w:val="18FE0E90"/>
    <w:rsid w:val="194A79C2"/>
    <w:rsid w:val="1BA02772"/>
    <w:rsid w:val="1BCA303C"/>
    <w:rsid w:val="1CA13D9D"/>
    <w:rsid w:val="1CC9756C"/>
    <w:rsid w:val="1F221592"/>
    <w:rsid w:val="1FE53362"/>
    <w:rsid w:val="1FEFEC51"/>
    <w:rsid w:val="20854C4F"/>
    <w:rsid w:val="20951E81"/>
    <w:rsid w:val="209F02CD"/>
    <w:rsid w:val="21E4596C"/>
    <w:rsid w:val="22834F2F"/>
    <w:rsid w:val="22BF31CF"/>
    <w:rsid w:val="22E80836"/>
    <w:rsid w:val="23990716"/>
    <w:rsid w:val="24031B9D"/>
    <w:rsid w:val="24697450"/>
    <w:rsid w:val="247E617E"/>
    <w:rsid w:val="248A1E01"/>
    <w:rsid w:val="24AF12C8"/>
    <w:rsid w:val="24E355C6"/>
    <w:rsid w:val="25A45C5A"/>
    <w:rsid w:val="25DD03A3"/>
    <w:rsid w:val="263F5861"/>
    <w:rsid w:val="26E2325A"/>
    <w:rsid w:val="26F16050"/>
    <w:rsid w:val="270F17A0"/>
    <w:rsid w:val="28736E14"/>
    <w:rsid w:val="29117CAE"/>
    <w:rsid w:val="29420991"/>
    <w:rsid w:val="2A3D655B"/>
    <w:rsid w:val="2A461AE0"/>
    <w:rsid w:val="2A8342BC"/>
    <w:rsid w:val="2A9F2754"/>
    <w:rsid w:val="2AEE3ED8"/>
    <w:rsid w:val="2B044DC0"/>
    <w:rsid w:val="2B536596"/>
    <w:rsid w:val="2B7C7EE2"/>
    <w:rsid w:val="2BBF5E5B"/>
    <w:rsid w:val="2C3D33B6"/>
    <w:rsid w:val="2CCF5E45"/>
    <w:rsid w:val="2CFB648A"/>
    <w:rsid w:val="2EB85D4C"/>
    <w:rsid w:val="2EC905A9"/>
    <w:rsid w:val="2EE26B1C"/>
    <w:rsid w:val="2EEFAC4D"/>
    <w:rsid w:val="2F660650"/>
    <w:rsid w:val="300A63FA"/>
    <w:rsid w:val="30273E88"/>
    <w:rsid w:val="303C356D"/>
    <w:rsid w:val="312132A7"/>
    <w:rsid w:val="312524A7"/>
    <w:rsid w:val="31432160"/>
    <w:rsid w:val="316D0DA5"/>
    <w:rsid w:val="31AA06B9"/>
    <w:rsid w:val="32013B88"/>
    <w:rsid w:val="324A0061"/>
    <w:rsid w:val="32CC42E1"/>
    <w:rsid w:val="345D21C4"/>
    <w:rsid w:val="34C760A2"/>
    <w:rsid w:val="35316FEE"/>
    <w:rsid w:val="35455B73"/>
    <w:rsid w:val="357A2FAC"/>
    <w:rsid w:val="358414BF"/>
    <w:rsid w:val="3778260F"/>
    <w:rsid w:val="396024B0"/>
    <w:rsid w:val="3A5A39CC"/>
    <w:rsid w:val="3AF439F8"/>
    <w:rsid w:val="3C9157EA"/>
    <w:rsid w:val="3DD50305"/>
    <w:rsid w:val="3EB954B1"/>
    <w:rsid w:val="3FE04752"/>
    <w:rsid w:val="40042C13"/>
    <w:rsid w:val="41297D82"/>
    <w:rsid w:val="42004FD7"/>
    <w:rsid w:val="42012A59"/>
    <w:rsid w:val="422C6789"/>
    <w:rsid w:val="428B67D2"/>
    <w:rsid w:val="429A1453"/>
    <w:rsid w:val="42AD4DDA"/>
    <w:rsid w:val="42D55C9F"/>
    <w:rsid w:val="42E255CA"/>
    <w:rsid w:val="432937C0"/>
    <w:rsid w:val="43474762"/>
    <w:rsid w:val="435D1690"/>
    <w:rsid w:val="44BB100A"/>
    <w:rsid w:val="452224A8"/>
    <w:rsid w:val="453A6A23"/>
    <w:rsid w:val="45B50693"/>
    <w:rsid w:val="46DB3B06"/>
    <w:rsid w:val="479569BC"/>
    <w:rsid w:val="48E267B4"/>
    <w:rsid w:val="48FC278B"/>
    <w:rsid w:val="492A6C99"/>
    <w:rsid w:val="49AD5887"/>
    <w:rsid w:val="49AD5BED"/>
    <w:rsid w:val="49E423B4"/>
    <w:rsid w:val="4A423EE2"/>
    <w:rsid w:val="4A525D6E"/>
    <w:rsid w:val="4A863467"/>
    <w:rsid w:val="4AAC4850"/>
    <w:rsid w:val="4BEFC9CB"/>
    <w:rsid w:val="4CE00837"/>
    <w:rsid w:val="4CE52F83"/>
    <w:rsid w:val="4EC35C45"/>
    <w:rsid w:val="4F323574"/>
    <w:rsid w:val="4FB85D49"/>
    <w:rsid w:val="5010744B"/>
    <w:rsid w:val="504B2249"/>
    <w:rsid w:val="50BC7085"/>
    <w:rsid w:val="50E172E3"/>
    <w:rsid w:val="51A452F8"/>
    <w:rsid w:val="51D814B1"/>
    <w:rsid w:val="5296022B"/>
    <w:rsid w:val="536B7291"/>
    <w:rsid w:val="53F16BC7"/>
    <w:rsid w:val="5455702E"/>
    <w:rsid w:val="54B00DFC"/>
    <w:rsid w:val="55850C4A"/>
    <w:rsid w:val="56545054"/>
    <w:rsid w:val="56625A69"/>
    <w:rsid w:val="5668404C"/>
    <w:rsid w:val="56AD10C8"/>
    <w:rsid w:val="56D133FC"/>
    <w:rsid w:val="56FC33A3"/>
    <w:rsid w:val="56FF4A5D"/>
    <w:rsid w:val="586B78C6"/>
    <w:rsid w:val="596F2BE8"/>
    <w:rsid w:val="59741D06"/>
    <w:rsid w:val="5987ABDA"/>
    <w:rsid w:val="5A684C17"/>
    <w:rsid w:val="5A7308B3"/>
    <w:rsid w:val="5AC60A34"/>
    <w:rsid w:val="5ADE798F"/>
    <w:rsid w:val="5BB573ED"/>
    <w:rsid w:val="5CBA5BAE"/>
    <w:rsid w:val="5D3C3D86"/>
    <w:rsid w:val="5D7673E3"/>
    <w:rsid w:val="5D976E4C"/>
    <w:rsid w:val="5DAA2129"/>
    <w:rsid w:val="5DE7D54E"/>
    <w:rsid w:val="5DFD05EA"/>
    <w:rsid w:val="5E1C2248"/>
    <w:rsid w:val="5E82081A"/>
    <w:rsid w:val="5F436A23"/>
    <w:rsid w:val="5FFF3862"/>
    <w:rsid w:val="600E62D0"/>
    <w:rsid w:val="616642AB"/>
    <w:rsid w:val="61B13C78"/>
    <w:rsid w:val="61C61346"/>
    <w:rsid w:val="621E6E07"/>
    <w:rsid w:val="624A590A"/>
    <w:rsid w:val="631A1780"/>
    <w:rsid w:val="63B95393"/>
    <w:rsid w:val="63C910B3"/>
    <w:rsid w:val="63CC51B9"/>
    <w:rsid w:val="63D0424F"/>
    <w:rsid w:val="63FC04B5"/>
    <w:rsid w:val="64794FF1"/>
    <w:rsid w:val="64944A09"/>
    <w:rsid w:val="655E4D66"/>
    <w:rsid w:val="664A6C45"/>
    <w:rsid w:val="67523C88"/>
    <w:rsid w:val="67694D5A"/>
    <w:rsid w:val="67767967"/>
    <w:rsid w:val="67A64D4F"/>
    <w:rsid w:val="684C260A"/>
    <w:rsid w:val="686739D9"/>
    <w:rsid w:val="68F25ADB"/>
    <w:rsid w:val="69044EE6"/>
    <w:rsid w:val="693C1432"/>
    <w:rsid w:val="69CB17E3"/>
    <w:rsid w:val="6A062180"/>
    <w:rsid w:val="6AB63450"/>
    <w:rsid w:val="6AEFF769"/>
    <w:rsid w:val="6B4F21E3"/>
    <w:rsid w:val="6B580922"/>
    <w:rsid w:val="6BA53BB1"/>
    <w:rsid w:val="6CFA3457"/>
    <w:rsid w:val="6D2A3820"/>
    <w:rsid w:val="6D7762A4"/>
    <w:rsid w:val="6E821B9D"/>
    <w:rsid w:val="6EDE7B06"/>
    <w:rsid w:val="6EE91C12"/>
    <w:rsid w:val="6F977CB5"/>
    <w:rsid w:val="6FBDA577"/>
    <w:rsid w:val="6FD80A33"/>
    <w:rsid w:val="700965DD"/>
    <w:rsid w:val="700A038D"/>
    <w:rsid w:val="705C29FB"/>
    <w:rsid w:val="705C4D63"/>
    <w:rsid w:val="70A01FD4"/>
    <w:rsid w:val="70AF1A0F"/>
    <w:rsid w:val="70B8767B"/>
    <w:rsid w:val="71C33C4E"/>
    <w:rsid w:val="726C7FC6"/>
    <w:rsid w:val="727603A8"/>
    <w:rsid w:val="7420091C"/>
    <w:rsid w:val="7470673D"/>
    <w:rsid w:val="75015B2D"/>
    <w:rsid w:val="752814FA"/>
    <w:rsid w:val="75874AC7"/>
    <w:rsid w:val="75CC668B"/>
    <w:rsid w:val="76171B4F"/>
    <w:rsid w:val="76A93524"/>
    <w:rsid w:val="771A36A5"/>
    <w:rsid w:val="77A25516"/>
    <w:rsid w:val="78762B5D"/>
    <w:rsid w:val="78D42EC5"/>
    <w:rsid w:val="78E73168"/>
    <w:rsid w:val="78FEB2DD"/>
    <w:rsid w:val="791A1C51"/>
    <w:rsid w:val="79375B6F"/>
    <w:rsid w:val="7A543372"/>
    <w:rsid w:val="7A6DC111"/>
    <w:rsid w:val="7B9C3B6D"/>
    <w:rsid w:val="7BD519B1"/>
    <w:rsid w:val="7BE514F9"/>
    <w:rsid w:val="7CA5738C"/>
    <w:rsid w:val="7CE710FA"/>
    <w:rsid w:val="7D206040"/>
    <w:rsid w:val="7D2771C3"/>
    <w:rsid w:val="7D5207A9"/>
    <w:rsid w:val="7DB67EC7"/>
    <w:rsid w:val="7E1B5A61"/>
    <w:rsid w:val="7E532EA4"/>
    <w:rsid w:val="7F466F7C"/>
    <w:rsid w:val="7FC6022D"/>
    <w:rsid w:val="7FFF4305"/>
    <w:rsid w:val="99E770A6"/>
    <w:rsid w:val="9AF78710"/>
    <w:rsid w:val="A722E11B"/>
    <w:rsid w:val="ADDB4D56"/>
    <w:rsid w:val="CD774BDF"/>
    <w:rsid w:val="EE771FB5"/>
    <w:rsid w:val="EF7FD86E"/>
    <w:rsid w:val="EFFF13D3"/>
    <w:rsid w:val="F3BFBCC8"/>
    <w:rsid w:val="FAFF4215"/>
    <w:rsid w:val="FAFFFC0C"/>
    <w:rsid w:val="FB5BA972"/>
    <w:rsid w:val="FBBC3B57"/>
    <w:rsid w:val="FCFD6BEF"/>
    <w:rsid w:val="FE794BF7"/>
    <w:rsid w:val="FE9F2082"/>
    <w:rsid w:val="FEDFD338"/>
    <w:rsid w:val="FEF72C51"/>
    <w:rsid w:val="FF5D2C13"/>
    <w:rsid w:val="FFEEEA40"/>
    <w:rsid w:val="FFEEED7E"/>
    <w:rsid w:val="FFFFA6A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uppressAutoHyphens/>
      <w:bidi w:val="0"/>
      <w:spacing w:beforeLines="0" w:beforeAutospacing="0" w:afterLines="0" w:afterAutospacing="0" w:line="576" w:lineRule="exact"/>
      <w:jc w:val="center"/>
      <w:outlineLvl w:val="0"/>
    </w:pPr>
    <w:rPr>
      <w:rFonts w:ascii="Times New Roman" w:hAnsi="Times New Roman" w:eastAsia="方正小标宋简体"/>
      <w:kern w:val="44"/>
      <w:sz w:val="44"/>
      <w:szCs w:val="20"/>
    </w:rPr>
  </w:style>
  <w:style w:type="character" w:default="1" w:styleId="13">
    <w:name w:val="Default Paragraph Font"/>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Body Text"/>
    <w:basedOn w:val="1"/>
    <w:semiHidden/>
    <w:qFormat/>
    <w:uiPriority w:val="0"/>
    <w:rPr>
      <w:rFonts w:ascii="方正小标宋_GBK" w:hAnsi="方正小标宋_GBK" w:eastAsia="方正小标宋_GBK" w:cs="方正小标宋_GBK"/>
      <w:sz w:val="21"/>
      <w:szCs w:val="21"/>
      <w:lang w:val="en-US" w:eastAsia="en-US" w:bidi="ar-SA"/>
    </w:rPr>
  </w:style>
  <w:style w:type="paragraph" w:styleId="4">
    <w:name w:val="Body Text Indent"/>
    <w:basedOn w:val="1"/>
    <w:qFormat/>
    <w:uiPriority w:val="0"/>
    <w:pPr>
      <w:spacing w:line="520" w:lineRule="exact"/>
      <w:ind w:firstLine="648" w:firstLineChars="200"/>
    </w:pPr>
    <w:rPr>
      <w:rFonts w:ascii="仿宋_GB2312"/>
    </w:rPr>
  </w:style>
  <w:style w:type="paragraph" w:styleId="5">
    <w:name w:val="Plain Text"/>
    <w:basedOn w:val="1"/>
    <w:unhideWhenUsed/>
    <w:qFormat/>
    <w:uiPriority w:val="99"/>
    <w:pPr>
      <w:suppressAutoHyphens/>
      <w:bidi w:val="0"/>
    </w:pPr>
    <w:rPr>
      <w:rFonts w:ascii="宋体" w:hAnsi="Courier New" w:eastAsia="仿宋_GB2312" w:cs="Courier New"/>
      <w:sz w:val="32"/>
      <w:szCs w:val="21"/>
    </w:rPr>
  </w:style>
  <w:style w:type="paragraph" w:styleId="6">
    <w:name w:val="footer"/>
    <w:basedOn w:val="1"/>
    <w:link w:val="17"/>
    <w:unhideWhenUsed/>
    <w:qFormat/>
    <w:uiPriority w:val="99"/>
    <w:pPr>
      <w:tabs>
        <w:tab w:val="center" w:pos="4153"/>
        <w:tab w:val="right" w:pos="8306"/>
      </w:tabs>
      <w:snapToGrid w:val="0"/>
      <w:jc w:val="left"/>
    </w:pPr>
    <w:rPr>
      <w:sz w:val="18"/>
      <w:szCs w:val="18"/>
    </w:rPr>
  </w:style>
  <w:style w:type="paragraph" w:styleId="7">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link w:val="18"/>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qFormat/>
    <w:uiPriority w:val="0"/>
    <w:pPr>
      <w:widowControl/>
      <w:jc w:val="left"/>
    </w:pPr>
    <w:rPr>
      <w:rFonts w:ascii="宋体" w:hAnsi="宋体" w:cs="宋体"/>
      <w:kern w:val="0"/>
      <w:sz w:val="24"/>
      <w:szCs w:val="24"/>
    </w:rPr>
  </w:style>
  <w:style w:type="paragraph" w:styleId="10">
    <w:name w:val="Body Text First Indent 2"/>
    <w:basedOn w:val="4"/>
    <w:qFormat/>
    <w:uiPriority w:val="0"/>
    <w:pPr>
      <w:ind w:firstLine="420" w:firstLineChars="200"/>
    </w:pPr>
  </w:style>
  <w:style w:type="table" w:styleId="12">
    <w:name w:val="Table Grid"/>
    <w:basedOn w:val="11"/>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4">
    <w:name w:val="Strong"/>
    <w:basedOn w:val="13"/>
    <w:qFormat/>
    <w:uiPriority w:val="22"/>
    <w:rPr>
      <w:b/>
      <w:bCs/>
    </w:rPr>
  </w:style>
  <w:style w:type="character" w:styleId="15">
    <w:name w:val="Hyperlink"/>
    <w:basedOn w:val="13"/>
    <w:semiHidden/>
    <w:unhideWhenUsed/>
    <w:qFormat/>
    <w:uiPriority w:val="99"/>
    <w:rPr>
      <w:color w:val="0000FF"/>
      <w:u w:val="single"/>
    </w:rPr>
  </w:style>
  <w:style w:type="character" w:customStyle="1" w:styleId="16">
    <w:name w:val="页眉 Char"/>
    <w:basedOn w:val="13"/>
    <w:link w:val="7"/>
    <w:semiHidden/>
    <w:qFormat/>
    <w:uiPriority w:val="99"/>
    <w:rPr>
      <w:sz w:val="18"/>
      <w:szCs w:val="18"/>
    </w:rPr>
  </w:style>
  <w:style w:type="character" w:customStyle="1" w:styleId="17">
    <w:name w:val="页脚 Char"/>
    <w:basedOn w:val="13"/>
    <w:link w:val="6"/>
    <w:qFormat/>
    <w:uiPriority w:val="99"/>
    <w:rPr>
      <w:sz w:val="18"/>
      <w:szCs w:val="18"/>
    </w:rPr>
  </w:style>
  <w:style w:type="character" w:customStyle="1" w:styleId="18">
    <w:name w:val="HTML 预设格式 Char"/>
    <w:basedOn w:val="13"/>
    <w:link w:val="8"/>
    <w:semiHidden/>
    <w:qFormat/>
    <w:uiPriority w:val="99"/>
    <w:rPr>
      <w:rFonts w:ascii="宋体" w:hAnsi="宋体" w:eastAsia="宋体" w:cs="宋体"/>
      <w:sz w:val="24"/>
      <w:szCs w:val="24"/>
    </w:rPr>
  </w:style>
  <w:style w:type="paragraph" w:customStyle="1" w:styleId="19">
    <w:name w:val="index 61"/>
    <w:basedOn w:val="1"/>
    <w:next w:val="1"/>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23</Pages>
  <Words>18909</Words>
  <Characters>18986</Characters>
  <Lines>124</Lines>
  <Paragraphs>35</Paragraphs>
  <TotalTime>21</TotalTime>
  <ScaleCrop>false</ScaleCrop>
  <LinksUpToDate>false</LinksUpToDate>
  <CharactersWithSpaces>19070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2024-01-20T02:34:00Z</dcterms:created>
  <dc:creator>xbany</dc:creator>
  <cp:lastModifiedBy>抹茶落季</cp:lastModifiedBy>
  <cp:lastPrinted>2026-06-23T16:53:00Z</cp:lastPrinted>
  <dcterms:modified xsi:type="dcterms:W3CDTF">2026-07-07T05:30:42Z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7187B992828B2B29B6C0AF6952B53C2F_43</vt:lpwstr>
  </property>
  <property fmtid="{D5CDD505-2E9C-101B-9397-08002B2CF9AE}" pid="4" name="KSOTemplateDocerSaveRecord">
    <vt:lpwstr>eyJoZGlkIjoiNjY4ZTZhODdkNWYxMDRlM2Q3OGI1ZmMyZDRiN2YyMzciLCJ1c2VySWQiOiIzMDEwNTkyODIifQ==</vt:lpwstr>
  </property>
</Properties>
</file>