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0"/>
          <w:szCs w:val="30"/>
          <w:lang w:val="en-US" w:eastAsia="zh-CN"/>
        </w:rPr>
        <w:t>张掖市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晋昌源煤业有限公司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22</w:t>
      </w:r>
      <w:r>
        <w:rPr>
          <w:rFonts w:hint="default" w:ascii="Times New Roman" w:hAnsi="Times New Roman" w:cs="Times New Roman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第一季</w:t>
      </w:r>
      <w:r>
        <w:rPr>
          <w:rFonts w:hint="default" w:ascii="Times New Roman" w:hAnsi="Times New Roman" w:cs="Times New Roman"/>
          <w:b/>
          <w:bCs/>
          <w:sz w:val="30"/>
          <w:szCs w:val="30"/>
          <w:lang w:val="en-US" w:eastAsia="zh-CN"/>
        </w:rPr>
        <w:t>度环境信息公开内容表</w:t>
      </w:r>
    </w:p>
    <w:tbl>
      <w:tblPr>
        <w:tblStyle w:val="3"/>
        <w:tblW w:w="888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509"/>
        <w:gridCol w:w="901"/>
        <w:gridCol w:w="855"/>
        <w:gridCol w:w="1139"/>
        <w:gridCol w:w="30"/>
        <w:gridCol w:w="392"/>
        <w:gridCol w:w="538"/>
        <w:gridCol w:w="249"/>
        <w:gridCol w:w="351"/>
        <w:gridCol w:w="585"/>
        <w:gridCol w:w="676"/>
        <w:gridCol w:w="58"/>
        <w:gridCol w:w="481"/>
        <w:gridCol w:w="616"/>
        <w:gridCol w:w="95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89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  <w:t>基本信息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6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4455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张掖市晋昌源煤业有限公司</w:t>
            </w:r>
          </w:p>
        </w:tc>
        <w:tc>
          <w:tcPr>
            <w:tcW w:w="131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20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丁宝忠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6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3554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91620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724551275019N</w:t>
            </w:r>
          </w:p>
        </w:tc>
        <w:tc>
          <w:tcPr>
            <w:tcW w:w="131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0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0936-6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677066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6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生产地址</w:t>
            </w:r>
          </w:p>
        </w:tc>
        <w:tc>
          <w:tcPr>
            <w:tcW w:w="7824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张掖市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高台县火车站西南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89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生产经营和管理服务的主要内容、生产工艺、产品及规模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89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生产经营和管理情况：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该公司 20 万吨/年中温焦油加氢处理项目建有中温煤焦油生产线一条，主要的生产设备有 PSA 吸附塔、常压塔、减压塔、稳定塔、分馏塔、加氢预处理反应器、加氢裂化反应器、加氢精制反应器、干气脱硫塔、沥青改质反应器、闪蒸油、加热炉、分离器等。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生产工艺及产品情况：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中温煤焦油经脱水、脱盐、脱渣处理后与原煤经水煤浆气化、变压吸附（PSA）产生的氢气，通过加氢精制反应和加氢裂化反应，在一定温度、压力和氢油比、空速条件下，通过催化反应，把油品中的非烃类化合物转化成相应的烃类，脱除硫化氢、氨和水，得到1#精制油、2#精制油，副产硫磺、液氨、固体沥青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89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排污信息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105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执行的污染物排放标准</w:t>
            </w:r>
          </w:p>
        </w:tc>
        <w:tc>
          <w:tcPr>
            <w:tcW w:w="278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核定的污染物排放量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105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1.《大气污染物综合排放标准》（GB16297-1996）；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2.《石油化学工业污染物》（GB31571-2015）；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2.《恶臭污染物排放标准》（GB14554-93）；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3.《锅炉大气污染物排放标准》（GB13271-2014）；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4.《工业企业厂界环境噪声排放标准》（GB12348-2008）；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5.《城市污水再生利用 工业用水水质》（GB/T19923-2005）；</w:t>
            </w:r>
          </w:p>
        </w:tc>
        <w:tc>
          <w:tcPr>
            <w:tcW w:w="278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颗粒物2.24t/a；</w:t>
            </w:r>
          </w:p>
          <w:p>
            <w:pPr>
              <w:jc w:val="center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二氧化硫5.16t/a；</w:t>
            </w:r>
          </w:p>
          <w:p>
            <w:pPr>
              <w:jc w:val="center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氮氧化物7.79t/a</w:t>
            </w:r>
          </w:p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挥发性有机物17.52t/a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6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主要污染物及特征污染物排放情况</w:t>
            </w:r>
          </w:p>
        </w:tc>
        <w:tc>
          <w:tcPr>
            <w:tcW w:w="385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废水</w:t>
            </w:r>
          </w:p>
        </w:tc>
        <w:tc>
          <w:tcPr>
            <w:tcW w:w="3969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废气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6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名称</w:t>
            </w:r>
          </w:p>
        </w:tc>
        <w:tc>
          <w:tcPr>
            <w:tcW w:w="113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排放浓度</w:t>
            </w:r>
          </w:p>
          <w:p>
            <w:pPr>
              <w:jc w:val="center"/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（mg/L）</w:t>
            </w:r>
          </w:p>
        </w:tc>
        <w:tc>
          <w:tcPr>
            <w:tcW w:w="9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排放量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(t/m)</w:t>
            </w:r>
          </w:p>
        </w:tc>
        <w:tc>
          <w:tcPr>
            <w:tcW w:w="118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名称</w:t>
            </w:r>
          </w:p>
        </w:tc>
        <w:tc>
          <w:tcPr>
            <w:tcW w:w="121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排放浓度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（mg/m</w:t>
            </w:r>
            <w:r>
              <w:rPr>
                <w:rFonts w:hint="eastAsia" w:ascii="Times New Roman" w:hAnsi="Times New Roman" w:cs="Times New Roman"/>
                <w:b/>
                <w:bCs/>
                <w:vertAlign w:val="superscript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）</w:t>
            </w:r>
          </w:p>
        </w:tc>
        <w:tc>
          <w:tcPr>
            <w:tcW w:w="15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排放量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(t)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6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化学需氧量</w:t>
            </w:r>
          </w:p>
        </w:tc>
        <w:tc>
          <w:tcPr>
            <w:tcW w:w="113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/</w:t>
            </w:r>
          </w:p>
        </w:tc>
        <w:tc>
          <w:tcPr>
            <w:tcW w:w="9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/</w:t>
            </w:r>
          </w:p>
        </w:tc>
        <w:tc>
          <w:tcPr>
            <w:tcW w:w="118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烟尘</w:t>
            </w:r>
          </w:p>
        </w:tc>
        <w:tc>
          <w:tcPr>
            <w:tcW w:w="121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/</w:t>
            </w:r>
          </w:p>
        </w:tc>
        <w:tc>
          <w:tcPr>
            <w:tcW w:w="15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0.227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6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氨氮</w:t>
            </w:r>
          </w:p>
        </w:tc>
        <w:tc>
          <w:tcPr>
            <w:tcW w:w="113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/</w:t>
            </w:r>
          </w:p>
        </w:tc>
        <w:tc>
          <w:tcPr>
            <w:tcW w:w="9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/</w:t>
            </w:r>
          </w:p>
        </w:tc>
        <w:tc>
          <w:tcPr>
            <w:tcW w:w="118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121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/</w:t>
            </w:r>
          </w:p>
        </w:tc>
        <w:tc>
          <w:tcPr>
            <w:tcW w:w="15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2.907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6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五日生化需氧量</w:t>
            </w:r>
          </w:p>
        </w:tc>
        <w:tc>
          <w:tcPr>
            <w:tcW w:w="113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/</w:t>
            </w:r>
          </w:p>
        </w:tc>
        <w:tc>
          <w:tcPr>
            <w:tcW w:w="9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/</w:t>
            </w:r>
          </w:p>
        </w:tc>
        <w:tc>
          <w:tcPr>
            <w:tcW w:w="118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氮氧化物</w:t>
            </w:r>
          </w:p>
        </w:tc>
        <w:tc>
          <w:tcPr>
            <w:tcW w:w="121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/</w:t>
            </w:r>
          </w:p>
        </w:tc>
        <w:tc>
          <w:tcPr>
            <w:tcW w:w="15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0.346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6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18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VOCs</w:t>
            </w:r>
          </w:p>
        </w:tc>
        <w:tc>
          <w:tcPr>
            <w:tcW w:w="121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/</w:t>
            </w:r>
          </w:p>
        </w:tc>
        <w:tc>
          <w:tcPr>
            <w:tcW w:w="15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0.781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06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达标排放情况</w:t>
            </w:r>
          </w:p>
        </w:tc>
        <w:tc>
          <w:tcPr>
            <w:tcW w:w="7824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燃气锅炉排气筒：颗粒物  9.8mg/m³，SO</w:t>
            </w:r>
            <w:r>
              <w:rPr>
                <w:rFonts w:hint="eastAsia" w:ascii="Times New Roman" w:hAnsi="Times New Roman" w:cs="Times New Roman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 xml:space="preserve">  20mg/m³，NOx  90mg/m³,林格曼黑度＜1，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均达标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；原煤破碎废气处理设施：颗粒物  46 mg/m³，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达标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 xml:space="preserve">；脱碳解析废气处理设施排气筒：VOCs 42.5mg/m³, 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达标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；油气回收废气处理设施后排气筒：苯并[a]芘 0.00003 mg/m³，沥青烟 51mg/m³，VOCs 18.2 mg/m³，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均达标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；污水处理站除臭装置后排放口：NH</w:t>
            </w:r>
            <w:r>
              <w:rPr>
                <w:rFonts w:hint="eastAsia" w:ascii="Times New Roman" w:hAnsi="Times New Roman" w:cs="Times New Roman"/>
                <w:vertAlign w:val="subscript"/>
                <w:lang w:val="en-US" w:eastAsia="zh-CN"/>
              </w:rPr>
              <w:t xml:space="preserve">3 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 xml:space="preserve"> 0.002mg/m³，H</w:t>
            </w:r>
            <w:r>
              <w:rPr>
                <w:rFonts w:hint="eastAsia" w:ascii="Times New Roman" w:hAnsi="Times New Roman" w:cs="Times New Roman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  3.1×10</w:t>
            </w:r>
            <w:r>
              <w:rPr>
                <w:rFonts w:hint="eastAsia" w:ascii="Times New Roman" w:hAnsi="Times New Roman" w:cs="Times New Roman"/>
                <w:vertAlign w:val="superscript"/>
                <w:lang w:val="en-US" w:eastAsia="zh-CN"/>
              </w:rPr>
              <w:t xml:space="preserve">-4 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mg/m³，苯  2.9 mg/m³，VOCs 17.8mg/m³，臭气浓度 549 ，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均达标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。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检测报告编号：甘沁环字[2021]第360号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106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排放方式、排放口数量和分布情况</w:t>
            </w:r>
          </w:p>
        </w:tc>
        <w:tc>
          <w:tcPr>
            <w:tcW w:w="331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项目生产生活废水均不外排，全部回用于生产。</w:t>
            </w:r>
          </w:p>
        </w:tc>
        <w:tc>
          <w:tcPr>
            <w:tcW w:w="4507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原煤破碎废气排放口，编号DA001；脱碳解析气排放口，编号DA002；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原料预处理加热炉废气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排放口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，编号DA003；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加氢装置裂化加热炉废气排放口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，编号DA004；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加氢装置精制加热炉废气排放口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，编号DA005；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加氢装置分馏再沸炉废气排放口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，编号DA006；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污水处理站废气排放口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，编号DA007；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锅炉尾气排放口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编号DA008；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高架火炬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编号DA009；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油气回收尾气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编号DA010；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6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固体废物、危险废物情况</w:t>
            </w:r>
          </w:p>
        </w:tc>
        <w:tc>
          <w:tcPr>
            <w:tcW w:w="331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一般固体废物</w:t>
            </w:r>
          </w:p>
        </w:tc>
        <w:tc>
          <w:tcPr>
            <w:tcW w:w="4507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危险固体废物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转运情况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6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331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生活垃圾30t</w:t>
            </w:r>
          </w:p>
        </w:tc>
        <w:tc>
          <w:tcPr>
            <w:tcW w:w="4507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结晶混盐委托甘肃亿成环境科技有限公司处置65.1吨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89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防止污染设施的建设和运行情况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89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1.废气：原煤破碎废气采用袋式除尘器工艺；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原料预处理加热炉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加氢装置裂化加热炉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加氢装置精制加热炉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及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加氢装置分馏再沸炉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采用脱硫脱氮净化燃料气；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污水处理站废气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采用“加盖收集送生物活性吸附”工艺；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锅炉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采用脱硫脱氮净化燃料气；</w:t>
            </w: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油气回收尾气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采用溶剂洗涤冷凝回收工艺；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产品烘干粉尘分别采用“水喷淋除尘”和“布袋除尘+水喷淋”除尘工艺，所有废气经各环保污染治理设施处理达到排放标准限值后排放；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.废水：项目生产运营期气化灰水、含油污水、生活污水经"均质调节罐+混凝沉淀+油水分离+高级氧化+混凝沉淀+生化+微孔陶瓷过滤+活性碳过滤+消毒"等设施处理；含盐废水（主要包括脱盐水站排水、生活用水净化系统、生产用水净化系统）采用"超滤+反渗透处理工艺"处理，所有废水经处理满足《城市污水再生利用 工业用水水质》（GB/T19923-2005）标准返回闭式循环水场外循环系统循环使用；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3.厂区各高噪声设备经采取基础减噪、设备降噪、距离衰减等措施后，可满足《工业企业厂界环境噪声排放标准》（GB12348-2008）3类区标准要求。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89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建设项目环境影响评价结果（多个项目分别填写）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5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3434" w:type="dxa"/>
            <w:gridSpan w:val="5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建设项目名称</w:t>
            </w:r>
          </w:p>
        </w:tc>
        <w:tc>
          <w:tcPr>
            <w:tcW w:w="4899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环境影响评价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3434" w:type="dxa"/>
            <w:gridSpan w:val="5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17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审批单位</w:t>
            </w:r>
          </w:p>
        </w:tc>
        <w:tc>
          <w:tcPr>
            <w:tcW w:w="161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批准文号</w:t>
            </w:r>
          </w:p>
        </w:tc>
        <w:tc>
          <w:tcPr>
            <w:tcW w:w="11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批准时间</w:t>
            </w: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343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张掖市晋昌源煤业有限公司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20万吨/年中温焦油加氢处理项目</w:t>
            </w:r>
          </w:p>
        </w:tc>
        <w:tc>
          <w:tcPr>
            <w:tcW w:w="117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张掖市环境保护局</w:t>
            </w:r>
          </w:p>
        </w:tc>
        <w:tc>
          <w:tcPr>
            <w:tcW w:w="161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张环评发</w:t>
            </w:r>
            <w:r>
              <w:rPr>
                <w:rFonts w:hint="default" w:ascii="Times New Roman" w:hAnsi="Times New Roman" w:eastAsia="宋体" w:cs="Times New Roman"/>
                <w:vertAlign w:val="baseline"/>
                <w:lang w:val="en-US" w:eastAsia="zh-CN"/>
              </w:rPr>
              <w:t>〔201</w:t>
            </w: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vertAlign w:val="baseline"/>
                <w:lang w:val="en-US" w:eastAsia="zh-CN"/>
              </w:rPr>
              <w:t>〕</w:t>
            </w: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109</w:t>
            </w:r>
            <w:r>
              <w:rPr>
                <w:rFonts w:hint="default" w:ascii="Times New Roman" w:hAnsi="Times New Roman" w:eastAsia="宋体" w:cs="Times New Roman"/>
                <w:vertAlign w:val="baseline"/>
                <w:lang w:val="en-US" w:eastAsia="zh-CN"/>
              </w:rPr>
              <w:t>号</w:t>
            </w:r>
          </w:p>
        </w:tc>
        <w:tc>
          <w:tcPr>
            <w:tcW w:w="11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2015年12月30日</w:t>
            </w: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343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张掖市晋昌源煤业有限公司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20万吨/年中温焦油加氢配套项目</w:t>
            </w:r>
          </w:p>
        </w:tc>
        <w:tc>
          <w:tcPr>
            <w:tcW w:w="117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张掖市环境保护局</w:t>
            </w:r>
          </w:p>
        </w:tc>
        <w:tc>
          <w:tcPr>
            <w:tcW w:w="161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张环评发</w:t>
            </w:r>
            <w:r>
              <w:rPr>
                <w:rFonts w:hint="default" w:ascii="Times New Roman" w:hAnsi="Times New Roman" w:eastAsia="宋体" w:cs="Times New Roman"/>
                <w:vertAlign w:val="baseline"/>
                <w:lang w:val="en-US" w:eastAsia="zh-CN"/>
              </w:rPr>
              <w:t>〔201</w:t>
            </w: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vertAlign w:val="baseline"/>
                <w:lang w:val="en-US" w:eastAsia="zh-CN"/>
              </w:rPr>
              <w:t>〕</w:t>
            </w: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vertAlign w:val="baseline"/>
                <w:lang w:val="en-US" w:eastAsia="zh-CN"/>
              </w:rPr>
              <w:t>号</w:t>
            </w:r>
          </w:p>
        </w:tc>
        <w:tc>
          <w:tcPr>
            <w:tcW w:w="11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2019年1月4日</w:t>
            </w: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3</w:t>
            </w:r>
          </w:p>
        </w:tc>
        <w:tc>
          <w:tcPr>
            <w:tcW w:w="343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张掖市晋昌源煤业有限公司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20万吨/年中温焦油加氢处理项目110kv变电站</w:t>
            </w:r>
          </w:p>
        </w:tc>
        <w:tc>
          <w:tcPr>
            <w:tcW w:w="117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张掖市环境保护局</w:t>
            </w:r>
          </w:p>
        </w:tc>
        <w:tc>
          <w:tcPr>
            <w:tcW w:w="161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张环评发</w:t>
            </w:r>
            <w:r>
              <w:rPr>
                <w:rFonts w:hint="default" w:ascii="Times New Roman" w:hAnsi="Times New Roman" w:eastAsia="宋体" w:cs="Times New Roman"/>
                <w:vertAlign w:val="baseline"/>
                <w:lang w:val="en-US" w:eastAsia="zh-CN"/>
              </w:rPr>
              <w:t>〔2018〕</w:t>
            </w: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宋体" w:cs="Times New Roman"/>
                <w:vertAlign w:val="baseline"/>
                <w:lang w:val="en-US" w:eastAsia="zh-CN"/>
              </w:rPr>
              <w:t>号</w:t>
            </w:r>
          </w:p>
        </w:tc>
        <w:tc>
          <w:tcPr>
            <w:tcW w:w="11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2018年3月6日</w:t>
            </w: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89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环境保护行政许可情况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89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2021年9月9日张掖市生态环境局颁发了排污许可证（证书编号：91620724551275019N001X），并在国家排污系统中进行了申报。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89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突发环境事件应急预案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89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2020年12月甘肃聚泰园环保科技有限公司编制了《张掖市晋昌源煤业有限公司突发环境事件应急预案》，张掖市生态环境局高台分局对预案进行了备案登记（备案编号：6207242021011M）。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89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其他环境信息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89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无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100" w:right="1800" w:bottom="1043" w:left="140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6115A"/>
    <w:rsid w:val="0EF54B65"/>
    <w:rsid w:val="2C2C69D4"/>
    <w:rsid w:val="2C4D1E80"/>
    <w:rsid w:val="2D606054"/>
    <w:rsid w:val="30347BAD"/>
    <w:rsid w:val="30B57F1F"/>
    <w:rsid w:val="3704001A"/>
    <w:rsid w:val="3B3F72B5"/>
    <w:rsid w:val="3E880AAE"/>
    <w:rsid w:val="41420AEF"/>
    <w:rsid w:val="46175611"/>
    <w:rsid w:val="47605340"/>
    <w:rsid w:val="5D7C3EA3"/>
    <w:rsid w:val="7409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李志明</cp:lastModifiedBy>
  <cp:lastPrinted>2018-08-10T07:51:00Z</cp:lastPrinted>
  <dcterms:modified xsi:type="dcterms:W3CDTF">2022-04-20T03:05:23Z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72FA05D204AE4EBCA4EE9588CFA1800F</vt:lpwstr>
  </property>
</Properties>
</file>