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2"/>
          <w:szCs w:val="32"/>
        </w:rPr>
      </w:pPr>
      <w:r>
        <w:rPr>
          <w:rFonts w:hint="eastAsia" w:ascii="方正小标宋简体" w:eastAsia="方正小标宋简体"/>
          <w:sz w:val="32"/>
          <w:szCs w:val="32"/>
        </w:rPr>
        <w:t>重点排污单位环境信息公开内容表</w:t>
      </w:r>
    </w:p>
    <w:tbl>
      <w:tblPr>
        <w:tblStyle w:val="4"/>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358"/>
        <w:gridCol w:w="902"/>
        <w:gridCol w:w="1913"/>
        <w:gridCol w:w="245"/>
        <w:gridCol w:w="899"/>
        <w:gridCol w:w="183"/>
        <w:gridCol w:w="1257"/>
        <w:gridCol w:w="181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vAlign w:val="center"/>
          </w:tcPr>
          <w:p>
            <w:pPr>
              <w:jc w:val="center"/>
              <w:rPr>
                <w:rFonts w:ascii="宋体" w:hAnsi="宋体"/>
                <w:b/>
              </w:rPr>
            </w:pPr>
            <w:r>
              <w:rPr>
                <w:rFonts w:hint="eastAsia" w:ascii="宋体" w:hAnsi="宋体"/>
                <w:b/>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6" w:type="dxa"/>
            <w:gridSpan w:val="2"/>
            <w:vAlign w:val="center"/>
          </w:tcPr>
          <w:p>
            <w:pPr>
              <w:jc w:val="center"/>
              <w:rPr>
                <w:rFonts w:ascii="宋体" w:hAnsi="宋体"/>
                <w:b/>
              </w:rPr>
            </w:pPr>
            <w:r>
              <w:rPr>
                <w:rFonts w:hint="eastAsia" w:ascii="宋体" w:hAnsi="宋体"/>
                <w:b/>
              </w:rPr>
              <w:t>单位名称</w:t>
            </w:r>
          </w:p>
        </w:tc>
        <w:tc>
          <w:tcPr>
            <w:tcW w:w="3959" w:type="dxa"/>
            <w:gridSpan w:val="4"/>
            <w:vAlign w:val="center"/>
          </w:tcPr>
          <w:p>
            <w:pPr>
              <w:jc w:val="center"/>
              <w:rPr>
                <w:rFonts w:ascii="仿宋_GB2312" w:eastAsia="仿宋_GB2312"/>
                <w:sz w:val="15"/>
                <w:szCs w:val="15"/>
              </w:rPr>
            </w:pPr>
            <w:r>
              <w:rPr>
                <w:rFonts w:hint="eastAsia" w:ascii="仿宋_GB2312" w:eastAsia="仿宋_GB2312"/>
                <w:sz w:val="15"/>
                <w:szCs w:val="15"/>
              </w:rPr>
              <w:t>甘肃祁连葡萄酒业有限责任公司</w:t>
            </w:r>
          </w:p>
        </w:tc>
        <w:tc>
          <w:tcPr>
            <w:tcW w:w="1440" w:type="dxa"/>
            <w:gridSpan w:val="2"/>
            <w:vAlign w:val="center"/>
          </w:tcPr>
          <w:p>
            <w:pPr>
              <w:jc w:val="center"/>
              <w:rPr>
                <w:rFonts w:ascii="宋体" w:hAnsi="宋体"/>
                <w:b/>
              </w:rPr>
            </w:pPr>
            <w:r>
              <w:rPr>
                <w:rFonts w:hint="eastAsia" w:ascii="宋体" w:hAnsi="宋体"/>
                <w:b/>
              </w:rPr>
              <w:t>法定代表人</w:t>
            </w:r>
          </w:p>
        </w:tc>
        <w:tc>
          <w:tcPr>
            <w:tcW w:w="3063" w:type="dxa"/>
            <w:gridSpan w:val="2"/>
            <w:vAlign w:val="center"/>
          </w:tcPr>
          <w:p>
            <w:pPr>
              <w:jc w:val="center"/>
              <w:rPr>
                <w:rFonts w:ascii="仿宋_GB2312" w:eastAsia="仿宋_GB2312"/>
                <w:sz w:val="15"/>
                <w:szCs w:val="15"/>
              </w:rPr>
            </w:pPr>
            <w:r>
              <w:rPr>
                <w:rFonts w:hint="eastAsia" w:ascii="仿宋_GB2312" w:eastAsia="仿宋_GB2312"/>
                <w:sz w:val="15"/>
                <w:szCs w:val="15"/>
              </w:rPr>
              <w:t>冯兴平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6" w:type="dxa"/>
            <w:gridSpan w:val="2"/>
            <w:vAlign w:val="center"/>
          </w:tcPr>
          <w:p>
            <w:pPr>
              <w:jc w:val="center"/>
              <w:rPr>
                <w:rFonts w:ascii="宋体" w:hAnsi="宋体"/>
                <w:b/>
              </w:rPr>
            </w:pPr>
            <w:r>
              <w:rPr>
                <w:rFonts w:hint="eastAsia" w:ascii="宋体" w:hAnsi="宋体"/>
                <w:b/>
              </w:rPr>
              <w:t>组织代码</w:t>
            </w:r>
          </w:p>
        </w:tc>
        <w:tc>
          <w:tcPr>
            <w:tcW w:w="3959" w:type="dxa"/>
            <w:gridSpan w:val="4"/>
            <w:vAlign w:val="center"/>
          </w:tcPr>
          <w:p>
            <w:pPr>
              <w:jc w:val="center"/>
              <w:rPr>
                <w:rFonts w:ascii="仿宋_GB2312" w:eastAsia="仿宋_GB2312"/>
                <w:sz w:val="15"/>
                <w:szCs w:val="15"/>
              </w:rPr>
            </w:pPr>
            <w:r>
              <w:rPr>
                <w:rFonts w:hint="eastAsia" w:ascii="仿宋_GB2312" w:eastAsia="仿宋_GB2312"/>
                <w:sz w:val="15"/>
                <w:szCs w:val="15"/>
              </w:rPr>
              <w:t>916207247202507109</w:t>
            </w:r>
          </w:p>
        </w:tc>
        <w:tc>
          <w:tcPr>
            <w:tcW w:w="1440" w:type="dxa"/>
            <w:gridSpan w:val="2"/>
            <w:vAlign w:val="center"/>
          </w:tcPr>
          <w:p>
            <w:pPr>
              <w:jc w:val="center"/>
              <w:rPr>
                <w:rFonts w:ascii="宋体" w:hAnsi="宋体"/>
                <w:b/>
              </w:rPr>
            </w:pPr>
            <w:r>
              <w:rPr>
                <w:rFonts w:hint="eastAsia" w:ascii="宋体" w:hAnsi="宋体"/>
                <w:b/>
              </w:rPr>
              <w:t>联系方式</w:t>
            </w:r>
          </w:p>
        </w:tc>
        <w:tc>
          <w:tcPr>
            <w:tcW w:w="3063" w:type="dxa"/>
            <w:gridSpan w:val="2"/>
            <w:vAlign w:val="center"/>
          </w:tcPr>
          <w:p>
            <w:pPr>
              <w:jc w:val="center"/>
              <w:rPr>
                <w:rFonts w:ascii="仿宋_GB2312" w:eastAsia="仿宋_GB2312"/>
                <w:sz w:val="15"/>
                <w:szCs w:val="15"/>
              </w:rPr>
            </w:pPr>
            <w:r>
              <w:rPr>
                <w:rFonts w:hint="eastAsia" w:ascii="仿宋_GB2312" w:eastAsia="仿宋_GB2312"/>
                <w:sz w:val="15"/>
                <w:szCs w:val="15"/>
              </w:rPr>
              <w:t>13139369628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6" w:type="dxa"/>
            <w:gridSpan w:val="2"/>
            <w:vAlign w:val="center"/>
          </w:tcPr>
          <w:p>
            <w:pPr>
              <w:jc w:val="center"/>
              <w:rPr>
                <w:rFonts w:ascii="宋体" w:hAnsi="宋体"/>
                <w:b/>
              </w:rPr>
            </w:pPr>
            <w:r>
              <w:rPr>
                <w:rFonts w:hint="eastAsia" w:ascii="宋体" w:hAnsi="宋体"/>
                <w:b/>
              </w:rPr>
              <w:t>生产地址</w:t>
            </w:r>
          </w:p>
        </w:tc>
        <w:tc>
          <w:tcPr>
            <w:tcW w:w="8462" w:type="dxa"/>
            <w:gridSpan w:val="8"/>
            <w:vAlign w:val="center"/>
          </w:tcPr>
          <w:p>
            <w:pPr>
              <w:jc w:val="center"/>
              <w:rPr>
                <w:rFonts w:ascii="仿宋_GB2312" w:eastAsia="仿宋_GB2312"/>
                <w:sz w:val="15"/>
                <w:szCs w:val="15"/>
              </w:rPr>
            </w:pPr>
            <w:r>
              <w:rPr>
                <w:rFonts w:hint="eastAsia" w:ascii="仿宋_GB2312" w:eastAsia="仿宋_GB2312"/>
                <w:sz w:val="15"/>
                <w:szCs w:val="15"/>
              </w:rPr>
              <w:t>甘肃省张掖市高台县南华镇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0008" w:type="dxa"/>
            <w:gridSpan w:val="10"/>
          </w:tcPr>
          <w:p>
            <w:pPr>
              <w:jc w:val="center"/>
            </w:pPr>
            <w:r>
              <w:rPr>
                <w:rFonts w:hint="eastAsia"/>
                <w:b/>
              </w:rPr>
              <w:t>生产经营和管理服务的主要内容、生产工艺、产品及规模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008" w:type="dxa"/>
            <w:gridSpan w:val="10"/>
          </w:tcPr>
          <w:p>
            <w:pPr>
              <w:ind w:firstLine="150" w:firstLineChars="100"/>
              <w:rPr>
                <w:sz w:val="15"/>
                <w:szCs w:val="15"/>
              </w:rPr>
            </w:pPr>
            <w:r>
              <w:rPr>
                <w:rFonts w:hint="eastAsia"/>
                <w:sz w:val="15"/>
                <w:szCs w:val="15"/>
              </w:rPr>
              <w:t>葡萄酒生产加工。工艺流程;除梗破碎——气囊压榨——酒精发酵——贮存陈酿——下胶——冷冻——过滤——灌装——成品。</w:t>
            </w:r>
          </w:p>
          <w:p>
            <w:pPr>
              <w:ind w:firstLine="150" w:firstLineChars="100"/>
              <w:rPr>
                <w:sz w:val="15"/>
                <w:szCs w:val="15"/>
              </w:rPr>
            </w:pPr>
            <w:r>
              <w:rPr>
                <w:rFonts w:hint="eastAsia"/>
                <w:sz w:val="15"/>
                <w:szCs w:val="15"/>
              </w:rPr>
              <w:t>产品：葡萄酒。</w:t>
            </w:r>
          </w:p>
          <w:p>
            <w:pPr>
              <w:ind w:firstLine="150" w:firstLineChars="100"/>
            </w:pPr>
            <w:r>
              <w:rPr>
                <w:rFonts w:hint="eastAsia"/>
                <w:sz w:val="15"/>
                <w:szCs w:val="15"/>
              </w:rPr>
              <w:t>规模：年生产能力3000吨。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Pr>
          <w:p>
            <w:pPr>
              <w:jc w:val="center"/>
              <w:rPr>
                <w:b/>
              </w:rPr>
            </w:pPr>
            <w:r>
              <w:rPr>
                <w:rFonts w:hint="eastAsia"/>
                <w:b/>
              </w:rPr>
              <w:t>排污信息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gridSpan w:val="5"/>
            <w:vAlign w:val="center"/>
          </w:tcPr>
          <w:p>
            <w:pPr>
              <w:jc w:val="center"/>
              <w:rPr>
                <w:b/>
              </w:rPr>
            </w:pPr>
            <w:r>
              <w:rPr>
                <w:rFonts w:hint="eastAsia"/>
                <w:b/>
              </w:rPr>
              <w:t>执行的污染物排放标准</w:t>
            </w:r>
          </w:p>
        </w:tc>
        <w:tc>
          <w:tcPr>
            <w:tcW w:w="5402" w:type="dxa"/>
            <w:gridSpan w:val="5"/>
            <w:vAlign w:val="center"/>
          </w:tcPr>
          <w:p>
            <w:pPr>
              <w:jc w:val="center"/>
              <w:rPr>
                <w:b/>
              </w:rPr>
            </w:pPr>
            <w:r>
              <w:rPr>
                <w:rFonts w:hint="eastAsia"/>
                <w:b/>
              </w:rPr>
              <w:t>核定的污染物排放量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gridSpan w:val="5"/>
          </w:tcPr>
          <w:p>
            <w:pPr>
              <w:rPr>
                <w:sz w:val="15"/>
                <w:szCs w:val="15"/>
              </w:rPr>
            </w:pPr>
            <w:r>
              <w:rPr>
                <w:rFonts w:hint="eastAsia"/>
                <w:sz w:val="15"/>
                <w:szCs w:val="15"/>
              </w:rPr>
              <w:t>GB8978污水综合排放标准</w:t>
            </w:r>
          </w:p>
          <w:p>
            <w:pPr>
              <w:rPr>
                <w:sz w:val="15"/>
                <w:szCs w:val="15"/>
              </w:rPr>
            </w:pPr>
            <w:r>
              <w:rPr>
                <w:rFonts w:hint="eastAsia"/>
                <w:sz w:val="15"/>
                <w:szCs w:val="15"/>
              </w:rPr>
              <w:t>GB27631发酵酒精工业水污染物排放标准</w:t>
            </w:r>
          </w:p>
          <w:p>
            <w:r>
              <w:rPr>
                <w:rFonts w:hint="eastAsia"/>
                <w:sz w:val="15"/>
                <w:szCs w:val="15"/>
              </w:rPr>
              <w:t>GB14554-93恶臭污染物排放标准</w:t>
            </w:r>
          </w:p>
        </w:tc>
        <w:tc>
          <w:tcPr>
            <w:tcW w:w="5402" w:type="dxa"/>
            <w:gridSpan w:val="5"/>
          </w:tcPr>
          <w:p>
            <w:pPr>
              <w:rPr>
                <w:sz w:val="15"/>
                <w:szCs w:val="15"/>
              </w:rPr>
            </w:pPr>
            <w:r>
              <w:rPr>
                <w:rFonts w:hint="eastAsia"/>
                <w:sz w:val="15"/>
                <w:szCs w:val="15"/>
              </w:rPr>
              <w:t>氨氮：0.743t/a</w:t>
            </w:r>
          </w:p>
          <w:p>
            <w:pPr>
              <w:rPr>
                <w:sz w:val="15"/>
                <w:szCs w:val="15"/>
              </w:rPr>
            </w:pPr>
            <w:r>
              <w:rPr>
                <w:rFonts w:hint="eastAsia"/>
                <w:sz w:val="15"/>
                <w:szCs w:val="15"/>
              </w:rPr>
              <w:t>总氮：1.155t/a</w:t>
            </w:r>
          </w:p>
          <w:p>
            <w:pPr>
              <w:rPr>
                <w:sz w:val="15"/>
                <w:szCs w:val="15"/>
              </w:rPr>
            </w:pPr>
            <w:r>
              <w:rPr>
                <w:rFonts w:hint="eastAsia"/>
                <w:sz w:val="15"/>
                <w:szCs w:val="15"/>
              </w:rPr>
              <w:t>总磷：0.132t/a</w:t>
            </w:r>
          </w:p>
          <w:p>
            <w:r>
              <w:rPr>
                <w:rFonts w:hint="eastAsia"/>
                <w:sz w:val="15"/>
                <w:szCs w:val="15"/>
              </w:rPr>
              <w:t>化学需氧量：1.07t/a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pPr>
              <w:adjustRightInd w:val="0"/>
              <w:snapToGrid w:val="0"/>
              <w:jc w:val="center"/>
              <w:rPr>
                <w:b/>
              </w:rPr>
            </w:pPr>
            <w:r>
              <w:rPr>
                <w:rFonts w:hint="eastAsia"/>
                <w:b/>
              </w:rPr>
              <w:t>主要污染物及特征污染物排放情况</w:t>
            </w:r>
          </w:p>
        </w:tc>
        <w:tc>
          <w:tcPr>
            <w:tcW w:w="4500" w:type="dxa"/>
            <w:gridSpan w:val="6"/>
            <w:vAlign w:val="center"/>
          </w:tcPr>
          <w:p>
            <w:pPr>
              <w:jc w:val="center"/>
              <w:rPr>
                <w:b/>
              </w:rPr>
            </w:pPr>
            <w:r>
              <w:rPr>
                <w:rFonts w:hint="eastAsia"/>
                <w:b/>
              </w:rPr>
              <w:t>废水</w:t>
            </w:r>
          </w:p>
        </w:tc>
        <w:tc>
          <w:tcPr>
            <w:tcW w:w="4320" w:type="dxa"/>
            <w:gridSpan w:val="3"/>
            <w:vAlign w:val="center"/>
          </w:tcPr>
          <w:p>
            <w:pPr>
              <w:jc w:val="center"/>
              <w:rPr>
                <w:b/>
              </w:rPr>
            </w:pPr>
            <w:r>
              <w:rPr>
                <w:rFonts w:hint="eastAsia"/>
                <w:b/>
              </w:rPr>
              <w:t>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b/>
              </w:rPr>
            </w:pPr>
          </w:p>
        </w:tc>
        <w:tc>
          <w:tcPr>
            <w:tcW w:w="1260" w:type="dxa"/>
            <w:gridSpan w:val="2"/>
            <w:tcBorders>
              <w:bottom w:val="single" w:color="auto" w:sz="4" w:space="0"/>
            </w:tcBorders>
          </w:tcPr>
          <w:p>
            <w:pPr>
              <w:jc w:val="center"/>
              <w:rPr>
                <w:b/>
              </w:rPr>
            </w:pPr>
            <w:r>
              <w:rPr>
                <w:rFonts w:hint="eastAsia"/>
                <w:b/>
              </w:rPr>
              <w:t>名称</w:t>
            </w:r>
          </w:p>
        </w:tc>
        <w:tc>
          <w:tcPr>
            <w:tcW w:w="1913" w:type="dxa"/>
            <w:tcBorders>
              <w:bottom w:val="single" w:color="auto" w:sz="4" w:space="0"/>
            </w:tcBorders>
            <w:vAlign w:val="center"/>
          </w:tcPr>
          <w:p>
            <w:pPr>
              <w:jc w:val="center"/>
              <w:rPr>
                <w:b/>
              </w:rPr>
            </w:pPr>
            <w:r>
              <w:rPr>
                <w:rFonts w:hint="eastAsia"/>
                <w:b/>
              </w:rPr>
              <w:t>排放浓度</w:t>
            </w:r>
          </w:p>
          <w:p>
            <w:pPr>
              <w:jc w:val="center"/>
              <w:rPr>
                <w:b/>
              </w:rPr>
            </w:pPr>
            <w:r>
              <w:rPr>
                <w:rFonts w:hint="eastAsia"/>
                <w:b/>
              </w:rPr>
              <w:t>（mg/L）</w:t>
            </w:r>
          </w:p>
        </w:tc>
        <w:tc>
          <w:tcPr>
            <w:tcW w:w="1327" w:type="dxa"/>
            <w:gridSpan w:val="3"/>
            <w:tcBorders>
              <w:bottom w:val="single" w:color="auto" w:sz="4" w:space="0"/>
            </w:tcBorders>
            <w:vAlign w:val="center"/>
          </w:tcPr>
          <w:p>
            <w:pPr>
              <w:jc w:val="center"/>
              <w:rPr>
                <w:b/>
              </w:rPr>
            </w:pPr>
            <w:r>
              <w:rPr>
                <w:rFonts w:hint="eastAsia"/>
                <w:b/>
              </w:rPr>
              <w:t>排放量(t/a)</w:t>
            </w:r>
          </w:p>
        </w:tc>
        <w:tc>
          <w:tcPr>
            <w:tcW w:w="1257" w:type="dxa"/>
            <w:tcBorders>
              <w:bottom w:val="single" w:color="auto" w:sz="4" w:space="0"/>
            </w:tcBorders>
            <w:vAlign w:val="center"/>
          </w:tcPr>
          <w:p>
            <w:pPr>
              <w:tabs>
                <w:tab w:val="left" w:pos="840"/>
              </w:tabs>
              <w:jc w:val="center"/>
              <w:rPr>
                <w:b/>
              </w:rPr>
            </w:pPr>
            <w:r>
              <w:rPr>
                <w:rFonts w:hint="eastAsia"/>
                <w:b/>
              </w:rPr>
              <w:t>名称</w:t>
            </w:r>
          </w:p>
        </w:tc>
        <w:tc>
          <w:tcPr>
            <w:tcW w:w="1810" w:type="dxa"/>
            <w:tcBorders>
              <w:bottom w:val="single" w:color="auto" w:sz="4" w:space="0"/>
            </w:tcBorders>
            <w:vAlign w:val="center"/>
          </w:tcPr>
          <w:p>
            <w:pPr>
              <w:jc w:val="center"/>
              <w:rPr>
                <w:b/>
              </w:rPr>
            </w:pPr>
            <w:r>
              <w:rPr>
                <w:rFonts w:hint="eastAsia"/>
                <w:b/>
              </w:rPr>
              <w:t>排放浓度(mg/m3)</w:t>
            </w:r>
          </w:p>
        </w:tc>
        <w:tc>
          <w:tcPr>
            <w:tcW w:w="1253" w:type="dxa"/>
            <w:tcBorders>
              <w:bottom w:val="single" w:color="auto" w:sz="4" w:space="0"/>
            </w:tcBorders>
            <w:vAlign w:val="center"/>
          </w:tcPr>
          <w:p>
            <w:pPr>
              <w:jc w:val="center"/>
              <w:rPr>
                <w:b/>
              </w:rPr>
            </w:pPr>
            <w:r>
              <w:rPr>
                <w:rFonts w:hint="eastAsia"/>
                <w:b/>
              </w:rPr>
              <w:t>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tc>
        <w:tc>
          <w:tcPr>
            <w:tcW w:w="1260" w:type="dxa"/>
            <w:gridSpan w:val="2"/>
            <w:tcBorders>
              <w:bottom w:val="single" w:color="auto" w:sz="4" w:space="0"/>
            </w:tcBorders>
          </w:tcPr>
          <w:p>
            <w:pPr>
              <w:rPr>
                <w:sz w:val="15"/>
                <w:szCs w:val="15"/>
              </w:rPr>
            </w:pPr>
            <w:r>
              <w:rPr>
                <w:rFonts w:hint="eastAsia"/>
                <w:sz w:val="15"/>
                <w:szCs w:val="15"/>
              </w:rPr>
              <w:t>化学需氧量</w:t>
            </w:r>
          </w:p>
        </w:tc>
        <w:tc>
          <w:tcPr>
            <w:tcW w:w="1913" w:type="dxa"/>
            <w:tcBorders>
              <w:bottom w:val="single" w:color="auto" w:sz="4" w:space="0"/>
            </w:tcBorders>
          </w:tcPr>
          <w:p>
            <w:pPr>
              <w:rPr>
                <w:sz w:val="15"/>
                <w:szCs w:val="15"/>
              </w:rPr>
            </w:pPr>
            <w:r>
              <w:rPr>
                <w:rFonts w:hint="eastAsia"/>
                <w:sz w:val="15"/>
                <w:szCs w:val="15"/>
              </w:rPr>
              <w:t>12.25</w:t>
            </w:r>
          </w:p>
        </w:tc>
        <w:tc>
          <w:tcPr>
            <w:tcW w:w="1327" w:type="dxa"/>
            <w:gridSpan w:val="3"/>
            <w:tcBorders>
              <w:bottom w:val="single" w:color="auto" w:sz="4" w:space="0"/>
            </w:tcBorders>
          </w:tcPr>
          <w:p>
            <w:pPr>
              <w:rPr>
                <w:sz w:val="15"/>
                <w:szCs w:val="15"/>
              </w:rPr>
            </w:pPr>
            <w:r>
              <w:rPr>
                <w:rFonts w:hint="eastAsia"/>
                <w:sz w:val="15"/>
                <w:szCs w:val="15"/>
              </w:rPr>
              <w:t>0.077</w:t>
            </w:r>
          </w:p>
        </w:tc>
        <w:tc>
          <w:tcPr>
            <w:tcW w:w="1257" w:type="dxa"/>
            <w:tcBorders>
              <w:bottom w:val="single" w:color="auto" w:sz="4" w:space="0"/>
            </w:tcBorders>
          </w:tcPr>
          <w:p/>
        </w:tc>
        <w:tc>
          <w:tcPr>
            <w:tcW w:w="1810" w:type="dxa"/>
            <w:tcBorders>
              <w:bottom w:val="single" w:color="auto" w:sz="4" w:space="0"/>
            </w:tcBorders>
          </w:tcPr>
          <w:p/>
        </w:tc>
        <w:tc>
          <w:tcPr>
            <w:tcW w:w="1253" w:type="dxa"/>
            <w:tcBorders>
              <w:bottom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tc>
        <w:tc>
          <w:tcPr>
            <w:tcW w:w="1260" w:type="dxa"/>
            <w:gridSpan w:val="2"/>
            <w:tcBorders>
              <w:bottom w:val="single" w:color="auto" w:sz="4" w:space="0"/>
            </w:tcBorders>
          </w:tcPr>
          <w:p>
            <w:pPr>
              <w:rPr>
                <w:sz w:val="15"/>
                <w:szCs w:val="15"/>
              </w:rPr>
            </w:pPr>
            <w:r>
              <w:rPr>
                <w:rFonts w:hint="eastAsia"/>
                <w:sz w:val="15"/>
                <w:szCs w:val="15"/>
              </w:rPr>
              <w:t>氨氮</w:t>
            </w:r>
          </w:p>
        </w:tc>
        <w:tc>
          <w:tcPr>
            <w:tcW w:w="1913" w:type="dxa"/>
            <w:tcBorders>
              <w:bottom w:val="single" w:color="auto" w:sz="4" w:space="0"/>
            </w:tcBorders>
          </w:tcPr>
          <w:p>
            <w:pPr>
              <w:rPr>
                <w:sz w:val="15"/>
                <w:szCs w:val="15"/>
              </w:rPr>
            </w:pPr>
            <w:r>
              <w:rPr>
                <w:rFonts w:hint="eastAsia"/>
                <w:sz w:val="15"/>
                <w:szCs w:val="15"/>
              </w:rPr>
              <w:t>40</w:t>
            </w:r>
          </w:p>
        </w:tc>
        <w:tc>
          <w:tcPr>
            <w:tcW w:w="1327" w:type="dxa"/>
            <w:gridSpan w:val="3"/>
            <w:tcBorders>
              <w:bottom w:val="single" w:color="auto" w:sz="4" w:space="0"/>
            </w:tcBorders>
          </w:tcPr>
          <w:p>
            <w:pPr>
              <w:rPr>
                <w:sz w:val="15"/>
                <w:szCs w:val="15"/>
              </w:rPr>
            </w:pPr>
            <w:r>
              <w:rPr>
                <w:rFonts w:hint="eastAsia"/>
                <w:sz w:val="15"/>
                <w:szCs w:val="15"/>
              </w:rPr>
              <w:t>0.0401</w:t>
            </w:r>
          </w:p>
        </w:tc>
        <w:tc>
          <w:tcPr>
            <w:tcW w:w="1257" w:type="dxa"/>
            <w:tcBorders>
              <w:bottom w:val="single" w:color="auto" w:sz="4" w:space="0"/>
            </w:tcBorders>
          </w:tcPr>
          <w:p/>
        </w:tc>
        <w:tc>
          <w:tcPr>
            <w:tcW w:w="1810" w:type="dxa"/>
            <w:tcBorders>
              <w:bottom w:val="single" w:color="auto" w:sz="4" w:space="0"/>
            </w:tcBorders>
          </w:tcPr>
          <w:p/>
        </w:tc>
        <w:tc>
          <w:tcPr>
            <w:tcW w:w="1253" w:type="dxa"/>
            <w:tcBorders>
              <w:bottom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tc>
        <w:tc>
          <w:tcPr>
            <w:tcW w:w="1260" w:type="dxa"/>
            <w:gridSpan w:val="2"/>
            <w:tcBorders>
              <w:bottom w:val="single" w:color="auto" w:sz="4" w:space="0"/>
            </w:tcBorders>
          </w:tcPr>
          <w:p>
            <w:pPr>
              <w:rPr>
                <w:sz w:val="15"/>
                <w:szCs w:val="15"/>
              </w:rPr>
            </w:pPr>
            <w:r>
              <w:rPr>
                <w:rFonts w:hint="eastAsia"/>
                <w:sz w:val="15"/>
                <w:szCs w:val="15"/>
              </w:rPr>
              <w:t>总氮</w:t>
            </w:r>
          </w:p>
        </w:tc>
        <w:tc>
          <w:tcPr>
            <w:tcW w:w="1913" w:type="dxa"/>
            <w:tcBorders>
              <w:bottom w:val="single" w:color="auto" w:sz="4" w:space="0"/>
            </w:tcBorders>
          </w:tcPr>
          <w:p>
            <w:pPr>
              <w:rPr>
                <w:sz w:val="15"/>
                <w:szCs w:val="15"/>
              </w:rPr>
            </w:pPr>
            <w:r>
              <w:rPr>
                <w:rFonts w:hint="eastAsia"/>
                <w:sz w:val="15"/>
                <w:szCs w:val="15"/>
              </w:rPr>
              <w:t>70</w:t>
            </w:r>
          </w:p>
        </w:tc>
        <w:tc>
          <w:tcPr>
            <w:tcW w:w="1327" w:type="dxa"/>
            <w:gridSpan w:val="3"/>
            <w:tcBorders>
              <w:bottom w:val="single" w:color="auto" w:sz="4" w:space="0"/>
            </w:tcBorders>
          </w:tcPr>
          <w:p>
            <w:pPr>
              <w:rPr>
                <w:sz w:val="15"/>
                <w:szCs w:val="15"/>
              </w:rPr>
            </w:pPr>
            <w:r>
              <w:rPr>
                <w:rFonts w:hint="eastAsia"/>
                <w:sz w:val="15"/>
                <w:szCs w:val="15"/>
              </w:rPr>
              <w:t>0.4659</w:t>
            </w:r>
          </w:p>
        </w:tc>
        <w:tc>
          <w:tcPr>
            <w:tcW w:w="1257" w:type="dxa"/>
            <w:tcBorders>
              <w:bottom w:val="single" w:color="auto" w:sz="4" w:space="0"/>
            </w:tcBorders>
          </w:tcPr>
          <w:p/>
        </w:tc>
        <w:tc>
          <w:tcPr>
            <w:tcW w:w="1810" w:type="dxa"/>
            <w:tcBorders>
              <w:bottom w:val="single" w:color="auto" w:sz="4" w:space="0"/>
            </w:tcBorders>
          </w:tcPr>
          <w:p/>
        </w:tc>
        <w:tc>
          <w:tcPr>
            <w:tcW w:w="1253" w:type="dxa"/>
            <w:tcBorders>
              <w:bottom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tc>
        <w:tc>
          <w:tcPr>
            <w:tcW w:w="1260" w:type="dxa"/>
            <w:gridSpan w:val="2"/>
            <w:tcBorders>
              <w:bottom w:val="single" w:color="auto" w:sz="4" w:space="0"/>
            </w:tcBorders>
          </w:tcPr>
          <w:p>
            <w:pPr>
              <w:rPr>
                <w:sz w:val="15"/>
                <w:szCs w:val="15"/>
              </w:rPr>
            </w:pPr>
            <w:r>
              <w:rPr>
                <w:rFonts w:hint="eastAsia"/>
                <w:sz w:val="15"/>
                <w:szCs w:val="15"/>
              </w:rPr>
              <w:t>总磷</w:t>
            </w:r>
          </w:p>
        </w:tc>
        <w:tc>
          <w:tcPr>
            <w:tcW w:w="1913" w:type="dxa"/>
            <w:tcBorders>
              <w:bottom w:val="single" w:color="auto" w:sz="4" w:space="0"/>
            </w:tcBorders>
          </w:tcPr>
          <w:p>
            <w:pPr>
              <w:rPr>
                <w:sz w:val="15"/>
                <w:szCs w:val="15"/>
              </w:rPr>
            </w:pPr>
            <w:r>
              <w:rPr>
                <w:rFonts w:hint="eastAsia"/>
                <w:sz w:val="15"/>
                <w:szCs w:val="15"/>
              </w:rPr>
              <w:t>4</w:t>
            </w:r>
          </w:p>
        </w:tc>
        <w:tc>
          <w:tcPr>
            <w:tcW w:w="1327" w:type="dxa"/>
            <w:gridSpan w:val="3"/>
            <w:tcBorders>
              <w:bottom w:val="single" w:color="auto" w:sz="4" w:space="0"/>
            </w:tcBorders>
          </w:tcPr>
          <w:p>
            <w:pPr>
              <w:rPr>
                <w:sz w:val="15"/>
                <w:szCs w:val="15"/>
              </w:rPr>
            </w:pPr>
            <w:r>
              <w:rPr>
                <w:rFonts w:hint="eastAsia"/>
                <w:sz w:val="15"/>
                <w:szCs w:val="15"/>
              </w:rPr>
              <w:t>0.032</w:t>
            </w:r>
          </w:p>
        </w:tc>
        <w:tc>
          <w:tcPr>
            <w:tcW w:w="1257" w:type="dxa"/>
            <w:tcBorders>
              <w:bottom w:val="single" w:color="auto" w:sz="4" w:space="0"/>
            </w:tcBorders>
          </w:tcPr>
          <w:p/>
        </w:tc>
        <w:tc>
          <w:tcPr>
            <w:tcW w:w="1810" w:type="dxa"/>
            <w:tcBorders>
              <w:bottom w:val="single" w:color="auto" w:sz="4" w:space="0"/>
            </w:tcBorders>
          </w:tcPr>
          <w:p/>
        </w:tc>
        <w:tc>
          <w:tcPr>
            <w:tcW w:w="1253" w:type="dxa"/>
            <w:tcBorders>
              <w:bottom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188" w:type="dxa"/>
            <w:vAlign w:val="center"/>
          </w:tcPr>
          <w:p>
            <w:pPr>
              <w:adjustRightInd w:val="0"/>
              <w:snapToGrid w:val="0"/>
              <w:jc w:val="center"/>
              <w:rPr>
                <w:b/>
              </w:rPr>
            </w:pPr>
            <w:r>
              <w:rPr>
                <w:rFonts w:hint="eastAsia"/>
                <w:b/>
              </w:rPr>
              <w:t>达标排放情况</w:t>
            </w:r>
          </w:p>
        </w:tc>
        <w:tc>
          <w:tcPr>
            <w:tcW w:w="4500" w:type="dxa"/>
            <w:gridSpan w:val="6"/>
          </w:tcPr>
          <w:p>
            <w:pPr>
              <w:rPr>
                <w:sz w:val="15"/>
                <w:szCs w:val="15"/>
              </w:rPr>
            </w:pPr>
            <w:r>
              <w:rPr>
                <w:rFonts w:hint="eastAsia"/>
                <w:sz w:val="15"/>
                <w:szCs w:val="15"/>
              </w:rPr>
              <w:t>化学需氧量18达标，氨氮0.236达标，总氮0.96达标，总磷0.202达标。检测报告编号ZY/2021-HJ-35</w:t>
            </w:r>
          </w:p>
        </w:tc>
        <w:tc>
          <w:tcPr>
            <w:tcW w:w="4320" w:type="dxa"/>
            <w:gridSpan w:val="3"/>
          </w:tcPr>
          <w:p>
            <w:pPr>
              <w:rPr>
                <w:b/>
                <w:sz w:val="15"/>
                <w:szCs w:val="15"/>
              </w:rPr>
            </w:pPr>
            <w:r>
              <w:rPr>
                <w:rFonts w:hint="eastAsia"/>
                <w:sz w:val="15"/>
                <w:szCs w:val="15"/>
              </w:rPr>
              <w:t>检测机构：甘肃正元安全技术服务有限责任公司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jc w:val="center"/>
              <w:rPr>
                <w:b/>
              </w:rPr>
            </w:pPr>
            <w:r>
              <w:rPr>
                <w:rFonts w:hint="eastAsia"/>
                <w:b/>
              </w:rPr>
              <w:t>排放方式、排放口数量和分布情况</w:t>
            </w:r>
          </w:p>
        </w:tc>
        <w:tc>
          <w:tcPr>
            <w:tcW w:w="4500" w:type="dxa"/>
            <w:gridSpan w:val="6"/>
            <w:tcBorders>
              <w:bottom w:val="single" w:color="auto" w:sz="4" w:space="0"/>
            </w:tcBorders>
          </w:tcPr>
          <w:p>
            <w:pPr>
              <w:rPr>
                <w:sz w:val="15"/>
                <w:szCs w:val="15"/>
              </w:rPr>
            </w:pPr>
            <w:r>
              <w:rPr>
                <w:rFonts w:hint="eastAsia"/>
                <w:sz w:val="15"/>
                <w:szCs w:val="15"/>
              </w:rPr>
              <w:t>废水间歇排放，排放口一个，位于厂区西北角。</w:t>
            </w:r>
          </w:p>
        </w:tc>
        <w:tc>
          <w:tcPr>
            <w:tcW w:w="4320" w:type="dxa"/>
            <w:gridSpan w:val="3"/>
            <w:tcBorders>
              <w:bottom w:val="single" w:color="auto" w:sz="4" w:space="0"/>
            </w:tcBorders>
          </w:tcPr>
          <w:p>
            <w:pPr>
              <w:rPr>
                <w:sz w:val="15"/>
                <w:szCs w:val="15"/>
              </w:rPr>
            </w:pPr>
            <w:r>
              <w:rPr>
                <w:rFonts w:hint="eastAsia"/>
                <w:sz w:val="15"/>
                <w:szCs w:val="15"/>
              </w:rPr>
              <w:t>采用电锅炉，无废气排放。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pPr>
              <w:jc w:val="center"/>
              <w:rPr>
                <w:b/>
              </w:rPr>
            </w:pPr>
            <w:r>
              <w:rPr>
                <w:rFonts w:hint="eastAsia"/>
                <w:b/>
              </w:rPr>
              <w:t>固体废物、危险废物情况</w:t>
            </w:r>
          </w:p>
        </w:tc>
        <w:tc>
          <w:tcPr>
            <w:tcW w:w="4500" w:type="dxa"/>
            <w:gridSpan w:val="6"/>
            <w:tcBorders>
              <w:bottom w:val="single" w:color="auto" w:sz="4" w:space="0"/>
            </w:tcBorders>
            <w:vAlign w:val="center"/>
          </w:tcPr>
          <w:p>
            <w:pPr>
              <w:jc w:val="center"/>
              <w:rPr>
                <w:b/>
              </w:rPr>
            </w:pPr>
            <w:r>
              <w:rPr>
                <w:rFonts w:hint="eastAsia"/>
                <w:b/>
              </w:rPr>
              <w:t>一般固体废物</w:t>
            </w:r>
          </w:p>
        </w:tc>
        <w:tc>
          <w:tcPr>
            <w:tcW w:w="4320" w:type="dxa"/>
            <w:gridSpan w:val="3"/>
            <w:tcBorders>
              <w:bottom w:val="single" w:color="auto" w:sz="4" w:space="0"/>
            </w:tcBorders>
            <w:vAlign w:val="center"/>
          </w:tcPr>
          <w:p>
            <w:pPr>
              <w:jc w:val="center"/>
              <w:rPr>
                <w:b/>
              </w:rPr>
            </w:pPr>
            <w:r>
              <w:rPr>
                <w:rFonts w:hint="eastAsia"/>
                <w:b/>
              </w:rPr>
              <w:t>危险固体废物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b/>
              </w:rPr>
            </w:pPr>
          </w:p>
        </w:tc>
        <w:tc>
          <w:tcPr>
            <w:tcW w:w="4500" w:type="dxa"/>
            <w:gridSpan w:val="6"/>
            <w:tcBorders>
              <w:bottom w:val="single" w:color="auto" w:sz="4" w:space="0"/>
            </w:tcBorders>
          </w:tcPr>
          <w:p>
            <w:pPr>
              <w:rPr>
                <w:sz w:val="15"/>
                <w:szCs w:val="15"/>
              </w:rPr>
            </w:pPr>
            <w:r>
              <w:rPr>
                <w:rFonts w:hint="eastAsia"/>
                <w:sz w:val="15"/>
                <w:szCs w:val="15"/>
              </w:rPr>
              <w:t>葡萄皮，果梗用于附近农户的家畜饲料。</w:t>
            </w:r>
          </w:p>
        </w:tc>
        <w:tc>
          <w:tcPr>
            <w:tcW w:w="4320" w:type="dxa"/>
            <w:gridSpan w:val="3"/>
            <w:tcBorders>
              <w:bottom w:val="single" w:color="auto" w:sz="4" w:space="0"/>
            </w:tcBorders>
          </w:tcPr>
          <w:p>
            <w:pPr>
              <w:rPr>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008" w:type="dxa"/>
            <w:gridSpan w:val="10"/>
            <w:tcBorders>
              <w:top w:val="nil"/>
              <w:right w:val="single" w:color="auto" w:sz="4" w:space="0"/>
            </w:tcBorders>
          </w:tcPr>
          <w:p>
            <w:pPr>
              <w:jc w:val="center"/>
              <w:rPr>
                <w:b/>
              </w:rPr>
            </w:pPr>
            <w:r>
              <w:rPr>
                <w:rFonts w:hint="eastAsia"/>
                <w:b/>
              </w:rPr>
              <w:t>防治污染设施的建设和运行情况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0008" w:type="dxa"/>
            <w:gridSpan w:val="10"/>
          </w:tcPr>
          <w:p>
            <w:pPr>
              <w:rPr>
                <w:sz w:val="15"/>
                <w:szCs w:val="15"/>
              </w:rPr>
            </w:pPr>
            <w:r>
              <w:rPr>
                <w:rFonts w:hint="eastAsia"/>
                <w:sz w:val="15"/>
                <w:szCs w:val="15"/>
              </w:rPr>
              <w:t>污水处理站是一体化地埋式污水处理设备，有两级沉淀池，气浮处理设备，微生物生化处理池及其配套过滤等设备。由于生产是季节性的，且污水排放量少，污水处理站无法正常运行，故与南华污水处理厂签订协议我厂污水交由他们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Pr>
          <w:p>
            <w:pPr>
              <w:jc w:val="center"/>
              <w:rPr>
                <w:b/>
              </w:rPr>
            </w:pPr>
            <w:r>
              <w:rPr>
                <w:rFonts w:hint="eastAsia"/>
                <w:b/>
              </w:rPr>
              <w:t>建设项目环境影响评价情况（多个项目分别填写）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Borders>
              <w:bottom w:val="single" w:color="auto" w:sz="4" w:space="0"/>
            </w:tcBorders>
            <w:vAlign w:val="center"/>
          </w:tcPr>
          <w:p>
            <w:pPr>
              <w:rPr>
                <w:sz w:val="15"/>
                <w:szCs w:val="15"/>
              </w:rPr>
            </w:pPr>
            <w:r>
              <w:rPr>
                <w:rFonts w:hint="eastAsia"/>
                <w:sz w:val="15"/>
                <w:szCs w:val="15"/>
              </w:rPr>
              <w:t>《甘肃祁连葡萄酒业有限责任公司葡萄酒生产线技术改造项目环境影响报告书》已获得高台县环保局审批，审批时间2014年10月14日，审批文号【2014】187号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Borders>
              <w:top w:val="single" w:color="auto" w:sz="4" w:space="0"/>
            </w:tcBorders>
            <w:vAlign w:val="center"/>
          </w:tcPr>
          <w:p>
            <w:pPr>
              <w:jc w:val="center"/>
              <w:rPr>
                <w:b/>
              </w:rPr>
            </w:pPr>
            <w:r>
              <w:rPr>
                <w:rFonts w:hint="eastAsia"/>
                <w:b/>
              </w:rPr>
              <w:t>环境保护行政许可情况（各项分别填写）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Borders>
              <w:top w:val="single" w:color="auto" w:sz="4" w:space="0"/>
            </w:tcBorders>
            <w:vAlign w:val="center"/>
          </w:tcPr>
          <w:p>
            <w:r>
              <w:rPr>
                <w:rFonts w:hint="eastAsia" w:asciiTheme="minorEastAsia" w:hAnsiTheme="minorEastAsia" w:eastAsiaTheme="minorEastAsia" w:cstheme="minorEastAsia"/>
                <w:sz w:val="18"/>
                <w:szCs w:val="18"/>
              </w:rPr>
              <w:t>排污许可证号：916207247202507109001V,有效期：自2019年12月19日起至2022年12月18日止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tcBorders>
              <w:top w:val="nil"/>
            </w:tcBorders>
            <w:vAlign w:val="center"/>
          </w:tcPr>
          <w:p>
            <w:pPr>
              <w:jc w:val="center"/>
              <w:rPr>
                <w:b/>
              </w:rPr>
            </w:pPr>
            <w:r>
              <w:rPr>
                <w:rFonts w:hint="eastAsia"/>
                <w:b/>
              </w:rPr>
              <w:t>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vAlign w:val="center"/>
          </w:tcPr>
          <w:p>
            <w:pPr>
              <w:rPr>
                <w:sz w:val="15"/>
                <w:szCs w:val="15"/>
              </w:rPr>
            </w:pPr>
            <w:r>
              <w:rPr>
                <w:rFonts w:hint="eastAsia"/>
                <w:sz w:val="15"/>
                <w:szCs w:val="15"/>
              </w:rPr>
              <w:t>甘肃祁连葡萄酒业有限责任公司编制，2022年4月编制：已提交张掖市生态环境局高台分局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10"/>
            <w:vAlign w:val="center"/>
          </w:tcPr>
          <w:p>
            <w:pPr>
              <w:jc w:val="center"/>
              <w:rPr>
                <w:b/>
              </w:rPr>
            </w:pPr>
            <w:r>
              <w:rPr>
                <w:rFonts w:hint="eastAsia"/>
                <w:b/>
              </w:rPr>
              <w:t>其他环境信息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0008" w:type="dxa"/>
            <w:gridSpan w:val="10"/>
            <w:vAlign w:val="center"/>
          </w:tcPr>
          <w:p>
            <w:pPr>
              <w:rPr>
                <w:sz w:val="15"/>
                <w:szCs w:val="15"/>
              </w:rPr>
            </w:pPr>
            <w:r>
              <w:rPr>
                <w:rFonts w:hint="eastAsia"/>
                <w:sz w:val="15"/>
                <w:szCs w:val="15"/>
              </w:rPr>
              <w:t>无</w:t>
            </w:r>
            <w:bookmarkStart w:id="0" w:name="_GoBack"/>
            <w:bookmarkEnd w:id="0"/>
          </w:p>
        </w:tc>
      </w:tr>
    </w:tbl>
    <w:p>
      <w:pPr>
        <w:rPr>
          <w:rFonts w:ascii="仿宋_GB2312" w:eastAsia="仿宋_GB2312"/>
          <w:sz w:val="32"/>
          <w:szCs w:val="32"/>
        </w:rPr>
      </w:pPr>
      <w:r>
        <w:rPr>
          <w:rFonts w:hint="eastAsia"/>
          <w:sz w:val="13"/>
          <w:szCs w:val="13"/>
        </w:rPr>
        <w:t>注：各企业单位根据相应环境信息公开内容对应栏目可增加、调整。</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PMingLiU"/>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ngLiU">
    <w:panose1 w:val="02020309000000000000"/>
    <w:charset w:val="88"/>
    <w:family w:val="auto"/>
    <w:pitch w:val="default"/>
    <w:sig w:usb0="00000003" w:usb1="082E0000" w:usb2="00000016" w:usb3="00000000" w:csb0="00100001" w:csb1="00000000"/>
  </w:font>
  <w:font w:name="Arial Narrow">
    <w:panose1 w:val="020B0606020202030204"/>
    <w:charset w:val="00"/>
    <w:family w:val="auto"/>
    <w:pitch w:val="default"/>
    <w:sig w:usb0="00000287" w:usb1="00000800" w:usb2="00000000" w:usb3="00000000" w:csb0="2000009F" w:csb1="DFD70000"/>
  </w:font>
  <w:font w:name="Arial Narrow">
    <w:panose1 w:val="020B0606020202030204"/>
    <w:charset w:val="01"/>
    <w:family w:val="swiss"/>
    <w:pitch w:val="default"/>
    <w:sig w:usb0="00000287" w:usb1="00000800" w:usb2="00000000" w:usb3="00000000" w:csb0="2000009F" w:csb1="DFD70000"/>
  </w:font>
  <w:font w:name="Wingdings 2">
    <w:panose1 w:val="05020102010507070707"/>
    <w:charset w:val="00"/>
    <w:family w:val="auto"/>
    <w:pitch w:val="default"/>
    <w:sig w:usb0="00000000" w:usb1="00000000" w:usb2="00000000" w:usb3="00000000" w:csb0="80000000" w:csb1="00000000"/>
  </w:font>
  <w:font w:name="PMingLiU">
    <w:panose1 w:val="02020300000000000000"/>
    <w:charset w:val="88"/>
    <w:family w:val="auto"/>
    <w:pitch w:val="default"/>
    <w:sig w:usb0="00000003" w:usb1="082E0000" w:usb2="00000016" w:usb3="00000000" w:csb0="00100001" w:csb1="00000000"/>
  </w:font>
  <w:font w:name="Bookshelf Symbol 7">
    <w:panose1 w:val="05010101010101010101"/>
    <w:charset w:val="00"/>
    <w:family w:val="auto"/>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69B"/>
    <w:rsid w:val="000130CD"/>
    <w:rsid w:val="000233AB"/>
    <w:rsid w:val="00047FFD"/>
    <w:rsid w:val="00053641"/>
    <w:rsid w:val="00056F38"/>
    <w:rsid w:val="000A0270"/>
    <w:rsid w:val="000A21AB"/>
    <w:rsid w:val="000B6C22"/>
    <w:rsid w:val="000E7C4A"/>
    <w:rsid w:val="001038CE"/>
    <w:rsid w:val="00116BF3"/>
    <w:rsid w:val="00131984"/>
    <w:rsid w:val="0016743B"/>
    <w:rsid w:val="00174815"/>
    <w:rsid w:val="00177578"/>
    <w:rsid w:val="001A3EC4"/>
    <w:rsid w:val="001B68D4"/>
    <w:rsid w:val="001E7982"/>
    <w:rsid w:val="001F0D2C"/>
    <w:rsid w:val="00221E83"/>
    <w:rsid w:val="00235939"/>
    <w:rsid w:val="0025327F"/>
    <w:rsid w:val="002569FE"/>
    <w:rsid w:val="00262EDE"/>
    <w:rsid w:val="00264875"/>
    <w:rsid w:val="00277F2A"/>
    <w:rsid w:val="002848AB"/>
    <w:rsid w:val="002D284D"/>
    <w:rsid w:val="002D4FB8"/>
    <w:rsid w:val="002E0332"/>
    <w:rsid w:val="002E5F0F"/>
    <w:rsid w:val="0031028C"/>
    <w:rsid w:val="003450CC"/>
    <w:rsid w:val="003A168B"/>
    <w:rsid w:val="003A2ADB"/>
    <w:rsid w:val="003B54B0"/>
    <w:rsid w:val="003C4A2E"/>
    <w:rsid w:val="003C4F58"/>
    <w:rsid w:val="003E3CA3"/>
    <w:rsid w:val="00403E96"/>
    <w:rsid w:val="004102CB"/>
    <w:rsid w:val="00417753"/>
    <w:rsid w:val="0042027F"/>
    <w:rsid w:val="004356A0"/>
    <w:rsid w:val="00440FA4"/>
    <w:rsid w:val="00441499"/>
    <w:rsid w:val="00457788"/>
    <w:rsid w:val="00470EB2"/>
    <w:rsid w:val="00484A97"/>
    <w:rsid w:val="00491201"/>
    <w:rsid w:val="004955E0"/>
    <w:rsid w:val="004A5309"/>
    <w:rsid w:val="004B2B87"/>
    <w:rsid w:val="004C5E1C"/>
    <w:rsid w:val="004C77C1"/>
    <w:rsid w:val="004D59BA"/>
    <w:rsid w:val="004F051B"/>
    <w:rsid w:val="004F2450"/>
    <w:rsid w:val="0051129B"/>
    <w:rsid w:val="005318F0"/>
    <w:rsid w:val="00547EA0"/>
    <w:rsid w:val="00550022"/>
    <w:rsid w:val="00571B1E"/>
    <w:rsid w:val="00580A14"/>
    <w:rsid w:val="0059048F"/>
    <w:rsid w:val="00591BD4"/>
    <w:rsid w:val="005C0732"/>
    <w:rsid w:val="005E4BC9"/>
    <w:rsid w:val="005F6E28"/>
    <w:rsid w:val="00607C1C"/>
    <w:rsid w:val="00624F8A"/>
    <w:rsid w:val="006457B1"/>
    <w:rsid w:val="00651572"/>
    <w:rsid w:val="0066628D"/>
    <w:rsid w:val="00682CEC"/>
    <w:rsid w:val="006834B1"/>
    <w:rsid w:val="006B19B5"/>
    <w:rsid w:val="006C180E"/>
    <w:rsid w:val="006C297B"/>
    <w:rsid w:val="006C735C"/>
    <w:rsid w:val="00713938"/>
    <w:rsid w:val="0071457C"/>
    <w:rsid w:val="00753A07"/>
    <w:rsid w:val="00765910"/>
    <w:rsid w:val="00771066"/>
    <w:rsid w:val="0077521F"/>
    <w:rsid w:val="007754E4"/>
    <w:rsid w:val="007811CE"/>
    <w:rsid w:val="00795B1F"/>
    <w:rsid w:val="007D3396"/>
    <w:rsid w:val="007F6659"/>
    <w:rsid w:val="00815D83"/>
    <w:rsid w:val="00817BC8"/>
    <w:rsid w:val="008577FA"/>
    <w:rsid w:val="00873CF7"/>
    <w:rsid w:val="008815D4"/>
    <w:rsid w:val="008C120D"/>
    <w:rsid w:val="008D49A3"/>
    <w:rsid w:val="00925243"/>
    <w:rsid w:val="009329A1"/>
    <w:rsid w:val="0094550A"/>
    <w:rsid w:val="00956030"/>
    <w:rsid w:val="00957AA2"/>
    <w:rsid w:val="00977695"/>
    <w:rsid w:val="009868B9"/>
    <w:rsid w:val="009A28C8"/>
    <w:rsid w:val="009B0ED3"/>
    <w:rsid w:val="009B738A"/>
    <w:rsid w:val="009E2444"/>
    <w:rsid w:val="009E532F"/>
    <w:rsid w:val="00A01879"/>
    <w:rsid w:val="00A02F9B"/>
    <w:rsid w:val="00AB56E7"/>
    <w:rsid w:val="00AE243B"/>
    <w:rsid w:val="00AE4367"/>
    <w:rsid w:val="00B24C5C"/>
    <w:rsid w:val="00B40046"/>
    <w:rsid w:val="00B57C38"/>
    <w:rsid w:val="00B93067"/>
    <w:rsid w:val="00B9451C"/>
    <w:rsid w:val="00BA2576"/>
    <w:rsid w:val="00BA78F9"/>
    <w:rsid w:val="00BC7221"/>
    <w:rsid w:val="00C054C7"/>
    <w:rsid w:val="00C07928"/>
    <w:rsid w:val="00C10854"/>
    <w:rsid w:val="00C165DC"/>
    <w:rsid w:val="00C70BA4"/>
    <w:rsid w:val="00C80A48"/>
    <w:rsid w:val="00C8439A"/>
    <w:rsid w:val="00CA026E"/>
    <w:rsid w:val="00CA363F"/>
    <w:rsid w:val="00CA7B6F"/>
    <w:rsid w:val="00D0469B"/>
    <w:rsid w:val="00D56845"/>
    <w:rsid w:val="00D60A28"/>
    <w:rsid w:val="00D748C7"/>
    <w:rsid w:val="00D805D6"/>
    <w:rsid w:val="00D85BD9"/>
    <w:rsid w:val="00D86271"/>
    <w:rsid w:val="00D925DE"/>
    <w:rsid w:val="00DB374F"/>
    <w:rsid w:val="00DC7674"/>
    <w:rsid w:val="00DD447F"/>
    <w:rsid w:val="00DE0393"/>
    <w:rsid w:val="00DE1410"/>
    <w:rsid w:val="00E071C6"/>
    <w:rsid w:val="00E161F9"/>
    <w:rsid w:val="00E1738D"/>
    <w:rsid w:val="00E46E80"/>
    <w:rsid w:val="00E54990"/>
    <w:rsid w:val="00E60997"/>
    <w:rsid w:val="00E777F7"/>
    <w:rsid w:val="00E87A81"/>
    <w:rsid w:val="00E958C7"/>
    <w:rsid w:val="00EA4160"/>
    <w:rsid w:val="00ED3403"/>
    <w:rsid w:val="00F06536"/>
    <w:rsid w:val="00F0653D"/>
    <w:rsid w:val="00F15882"/>
    <w:rsid w:val="00F443B1"/>
    <w:rsid w:val="00F634DE"/>
    <w:rsid w:val="00F651C6"/>
    <w:rsid w:val="00F6681F"/>
    <w:rsid w:val="00F67DA0"/>
    <w:rsid w:val="00FA0E1A"/>
    <w:rsid w:val="00FB3134"/>
    <w:rsid w:val="2D5F2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默认段落字体 Para Char Char Char Char"/>
    <w:basedOn w:val="1"/>
    <w:uiPriority w:val="0"/>
    <w:rPr>
      <w:szCs w:val="20"/>
    </w:rPr>
  </w:style>
  <w:style w:type="character" w:customStyle="1" w:styleId="8">
    <w:name w:val="页眉 Char"/>
    <w:basedOn w:val="6"/>
    <w:link w:val="3"/>
    <w:uiPriority w:val="0"/>
    <w:rPr>
      <w:kern w:val="2"/>
      <w:sz w:val="18"/>
      <w:szCs w:val="18"/>
    </w:rPr>
  </w:style>
  <w:style w:type="character" w:customStyle="1" w:styleId="9">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0531F4-2509-4BE9-8051-6DEDDA387DE3}">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165</Words>
  <Characters>942</Characters>
  <Lines>7</Lines>
  <Paragraphs>2</Paragraphs>
  <TotalTime>92</TotalTime>
  <ScaleCrop>false</ScaleCrop>
  <LinksUpToDate>false</LinksUpToDate>
  <CharactersWithSpaces>1105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2022-04-11T03:50:00Z</dcterms:created>
  <dc:creator>Administrator</dc:creator>
  <cp:lastModifiedBy>风中伊人</cp:lastModifiedBy>
  <dcterms:modified xsi:type="dcterms:W3CDTF">2022-04-13T01:37:59Z</dcterms:modified>
  <dc:title>重点排污单位环境信息公开内容表（参考）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