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wordWrap/>
        <w:overflowPunct w:val="0"/>
        <w:topLinePunct w:val="0"/>
        <w:autoSpaceDE w:val="0"/>
        <w:autoSpaceDN w:val="0"/>
        <w:bidi w:val="0"/>
        <w:adjustRightInd w:val="0"/>
        <w:snapToGrid w:val="0"/>
        <w:spacing w:before="0" w:after="0" w:line="360" w:lineRule="auto"/>
        <w:ind w:left="0" w:leftChars="0" w:right="0"/>
        <w:jc w:val="both"/>
        <w:rPr>
          <w:rFonts w:hint="eastAsia" w:ascii="Times New Roman" w:hAnsi="Times New Roman" w:eastAsia="宋体" w:cs="Times New Roman"/>
          <w:b/>
          <w:color w:val="auto"/>
          <w:sz w:val="44"/>
          <w:szCs w:val="44"/>
          <w:lang w:val="en-US" w:eastAsia="zh-CN"/>
        </w:rPr>
      </w:pPr>
    </w:p>
    <w:p>
      <w:pPr>
        <w:pStyle w:val="5"/>
        <w:rPr>
          <w:rFonts w:hint="eastAsia"/>
          <w:color w:val="auto"/>
          <w:lang w:val="en-US" w:eastAsia="zh-CN"/>
        </w:rPr>
      </w:pPr>
    </w:p>
    <w:p>
      <w:pPr>
        <w:keepNext w:val="0"/>
        <w:keepLines w:val="0"/>
        <w:pageBreakBefore w:val="0"/>
        <w:widowControl/>
        <w:kinsoku/>
        <w:wordWrap/>
        <w:overflowPunct w:val="0"/>
        <w:topLinePunct w:val="0"/>
        <w:autoSpaceDE w:val="0"/>
        <w:autoSpaceDN w:val="0"/>
        <w:bidi w:val="0"/>
        <w:adjustRightInd w:val="0"/>
        <w:snapToGrid w:val="0"/>
        <w:spacing w:before="0" w:after="0" w:line="360" w:lineRule="auto"/>
        <w:ind w:left="0" w:leftChars="0" w:right="0"/>
        <w:jc w:val="center"/>
        <w:rPr>
          <w:rFonts w:hint="default" w:ascii="Times New Roman" w:hAnsi="Times New Roman" w:eastAsia="宋体" w:cs="Times New Roman"/>
          <w:b/>
          <w:color w:val="auto"/>
          <w:sz w:val="44"/>
          <w:szCs w:val="44"/>
          <w:lang w:val="en-US" w:eastAsia="zh-CN"/>
        </w:rPr>
      </w:pPr>
      <w:r>
        <w:rPr>
          <w:rFonts w:hint="eastAsia" w:cs="Times New Roman"/>
          <w:b/>
          <w:color w:val="auto"/>
          <w:sz w:val="44"/>
          <w:szCs w:val="44"/>
          <w:lang w:val="en-US" w:eastAsia="zh-CN"/>
        </w:rPr>
        <w:t>高台县北部滩百万千瓦风电基地40万千瓦风电项目110kV升压站及送出线路工程环境保护调查报告</w:t>
      </w:r>
    </w:p>
    <w:p>
      <w:pPr>
        <w:keepNext w:val="0"/>
        <w:keepLines w:val="0"/>
        <w:pageBreakBefore w:val="0"/>
        <w:widowControl/>
        <w:kinsoku/>
        <w:wordWrap/>
        <w:overflowPunct w:val="0"/>
        <w:topLinePunct w:val="0"/>
        <w:autoSpaceDE w:val="0"/>
        <w:autoSpaceDN w:val="0"/>
        <w:bidi w:val="0"/>
        <w:adjustRightInd w:val="0"/>
        <w:snapToGrid w:val="0"/>
        <w:spacing w:before="0" w:after="0" w:line="360" w:lineRule="auto"/>
        <w:ind w:left="0" w:leftChars="0" w:right="0"/>
        <w:jc w:val="center"/>
        <w:rPr>
          <w:rFonts w:hint="default" w:ascii="Times New Roman" w:hAnsi="Times New Roman" w:eastAsia="宋体" w:cs="Times New Roman"/>
          <w:b/>
          <w:color w:val="auto"/>
          <w:sz w:val="44"/>
          <w:szCs w:val="44"/>
          <w:lang w:val="en-US" w:eastAsia="zh-CN"/>
        </w:rPr>
      </w:pPr>
    </w:p>
    <w:p>
      <w:pPr>
        <w:bidi w:val="0"/>
        <w:rPr>
          <w:rFonts w:hint="default"/>
          <w:color w:val="auto"/>
          <w:lang w:val="en-US" w:eastAsia="zh-CN"/>
        </w:rPr>
      </w:pPr>
      <w:r>
        <w:rPr>
          <w:rFonts w:hint="default"/>
          <w:color w:val="auto"/>
          <w:lang w:val="en-US" w:eastAsia="zh-CN"/>
        </w:rPr>
        <w:t xml:space="preserve"> </w:t>
      </w:r>
    </w:p>
    <w:p>
      <w:pPr>
        <w:bidi w:val="0"/>
        <w:rPr>
          <w:rFonts w:hint="default" w:ascii="Times New Roman" w:hAnsi="Times New Roman" w:cs="Times New Roman"/>
          <w:color w:val="auto"/>
        </w:rPr>
      </w:pPr>
    </w:p>
    <w:p>
      <w:pPr>
        <w:pStyle w:val="16"/>
        <w:rPr>
          <w:rFonts w:hint="default"/>
          <w:color w:val="auto"/>
        </w:rPr>
      </w:pPr>
    </w:p>
    <w:p>
      <w:pPr>
        <w:bidi w:val="0"/>
        <w:rPr>
          <w:rFonts w:hint="default"/>
          <w:color w:val="auto"/>
        </w:rPr>
      </w:pPr>
    </w:p>
    <w:p>
      <w:pPr>
        <w:bidi w:val="0"/>
        <w:rPr>
          <w:rFonts w:hint="default"/>
          <w:color w:val="auto"/>
          <w:lang w:eastAsia="zh-CN"/>
        </w:rPr>
      </w:pPr>
    </w:p>
    <w:p>
      <w:pPr>
        <w:bidi w:val="0"/>
        <w:rPr>
          <w:rFonts w:hint="eastAsia"/>
          <w:color w:val="auto"/>
          <w:lang w:eastAsia="zh-CN"/>
        </w:rPr>
      </w:pPr>
    </w:p>
    <w:p>
      <w:pPr>
        <w:bidi w:val="0"/>
        <w:rPr>
          <w:rFonts w:hint="eastAsia"/>
          <w:color w:val="auto"/>
          <w:lang w:eastAsia="zh-CN"/>
        </w:rPr>
      </w:pPr>
    </w:p>
    <w:p>
      <w:pPr>
        <w:pStyle w:val="16"/>
        <w:rPr>
          <w:rFonts w:hint="eastAsia"/>
          <w:color w:val="auto"/>
          <w:lang w:eastAsia="zh-CN"/>
        </w:rPr>
      </w:pPr>
    </w:p>
    <w:p>
      <w:pPr>
        <w:rPr>
          <w:rFonts w:hint="eastAsia"/>
          <w:color w:val="auto"/>
          <w:lang w:eastAsia="zh-CN"/>
        </w:rPr>
      </w:pPr>
    </w:p>
    <w:p>
      <w:pPr>
        <w:pStyle w:val="16"/>
        <w:rPr>
          <w:rFonts w:hint="eastAsia"/>
          <w:color w:val="auto"/>
          <w:lang w:eastAsia="zh-CN"/>
        </w:rPr>
      </w:pPr>
    </w:p>
    <w:p>
      <w:pPr>
        <w:rPr>
          <w:rFonts w:hint="eastAsia"/>
          <w:color w:val="auto"/>
          <w:lang w:eastAsia="zh-CN"/>
        </w:rPr>
      </w:pPr>
    </w:p>
    <w:p>
      <w:pPr>
        <w:pStyle w:val="16"/>
        <w:ind w:left="0" w:leftChars="0" w:firstLine="0" w:firstLineChars="0"/>
        <w:rPr>
          <w:rFonts w:hint="eastAsia"/>
          <w:color w:val="auto"/>
          <w:lang w:eastAsia="zh-CN"/>
        </w:rPr>
      </w:pPr>
    </w:p>
    <w:p>
      <w:pPr>
        <w:rPr>
          <w:rFonts w:hint="eastAsia"/>
          <w:color w:val="auto"/>
          <w:lang w:eastAsia="zh-CN"/>
        </w:rPr>
      </w:pPr>
    </w:p>
    <w:p>
      <w:pPr>
        <w:pStyle w:val="16"/>
        <w:rPr>
          <w:rFonts w:hint="eastAsia"/>
          <w:color w:val="auto"/>
          <w:lang w:eastAsia="zh-CN"/>
        </w:rPr>
      </w:pPr>
    </w:p>
    <w:p>
      <w:pPr>
        <w:bidi w:val="0"/>
        <w:rPr>
          <w:rFonts w:hint="eastAsia"/>
          <w:color w:val="auto"/>
          <w:lang w:eastAsia="zh-CN"/>
        </w:rPr>
      </w:pPr>
    </w:p>
    <w:p>
      <w:pPr>
        <w:keepNext w:val="0"/>
        <w:keepLines w:val="0"/>
        <w:pageBreakBefore w:val="0"/>
        <w:widowControl/>
        <w:kinsoku/>
        <w:wordWrap/>
        <w:overflowPunct w:val="0"/>
        <w:topLinePunct w:val="0"/>
        <w:autoSpaceDE w:val="0"/>
        <w:autoSpaceDN w:val="0"/>
        <w:bidi w:val="0"/>
        <w:adjustRightInd w:val="0"/>
        <w:snapToGrid w:val="0"/>
        <w:spacing w:before="0" w:after="0" w:line="360" w:lineRule="auto"/>
        <w:ind w:left="1046" w:leftChars="436" w:right="0" w:firstLine="0" w:firstLineChars="0"/>
        <w:jc w:val="both"/>
        <w:rPr>
          <w:rFonts w:hint="eastAsia" w:ascii="Times New Roman" w:hAnsi="Times New Roman" w:eastAsia="宋体" w:cs="Times New Roman"/>
          <w:b/>
          <w:bCs/>
          <w:color w:val="auto"/>
          <w:sz w:val="32"/>
          <w:szCs w:val="32"/>
          <w:lang w:val="en-US" w:eastAsia="zh-CN"/>
        </w:rPr>
      </w:pPr>
      <w:r>
        <w:rPr>
          <w:rFonts w:hint="eastAsia" w:ascii="Times New Roman" w:hAnsi="Times New Roman" w:eastAsia="宋体" w:cs="Times New Roman"/>
          <w:b/>
          <w:bCs/>
          <w:color w:val="auto"/>
          <w:sz w:val="32"/>
          <w:szCs w:val="32"/>
          <w:lang w:eastAsia="zh-CN"/>
        </w:rPr>
        <w:t>建设单位：</w:t>
      </w:r>
      <w:r>
        <w:rPr>
          <w:rFonts w:hint="eastAsia" w:cs="Times New Roman"/>
          <w:b/>
          <w:bCs/>
          <w:color w:val="auto"/>
          <w:sz w:val="32"/>
          <w:szCs w:val="32"/>
          <w:u w:val="single"/>
          <w:lang w:val="en-US" w:eastAsia="zh-CN"/>
        </w:rPr>
        <w:t>张掖市立陇新能源开发有限公司</w:t>
      </w:r>
    </w:p>
    <w:p>
      <w:pPr>
        <w:keepNext w:val="0"/>
        <w:keepLines w:val="0"/>
        <w:pageBreakBefore w:val="0"/>
        <w:widowControl/>
        <w:kinsoku/>
        <w:wordWrap/>
        <w:overflowPunct w:val="0"/>
        <w:topLinePunct w:val="0"/>
        <w:autoSpaceDE w:val="0"/>
        <w:autoSpaceDN w:val="0"/>
        <w:bidi w:val="0"/>
        <w:adjustRightInd w:val="0"/>
        <w:snapToGrid w:val="0"/>
        <w:spacing w:before="0" w:after="0" w:line="360" w:lineRule="auto"/>
        <w:ind w:left="1046" w:leftChars="436" w:right="0" w:firstLine="0" w:firstLineChars="0"/>
        <w:jc w:val="both"/>
        <w:rPr>
          <w:rFonts w:hint="eastAsia" w:ascii="Times New Roman" w:hAnsi="Times New Roman" w:eastAsia="宋体" w:cs="Times New Roman"/>
          <w:b/>
          <w:bCs/>
          <w:color w:val="auto"/>
          <w:sz w:val="32"/>
          <w:szCs w:val="32"/>
          <w:u w:val="single"/>
          <w:lang w:eastAsia="zh-CN"/>
        </w:rPr>
      </w:pPr>
      <w:r>
        <w:rPr>
          <w:rFonts w:hint="eastAsia" w:ascii="Times New Roman" w:hAnsi="Times New Roman" w:eastAsia="宋体" w:cs="Times New Roman"/>
          <w:b/>
          <w:bCs/>
          <w:color w:val="auto"/>
          <w:sz w:val="32"/>
          <w:szCs w:val="32"/>
          <w:lang w:val="en-US" w:eastAsia="zh-CN"/>
        </w:rPr>
        <w:t>调查</w:t>
      </w:r>
      <w:r>
        <w:rPr>
          <w:rFonts w:hint="eastAsia" w:ascii="Times New Roman" w:hAnsi="Times New Roman" w:eastAsia="宋体" w:cs="Times New Roman"/>
          <w:b/>
          <w:bCs/>
          <w:color w:val="auto"/>
          <w:sz w:val="32"/>
          <w:szCs w:val="32"/>
          <w:lang w:eastAsia="zh-CN"/>
        </w:rPr>
        <w:t>单位：</w:t>
      </w:r>
      <w:r>
        <w:rPr>
          <w:rFonts w:hint="eastAsia" w:ascii="Times New Roman" w:hAnsi="Times New Roman" w:eastAsia="宋体" w:cs="Times New Roman"/>
          <w:b/>
          <w:bCs/>
          <w:color w:val="auto"/>
          <w:sz w:val="32"/>
          <w:szCs w:val="32"/>
          <w:u w:val="single"/>
          <w:lang w:val="en-US" w:eastAsia="zh-CN"/>
        </w:rPr>
        <w:t>高台县创思博技术咨询有限公司</w:t>
      </w:r>
    </w:p>
    <w:p>
      <w:pPr>
        <w:keepNext w:val="0"/>
        <w:keepLines w:val="0"/>
        <w:pageBreakBefore w:val="0"/>
        <w:widowControl/>
        <w:kinsoku/>
        <w:wordWrap/>
        <w:overflowPunct w:val="0"/>
        <w:topLinePunct w:val="0"/>
        <w:autoSpaceDE w:val="0"/>
        <w:autoSpaceDN w:val="0"/>
        <w:bidi w:val="0"/>
        <w:adjustRightInd w:val="0"/>
        <w:snapToGrid w:val="0"/>
        <w:spacing w:before="0" w:after="0" w:line="360" w:lineRule="auto"/>
        <w:ind w:right="0"/>
        <w:jc w:val="both"/>
        <w:rPr>
          <w:rFonts w:hint="eastAsia" w:ascii="Times New Roman" w:hAnsi="Times New Roman" w:eastAsia="宋体" w:cs="Times New Roman"/>
          <w:b/>
          <w:bCs/>
          <w:color w:val="auto"/>
          <w:sz w:val="32"/>
          <w:szCs w:val="32"/>
          <w:lang w:eastAsia="zh-CN"/>
        </w:rPr>
      </w:pPr>
    </w:p>
    <w:p>
      <w:pPr>
        <w:keepNext w:val="0"/>
        <w:keepLines w:val="0"/>
        <w:pageBreakBefore w:val="0"/>
        <w:widowControl/>
        <w:kinsoku/>
        <w:wordWrap/>
        <w:overflowPunct w:val="0"/>
        <w:topLinePunct w:val="0"/>
        <w:autoSpaceDE w:val="0"/>
        <w:autoSpaceDN w:val="0"/>
        <w:bidi w:val="0"/>
        <w:adjustRightInd w:val="0"/>
        <w:snapToGrid w:val="0"/>
        <w:spacing w:before="0" w:after="0" w:line="360" w:lineRule="auto"/>
        <w:ind w:right="0"/>
        <w:jc w:val="center"/>
        <w:rPr>
          <w:rFonts w:hint="eastAsia" w:ascii="Times New Roman" w:hAnsi="Times New Roman" w:eastAsia="宋体" w:cs="Times New Roman"/>
          <w:b/>
          <w:bCs/>
          <w:color w:val="auto"/>
          <w:sz w:val="32"/>
          <w:szCs w:val="32"/>
        </w:rPr>
      </w:pPr>
      <w:r>
        <w:rPr>
          <w:rFonts w:hint="eastAsia" w:ascii="Times New Roman" w:hAnsi="Times New Roman" w:eastAsia="宋体" w:cs="Times New Roman"/>
          <w:b/>
          <w:bCs/>
          <w:color w:val="auto"/>
          <w:sz w:val="32"/>
          <w:szCs w:val="32"/>
          <w:lang w:eastAsia="zh-CN"/>
        </w:rPr>
        <w:t>编制时间：二〇二</w:t>
      </w:r>
      <w:r>
        <w:rPr>
          <w:rFonts w:hint="eastAsia" w:ascii="Times New Roman" w:hAnsi="Times New Roman" w:eastAsia="宋体" w:cs="Times New Roman"/>
          <w:b/>
          <w:bCs/>
          <w:color w:val="auto"/>
          <w:sz w:val="32"/>
          <w:szCs w:val="32"/>
          <w:lang w:val="en-US" w:eastAsia="zh-CN"/>
        </w:rPr>
        <w:t>三</w:t>
      </w:r>
      <w:r>
        <w:rPr>
          <w:rFonts w:hint="eastAsia" w:ascii="Times New Roman" w:hAnsi="Times New Roman" w:eastAsia="宋体" w:cs="Times New Roman"/>
          <w:b/>
          <w:bCs/>
          <w:color w:val="auto"/>
          <w:sz w:val="32"/>
          <w:szCs w:val="32"/>
          <w:lang w:eastAsia="zh-CN"/>
        </w:rPr>
        <w:t>年</w:t>
      </w:r>
      <w:r>
        <w:rPr>
          <w:rFonts w:hint="eastAsia" w:cs="Times New Roman"/>
          <w:b/>
          <w:bCs/>
          <w:color w:val="auto"/>
          <w:sz w:val="32"/>
          <w:szCs w:val="32"/>
          <w:lang w:val="en-US" w:eastAsia="zh-CN"/>
        </w:rPr>
        <w:t>十一</w:t>
      </w:r>
      <w:r>
        <w:rPr>
          <w:rFonts w:hint="eastAsia" w:ascii="Times New Roman" w:hAnsi="Times New Roman" w:eastAsia="宋体" w:cs="Times New Roman"/>
          <w:b/>
          <w:bCs/>
          <w:color w:val="auto"/>
          <w:sz w:val="32"/>
          <w:szCs w:val="32"/>
          <w:lang w:eastAsia="zh-CN"/>
        </w:rPr>
        <w:t>月</w:t>
      </w:r>
    </w:p>
    <w:p>
      <w:pPr>
        <w:keepNext w:val="0"/>
        <w:keepLines w:val="0"/>
        <w:pageBreakBefore w:val="0"/>
        <w:widowControl/>
        <w:kinsoku/>
        <w:wordWrap/>
        <w:overflowPunct w:val="0"/>
        <w:topLinePunct w:val="0"/>
        <w:autoSpaceDE w:val="0"/>
        <w:autoSpaceDN w:val="0"/>
        <w:bidi w:val="0"/>
        <w:adjustRightInd w:val="0"/>
        <w:snapToGrid w:val="0"/>
        <w:spacing w:before="0" w:after="0" w:line="360" w:lineRule="auto"/>
        <w:ind w:left="1046" w:leftChars="436" w:right="0" w:firstLine="0" w:firstLineChars="0"/>
        <w:jc w:val="both"/>
        <w:rPr>
          <w:rFonts w:hint="eastAsia" w:ascii="Times New Roman" w:hAnsi="Times New Roman" w:eastAsia="宋体" w:cs="Times New Roman"/>
          <w:b/>
          <w:bCs/>
          <w:color w:val="auto"/>
          <w:sz w:val="32"/>
          <w:szCs w:val="32"/>
        </w:rPr>
        <w:sectPr>
          <w:pgSz w:w="11907" w:h="16840"/>
          <w:pgMar w:top="1440" w:right="1797" w:bottom="1440" w:left="1797" w:header="709" w:footer="709" w:gutter="0"/>
          <w:pgBorders>
            <w:top w:val="none" w:sz="0" w:space="0"/>
            <w:left w:val="none" w:sz="0" w:space="0"/>
            <w:bottom w:val="none" w:sz="0" w:space="0"/>
            <w:right w:val="none" w:sz="0" w:space="0"/>
          </w:pgBorders>
          <w:pgNumType w:fmt="numberInDash" w:start="1"/>
          <w:cols w:space="720" w:num="1"/>
          <w:docGrid w:linePitch="360" w:charSpace="0"/>
        </w:sectPr>
      </w:pPr>
    </w:p>
    <w:p>
      <w:pPr>
        <w:rPr>
          <w:rFonts w:hint="default"/>
          <w:color w:val="auto"/>
        </w:rPr>
      </w:pPr>
      <w:r>
        <w:rPr>
          <w:rFonts w:hint="default"/>
          <w:color w:val="auto"/>
        </w:rPr>
        <w:br w:type="page"/>
      </w:r>
    </w:p>
    <w:p>
      <w:pPr>
        <w:bidi w:val="0"/>
        <w:spacing w:line="480" w:lineRule="auto"/>
        <w:jc w:val="left"/>
        <w:rPr>
          <w:rFonts w:hint="default"/>
          <w:color w:val="auto"/>
          <w:lang w:eastAsia="zh-CN"/>
        </w:rPr>
      </w:pPr>
    </w:p>
    <w:p>
      <w:pPr>
        <w:bidi w:val="0"/>
        <w:spacing w:line="480" w:lineRule="auto"/>
        <w:jc w:val="left"/>
        <w:rPr>
          <w:rFonts w:hint="default"/>
          <w:color w:val="auto"/>
          <w:lang w:val="en-US" w:eastAsia="zh-CN"/>
        </w:rPr>
      </w:pPr>
      <w:r>
        <w:rPr>
          <w:rFonts w:hint="default"/>
          <w:color w:val="auto"/>
          <w:lang w:eastAsia="zh-CN"/>
        </w:rPr>
        <w:t>建设单位法人代表（授权代表）：</w:t>
      </w:r>
      <w:r>
        <w:rPr>
          <w:rFonts w:hint="eastAsia"/>
          <w:color w:val="auto"/>
          <w:lang w:val="en-US" w:eastAsia="zh-CN"/>
        </w:rPr>
        <w:t>曹经</w:t>
      </w:r>
      <w:r>
        <w:rPr>
          <w:rFonts w:hint="default"/>
          <w:color w:val="auto"/>
          <w:lang w:val="en-US" w:eastAsia="zh-CN"/>
        </w:rPr>
        <w:t xml:space="preserve">              （签名）</w:t>
      </w:r>
    </w:p>
    <w:p>
      <w:pPr>
        <w:bidi w:val="0"/>
        <w:spacing w:line="480" w:lineRule="auto"/>
        <w:rPr>
          <w:rFonts w:hint="default"/>
          <w:color w:val="auto"/>
          <w:lang w:eastAsia="zh-CN"/>
        </w:rPr>
      </w:pPr>
      <w:r>
        <w:rPr>
          <w:rFonts w:hint="default"/>
          <w:color w:val="auto"/>
          <w:lang w:val="en-US" w:eastAsia="zh-CN"/>
        </w:rPr>
        <w:t>调查单位法人代表：</w:t>
      </w:r>
      <w:r>
        <w:rPr>
          <w:rFonts w:hint="default"/>
          <w:color w:val="auto"/>
          <w:lang w:val="en-US" w:eastAsia="zh-CN"/>
        </w:rPr>
        <w:fldChar w:fldCharType="begin"/>
      </w:r>
      <w:r>
        <w:rPr>
          <w:rFonts w:hint="default"/>
          <w:color w:val="auto"/>
          <w:lang w:val="en-US" w:eastAsia="zh-CN"/>
        </w:rPr>
        <w:instrText xml:space="preserve"> HYPERLINK "https://aiqicha.baidu.com/person?personId=aac5562efbc0856280f4f7aeefebe8f9&amp;entry=2115" \t "https://aiqicha.baidu.com/detail/_blank" </w:instrText>
      </w:r>
      <w:r>
        <w:rPr>
          <w:rFonts w:hint="default"/>
          <w:color w:val="auto"/>
          <w:lang w:val="en-US" w:eastAsia="zh-CN"/>
        </w:rPr>
        <w:fldChar w:fldCharType="separate"/>
      </w:r>
      <w:r>
        <w:rPr>
          <w:rFonts w:hint="default"/>
          <w:color w:val="auto"/>
          <w:lang w:val="en-US" w:eastAsia="zh-CN"/>
        </w:rPr>
        <w:t>王风俭</w:t>
      </w:r>
      <w:r>
        <w:rPr>
          <w:rFonts w:hint="default"/>
          <w:color w:val="auto"/>
          <w:lang w:val="en-US" w:eastAsia="zh-CN"/>
        </w:rPr>
        <w:fldChar w:fldCharType="end"/>
      </w:r>
      <w:r>
        <w:rPr>
          <w:rFonts w:hint="default"/>
          <w:color w:val="auto"/>
          <w:lang w:val="en-US" w:eastAsia="zh-CN"/>
        </w:rPr>
        <w:t xml:space="preserve">                        （签名）</w:t>
      </w:r>
    </w:p>
    <w:p>
      <w:pPr>
        <w:pStyle w:val="5"/>
        <w:rPr>
          <w:rFonts w:hint="default"/>
          <w:color w:val="auto"/>
          <w:lang w:eastAsia="zh-CN"/>
        </w:rPr>
      </w:pPr>
    </w:p>
    <w:p>
      <w:pPr>
        <w:rPr>
          <w:rFonts w:hint="default"/>
          <w:color w:val="auto"/>
          <w:lang w:eastAsia="zh-CN"/>
        </w:rPr>
      </w:pPr>
    </w:p>
    <w:p>
      <w:pPr>
        <w:pStyle w:val="5"/>
        <w:rPr>
          <w:rFonts w:hint="default"/>
          <w:color w:val="auto"/>
          <w:lang w:eastAsia="zh-CN"/>
        </w:rPr>
      </w:pPr>
    </w:p>
    <w:p>
      <w:pPr>
        <w:rPr>
          <w:rFonts w:hint="default"/>
          <w:color w:val="auto"/>
          <w:lang w:eastAsia="zh-CN"/>
        </w:rPr>
      </w:pPr>
    </w:p>
    <w:p>
      <w:pPr>
        <w:pStyle w:val="5"/>
        <w:rPr>
          <w:rFonts w:hint="default"/>
          <w:color w:val="auto"/>
          <w:lang w:eastAsia="zh-CN"/>
        </w:rPr>
      </w:pPr>
    </w:p>
    <w:p>
      <w:pPr>
        <w:rPr>
          <w:rFonts w:hint="default"/>
          <w:color w:val="auto"/>
          <w:lang w:eastAsia="zh-CN"/>
        </w:rPr>
      </w:pPr>
    </w:p>
    <w:p>
      <w:pPr>
        <w:pStyle w:val="5"/>
        <w:rPr>
          <w:rFonts w:hint="default"/>
          <w:color w:val="auto"/>
          <w:lang w:eastAsia="zh-CN"/>
        </w:rPr>
      </w:pPr>
    </w:p>
    <w:p>
      <w:pPr>
        <w:rPr>
          <w:rFonts w:hint="default"/>
          <w:color w:val="auto"/>
          <w:lang w:eastAsia="zh-CN"/>
        </w:rPr>
      </w:pPr>
    </w:p>
    <w:p>
      <w:pPr>
        <w:pStyle w:val="5"/>
        <w:rPr>
          <w:rFonts w:hint="default"/>
          <w:color w:val="auto"/>
          <w:lang w:eastAsia="zh-CN"/>
        </w:rPr>
      </w:pPr>
    </w:p>
    <w:p>
      <w:pPr>
        <w:rPr>
          <w:rFonts w:hint="default"/>
          <w:color w:val="auto"/>
          <w:lang w:eastAsia="zh-CN"/>
        </w:rPr>
      </w:pPr>
    </w:p>
    <w:p>
      <w:pPr>
        <w:rPr>
          <w:rFonts w:hint="default"/>
          <w:color w:val="auto"/>
          <w:lang w:eastAsia="zh-CN"/>
        </w:rPr>
      </w:pPr>
    </w:p>
    <w:p>
      <w:pPr>
        <w:pStyle w:val="5"/>
        <w:rPr>
          <w:rFonts w:hint="default"/>
          <w:color w:val="auto"/>
          <w:lang w:eastAsia="zh-CN"/>
        </w:rPr>
      </w:pPr>
    </w:p>
    <w:tbl>
      <w:tblPr>
        <w:tblStyle w:val="1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0"/>
        <w:gridCol w:w="4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485" w:type="pct"/>
            <w:noWrap w:val="0"/>
            <w:vAlign w:val="center"/>
          </w:tcPr>
          <w:p>
            <w:pPr>
              <w:bidi w:val="0"/>
              <w:spacing w:line="240" w:lineRule="auto"/>
              <w:jc w:val="both"/>
              <w:rPr>
                <w:rFonts w:hint="default" w:eastAsia="宋体" w:cs="Times New Roman"/>
                <w:color w:val="auto"/>
                <w:lang w:val="en-US" w:eastAsia="zh-CN"/>
              </w:rPr>
            </w:pPr>
            <w:r>
              <w:rPr>
                <w:rFonts w:hint="default" w:eastAsia="宋体" w:cs="Times New Roman"/>
                <w:b/>
                <w:bCs/>
                <w:color w:val="auto"/>
                <w:lang w:val="en-US" w:eastAsia="zh-CN"/>
              </w:rPr>
              <w:t>建设单位：</w:t>
            </w:r>
            <w:r>
              <w:rPr>
                <w:rFonts w:hint="eastAsia" w:cs="Times New Roman"/>
                <w:color w:val="auto"/>
                <w:lang w:val="en-US" w:eastAsia="zh-CN"/>
              </w:rPr>
              <w:t>张掖市立陇新能源开发有限公司</w:t>
            </w:r>
            <w:r>
              <w:rPr>
                <w:rFonts w:hint="default" w:eastAsia="宋体" w:cs="Times New Roman"/>
                <w:color w:val="auto"/>
                <w:lang w:val="en-US" w:eastAsia="zh-CN"/>
              </w:rPr>
              <w:t>（盖章）</w:t>
            </w:r>
          </w:p>
        </w:tc>
        <w:tc>
          <w:tcPr>
            <w:tcW w:w="2514" w:type="pct"/>
            <w:noWrap w:val="0"/>
            <w:vAlign w:val="center"/>
          </w:tcPr>
          <w:p>
            <w:pPr>
              <w:bidi w:val="0"/>
              <w:spacing w:line="240" w:lineRule="auto"/>
              <w:jc w:val="both"/>
              <w:rPr>
                <w:rFonts w:hint="default" w:eastAsia="宋体" w:cs="Times New Roman"/>
                <w:color w:val="auto"/>
                <w:lang w:val="en-US" w:eastAsia="zh-CN"/>
              </w:rPr>
            </w:pPr>
            <w:r>
              <w:rPr>
                <w:rFonts w:hint="default" w:eastAsia="宋体" w:cs="Times New Roman"/>
                <w:b/>
                <w:bCs/>
                <w:color w:val="auto"/>
                <w:lang w:val="en-US" w:eastAsia="zh-CN"/>
              </w:rPr>
              <w:t>调查单位：</w:t>
            </w:r>
            <w:r>
              <w:rPr>
                <w:rFonts w:hint="default" w:eastAsia="宋体" w:cs="Times New Roman"/>
                <w:color w:val="auto"/>
                <w:lang w:val="en-US" w:eastAsia="zh-CN"/>
              </w:rPr>
              <w:t>高台县创思博技术咨询有限公司（盖章）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485" w:type="pct"/>
            <w:noWrap w:val="0"/>
            <w:vAlign w:val="center"/>
          </w:tcPr>
          <w:p>
            <w:pPr>
              <w:bidi w:val="0"/>
              <w:spacing w:line="240" w:lineRule="auto"/>
              <w:jc w:val="both"/>
              <w:rPr>
                <w:rFonts w:hint="default" w:eastAsia="宋体" w:cs="Times New Roman"/>
                <w:color w:val="auto"/>
                <w:lang w:val="en-US" w:eastAsia="zh-CN"/>
              </w:rPr>
            </w:pPr>
            <w:r>
              <w:rPr>
                <w:rFonts w:hint="default" w:eastAsia="宋体" w:cs="Times New Roman"/>
                <w:b/>
                <w:bCs/>
                <w:color w:val="auto"/>
                <w:lang w:val="en-US" w:eastAsia="zh-CN"/>
              </w:rPr>
              <w:t>电话：</w:t>
            </w:r>
            <w:r>
              <w:rPr>
                <w:rFonts w:hint="eastAsia" w:cs="Times New Roman"/>
                <w:color w:val="auto"/>
                <w:lang w:val="en-US" w:eastAsia="zh-CN"/>
              </w:rPr>
              <w:t>18093100672</w:t>
            </w:r>
          </w:p>
        </w:tc>
        <w:tc>
          <w:tcPr>
            <w:tcW w:w="2514" w:type="pct"/>
            <w:noWrap w:val="0"/>
            <w:vAlign w:val="center"/>
          </w:tcPr>
          <w:p>
            <w:pPr>
              <w:bidi w:val="0"/>
              <w:spacing w:line="240" w:lineRule="auto"/>
              <w:jc w:val="both"/>
              <w:rPr>
                <w:rFonts w:hint="default"/>
                <w:color w:val="auto"/>
                <w:lang w:eastAsia="zh-CN"/>
              </w:rPr>
            </w:pPr>
            <w:r>
              <w:rPr>
                <w:rFonts w:hint="default"/>
                <w:b/>
                <w:bCs/>
                <w:color w:val="auto"/>
                <w:lang w:val="en-US" w:eastAsia="zh-CN"/>
              </w:rPr>
              <w:t>电话：</w:t>
            </w:r>
            <w:r>
              <w:rPr>
                <w:rFonts w:hint="default" w:eastAsia="宋体" w:cs="Times New Roman"/>
                <w:color w:val="auto"/>
                <w:lang w:val="en-US" w:eastAsia="zh-CN"/>
              </w:rPr>
              <w:t>18293610808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485" w:type="pct"/>
            <w:noWrap w:val="0"/>
            <w:vAlign w:val="center"/>
          </w:tcPr>
          <w:p>
            <w:pPr>
              <w:bidi w:val="0"/>
              <w:spacing w:line="240" w:lineRule="auto"/>
              <w:jc w:val="both"/>
              <w:rPr>
                <w:rFonts w:hint="default"/>
                <w:color w:val="auto"/>
                <w:lang w:eastAsia="zh-CN"/>
              </w:rPr>
            </w:pPr>
            <w:r>
              <w:rPr>
                <w:rFonts w:hint="default"/>
                <w:b/>
                <w:bCs/>
                <w:color w:val="auto"/>
                <w:lang w:val="en-US" w:eastAsia="zh-CN"/>
              </w:rPr>
              <w:t>传真：</w:t>
            </w:r>
          </w:p>
        </w:tc>
        <w:tc>
          <w:tcPr>
            <w:tcW w:w="2514" w:type="pct"/>
            <w:noWrap w:val="0"/>
            <w:vAlign w:val="center"/>
          </w:tcPr>
          <w:p>
            <w:pPr>
              <w:bidi w:val="0"/>
              <w:spacing w:line="240" w:lineRule="auto"/>
              <w:jc w:val="both"/>
              <w:rPr>
                <w:rFonts w:hint="default"/>
                <w:color w:val="auto"/>
                <w:lang w:eastAsia="zh-CN"/>
              </w:rPr>
            </w:pPr>
            <w:r>
              <w:rPr>
                <w:rFonts w:hint="default"/>
                <w:b/>
                <w:bCs/>
                <w:color w:val="auto"/>
                <w:lang w:val="en-US" w:eastAsia="zh-CN"/>
              </w:rPr>
              <w:t>传真：</w:t>
            </w:r>
            <w:r>
              <w:rPr>
                <w:rFonts w:hint="eastAsia"/>
                <w:b/>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485" w:type="pct"/>
            <w:noWrap w:val="0"/>
            <w:vAlign w:val="center"/>
          </w:tcPr>
          <w:p>
            <w:pPr>
              <w:bidi w:val="0"/>
              <w:spacing w:line="240" w:lineRule="auto"/>
              <w:jc w:val="both"/>
              <w:rPr>
                <w:rFonts w:hint="default" w:eastAsia="宋体" w:cs="Times New Roman"/>
                <w:color w:val="auto"/>
                <w:lang w:val="en-US" w:eastAsia="zh-CN"/>
              </w:rPr>
            </w:pPr>
            <w:r>
              <w:rPr>
                <w:rFonts w:hint="default" w:eastAsia="宋体" w:cs="Times New Roman"/>
                <w:b/>
                <w:bCs/>
                <w:color w:val="auto"/>
                <w:lang w:val="en-US" w:eastAsia="zh-CN"/>
              </w:rPr>
              <w:t>邮编：</w:t>
            </w:r>
            <w:r>
              <w:rPr>
                <w:rFonts w:hint="default" w:eastAsia="宋体" w:cs="Times New Roman"/>
                <w:color w:val="auto"/>
                <w:lang w:val="en-US" w:eastAsia="zh-CN"/>
              </w:rPr>
              <w:t>734000</w:t>
            </w:r>
          </w:p>
        </w:tc>
        <w:tc>
          <w:tcPr>
            <w:tcW w:w="2514" w:type="pct"/>
            <w:noWrap w:val="0"/>
            <w:vAlign w:val="center"/>
          </w:tcPr>
          <w:p>
            <w:pPr>
              <w:bidi w:val="0"/>
              <w:spacing w:line="240" w:lineRule="auto"/>
              <w:jc w:val="both"/>
              <w:rPr>
                <w:rFonts w:hint="default"/>
                <w:color w:val="auto"/>
                <w:lang w:val="en-US" w:eastAsia="zh-CN"/>
              </w:rPr>
            </w:pPr>
            <w:r>
              <w:rPr>
                <w:rFonts w:hint="default"/>
                <w:b/>
                <w:bCs/>
                <w:color w:val="auto"/>
                <w:lang w:val="en-US" w:eastAsia="zh-CN"/>
              </w:rPr>
              <w:t>邮编：</w:t>
            </w:r>
            <w:r>
              <w:rPr>
                <w:rFonts w:hint="default" w:eastAsia="宋体" w:cs="Times New Roman"/>
                <w:color w:val="auto"/>
                <w:lang w:val="en-US" w:eastAsia="zh-CN"/>
              </w:rPr>
              <w:t>734</w:t>
            </w:r>
            <w:r>
              <w:rPr>
                <w:rFonts w:hint="eastAsia" w:cs="Times New Roman"/>
                <w:color w:val="auto"/>
                <w:lang w:val="en-US" w:eastAsia="zh-CN"/>
              </w:rPr>
              <w:t>3</w:t>
            </w:r>
            <w:r>
              <w:rPr>
                <w:rFonts w:hint="default" w:eastAsia="宋体" w:cs="Times New Roman"/>
                <w:color w:val="auto"/>
                <w:lang w:val="en-US" w:eastAsia="zh-CN"/>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485" w:type="pct"/>
            <w:noWrap w:val="0"/>
            <w:vAlign w:val="center"/>
          </w:tcPr>
          <w:p>
            <w:pPr>
              <w:bidi w:val="0"/>
              <w:spacing w:line="240" w:lineRule="auto"/>
              <w:jc w:val="both"/>
              <w:rPr>
                <w:rFonts w:hint="default" w:eastAsia="宋体" w:cs="Times New Roman"/>
                <w:color w:val="auto"/>
                <w:lang w:val="en-US" w:eastAsia="zh-CN"/>
              </w:rPr>
            </w:pPr>
            <w:r>
              <w:rPr>
                <w:rFonts w:hint="default" w:eastAsia="宋体" w:cs="Times New Roman"/>
                <w:b/>
                <w:bCs/>
                <w:color w:val="auto"/>
                <w:lang w:val="en-US" w:eastAsia="zh-CN"/>
              </w:rPr>
              <w:t>地址：</w:t>
            </w:r>
            <w:r>
              <w:rPr>
                <w:rFonts w:hint="eastAsia" w:cs="Times New Roman"/>
                <w:color w:val="auto"/>
                <w:lang w:val="en-US" w:eastAsia="zh-CN"/>
              </w:rPr>
              <w:t>甘肃省张掖市高台县城关镇滨河社区创业街11号</w:t>
            </w:r>
          </w:p>
        </w:tc>
        <w:tc>
          <w:tcPr>
            <w:tcW w:w="2514" w:type="pct"/>
            <w:noWrap w:val="0"/>
            <w:vAlign w:val="center"/>
          </w:tcPr>
          <w:p>
            <w:pPr>
              <w:bidi w:val="0"/>
              <w:spacing w:line="240" w:lineRule="auto"/>
              <w:jc w:val="both"/>
              <w:rPr>
                <w:rFonts w:hint="default"/>
                <w:color w:val="auto"/>
                <w:lang w:eastAsia="zh-CN"/>
              </w:rPr>
            </w:pPr>
            <w:r>
              <w:rPr>
                <w:rFonts w:hint="default"/>
                <w:b/>
                <w:bCs/>
                <w:color w:val="auto"/>
                <w:lang w:val="en-US" w:eastAsia="zh-CN"/>
              </w:rPr>
              <w:t>地址：</w:t>
            </w:r>
            <w:r>
              <w:rPr>
                <w:rFonts w:hint="default" w:eastAsia="宋体" w:cs="Times New Roman"/>
                <w:color w:val="auto"/>
                <w:lang w:val="en-US" w:eastAsia="zh-CN"/>
              </w:rPr>
              <w:t>甘肃省张掖市高台县城关镇滨河社区水韵街329号（湿地新区规划2号路南侧鼎誉创业孵化园A栋三楼318室）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485" w:type="pct"/>
            <w:noWrap w:val="0"/>
            <w:vAlign w:val="center"/>
          </w:tcPr>
          <w:p>
            <w:pPr>
              <w:bidi w:val="0"/>
              <w:spacing w:line="240" w:lineRule="auto"/>
              <w:jc w:val="both"/>
              <w:rPr>
                <w:rFonts w:hint="default"/>
                <w:color w:val="auto"/>
                <w:lang w:eastAsia="zh-CN"/>
              </w:rPr>
            </w:pPr>
            <w:r>
              <w:rPr>
                <w:rFonts w:hint="default"/>
                <w:b/>
                <w:bCs/>
                <w:color w:val="auto"/>
                <w:lang w:val="en-US" w:eastAsia="zh-CN"/>
              </w:rPr>
              <w:t>监测单位：</w:t>
            </w:r>
            <w:r>
              <w:rPr>
                <w:rFonts w:hint="eastAsia" w:cs="Times New Roman"/>
                <w:color w:val="auto"/>
                <w:lang w:val="en-US" w:eastAsia="zh-CN"/>
              </w:rPr>
              <w:t>甘肃领越检测技术有限公司</w:t>
            </w:r>
          </w:p>
        </w:tc>
        <w:tc>
          <w:tcPr>
            <w:tcW w:w="2514" w:type="pct"/>
            <w:noWrap w:val="0"/>
            <w:vAlign w:val="center"/>
          </w:tcPr>
          <w:p>
            <w:pPr>
              <w:bidi w:val="0"/>
              <w:spacing w:line="240" w:lineRule="auto"/>
              <w:jc w:val="both"/>
              <w:rPr>
                <w:rFonts w:hint="default"/>
                <w:color w:val="auto"/>
                <w:lang w:eastAsia="zh-CN"/>
              </w:rPr>
            </w:pPr>
          </w:p>
        </w:tc>
      </w:tr>
    </w:tbl>
    <w:p>
      <w:pPr>
        <w:bidi w:val="0"/>
        <w:rPr>
          <w:rFonts w:hint="default"/>
          <w:color w:val="auto"/>
        </w:rPr>
      </w:pPr>
      <w:r>
        <w:rPr>
          <w:rFonts w:hint="default"/>
          <w:color w:val="auto"/>
        </w:rPr>
        <w:br w:type="page"/>
      </w:r>
    </w:p>
    <w:p>
      <w:pPr>
        <w:bidi w:val="0"/>
        <w:rPr>
          <w:rFonts w:hint="default"/>
          <w:color w:val="auto"/>
        </w:rPr>
        <w:sectPr>
          <w:footerReference r:id="rId5" w:type="default"/>
          <w:pgSz w:w="11907" w:h="16840"/>
          <w:pgMar w:top="1440" w:right="1797" w:bottom="1440" w:left="1797" w:header="709" w:footer="709" w:gutter="0"/>
          <w:pgBorders>
            <w:top w:val="none" w:sz="0" w:space="0"/>
            <w:left w:val="none" w:sz="0" w:space="0"/>
            <w:bottom w:val="none" w:sz="0" w:space="0"/>
            <w:right w:val="none" w:sz="0" w:space="0"/>
          </w:pgBorders>
          <w:pgNumType w:fmt="numberInDash" w:start="1"/>
          <w:cols w:space="720" w:num="1"/>
          <w:docGrid w:linePitch="360" w:charSpace="0"/>
        </w:sectPr>
      </w:pPr>
    </w:p>
    <w:p>
      <w:pPr>
        <w:bidi w:val="0"/>
        <w:rPr>
          <w:color w:val="auto"/>
        </w:rPr>
      </w:pPr>
    </w:p>
    <w:p>
      <w:pPr>
        <w:bidi w:val="0"/>
        <w:rPr>
          <w:rFonts w:hint="default"/>
          <w:color w:val="auto"/>
        </w:rPr>
      </w:pPr>
    </w:p>
    <w:p>
      <w:pPr>
        <w:bidi w:val="0"/>
        <w:rPr>
          <w:rFonts w:hint="default"/>
          <w:color w:val="auto"/>
        </w:rPr>
        <w:sectPr>
          <w:footerReference r:id="rId6" w:type="default"/>
          <w:pgSz w:w="11907" w:h="16840"/>
          <w:pgMar w:top="1440" w:right="1797" w:bottom="1440" w:left="1797" w:header="709" w:footer="709" w:gutter="0"/>
          <w:pgBorders>
            <w:top w:val="none" w:sz="0" w:space="0"/>
            <w:left w:val="none" w:sz="0" w:space="0"/>
            <w:bottom w:val="none" w:sz="0" w:space="0"/>
            <w:right w:val="none" w:sz="0" w:space="0"/>
          </w:pgBorders>
          <w:pgNumType w:fmt="numberInDash" w:start="1"/>
          <w:cols w:space="720" w:num="1"/>
          <w:docGrid w:linePitch="360" w:charSpace="0"/>
        </w:sectPr>
      </w:pPr>
    </w:p>
    <w:p>
      <w:pPr>
        <w:bidi w:val="0"/>
        <w:spacing w:line="360" w:lineRule="auto"/>
        <w:jc w:val="center"/>
        <w:rPr>
          <w:b/>
          <w:bCs/>
          <w:color w:val="auto"/>
          <w:sz w:val="28"/>
          <w:szCs w:val="28"/>
        </w:rPr>
      </w:pPr>
      <w:r>
        <w:rPr>
          <w:b/>
          <w:bCs/>
          <w:color w:val="auto"/>
          <w:sz w:val="28"/>
          <w:szCs w:val="28"/>
        </w:rPr>
        <w:t>表</w:t>
      </w:r>
      <w:r>
        <w:rPr>
          <w:rFonts w:hint="eastAsia"/>
          <w:b/>
          <w:bCs/>
          <w:color w:val="auto"/>
          <w:sz w:val="28"/>
          <w:szCs w:val="28"/>
          <w:lang w:val="en-US" w:eastAsia="zh-CN"/>
        </w:rPr>
        <w:t>1</w:t>
      </w:r>
      <w:r>
        <w:rPr>
          <w:b/>
          <w:bCs/>
          <w:color w:val="auto"/>
          <w:sz w:val="28"/>
          <w:szCs w:val="28"/>
        </w:rPr>
        <w:t xml:space="preserve">    建设项目总体情况</w:t>
      </w:r>
    </w:p>
    <w:tbl>
      <w:tblPr>
        <w:tblStyle w:val="15"/>
        <w:tblW w:w="9340" w:type="dxa"/>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13"/>
        <w:gridCol w:w="3166"/>
        <w:gridCol w:w="1067"/>
        <w:gridCol w:w="824"/>
        <w:gridCol w:w="143"/>
        <w:gridCol w:w="933"/>
        <w:gridCol w:w="197"/>
        <w:gridCol w:w="153"/>
        <w:gridCol w:w="617"/>
        <w:gridCol w:w="150"/>
        <w:gridCol w:w="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rFonts w:hint="eastAsia"/>
                <w:color w:val="auto"/>
                <w:lang w:val="en-US" w:eastAsia="zh-CN"/>
              </w:rPr>
            </w:pPr>
            <w:r>
              <w:rPr>
                <w:rFonts w:hint="eastAsia"/>
                <w:color w:val="auto"/>
                <w:lang w:val="en-US" w:eastAsia="zh-CN"/>
              </w:rPr>
              <w:t>建设项目</w:t>
            </w:r>
          </w:p>
          <w:p>
            <w:pPr>
              <w:bidi w:val="0"/>
              <w:spacing w:line="240" w:lineRule="auto"/>
              <w:jc w:val="center"/>
              <w:rPr>
                <w:rFonts w:hint="eastAsia"/>
                <w:color w:val="auto"/>
                <w:lang w:val="en-US" w:eastAsia="zh-CN"/>
              </w:rPr>
            </w:pPr>
            <w:r>
              <w:rPr>
                <w:rFonts w:hint="eastAsia"/>
                <w:color w:val="auto"/>
                <w:lang w:val="en-US" w:eastAsia="zh-CN"/>
              </w:rPr>
              <w:t>名称</w:t>
            </w:r>
          </w:p>
        </w:tc>
        <w:tc>
          <w:tcPr>
            <w:tcW w:w="8127" w:type="dxa"/>
            <w:gridSpan w:val="10"/>
            <w:vAlign w:val="center"/>
          </w:tcPr>
          <w:p>
            <w:pPr>
              <w:bidi w:val="0"/>
              <w:spacing w:line="240" w:lineRule="auto"/>
              <w:jc w:val="center"/>
              <w:rPr>
                <w:rFonts w:hint="eastAsia"/>
                <w:color w:val="auto"/>
                <w:lang w:val="en-US" w:eastAsia="zh-CN"/>
              </w:rPr>
            </w:pPr>
            <w:r>
              <w:rPr>
                <w:rFonts w:hint="eastAsia"/>
                <w:color w:val="auto"/>
                <w:lang w:val="en-US" w:eastAsia="zh-CN"/>
              </w:rPr>
              <w:t>高台县北部滩百万千瓦风电基地40万千瓦风电项目110kV升压站及送出线路工程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rFonts w:eastAsia="宋体"/>
                <w:color w:val="auto"/>
              </w:rPr>
            </w:pPr>
            <w:r>
              <w:rPr>
                <w:rFonts w:eastAsia="宋体"/>
                <w:color w:val="auto"/>
              </w:rPr>
              <w:t>建设单位</w:t>
            </w:r>
          </w:p>
        </w:tc>
        <w:tc>
          <w:tcPr>
            <w:tcW w:w="8127" w:type="dxa"/>
            <w:gridSpan w:val="10"/>
            <w:vAlign w:val="center"/>
          </w:tcPr>
          <w:p>
            <w:pPr>
              <w:bidi w:val="0"/>
              <w:spacing w:line="240" w:lineRule="auto"/>
              <w:jc w:val="center"/>
              <w:rPr>
                <w:rFonts w:eastAsia="宋体"/>
                <w:color w:val="auto"/>
              </w:rPr>
            </w:pPr>
            <w:r>
              <w:rPr>
                <w:rFonts w:hint="eastAsia"/>
                <w:color w:val="auto"/>
                <w:lang w:val="en-US" w:eastAsia="zh-CN"/>
              </w:rPr>
              <w:t>张掖市立陇新能源开发有限公司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rFonts w:hint="eastAsia"/>
                <w:color w:val="auto"/>
                <w:lang w:val="en-US" w:eastAsia="zh-CN"/>
              </w:rPr>
            </w:pPr>
            <w:r>
              <w:rPr>
                <w:rFonts w:hint="eastAsia"/>
                <w:color w:val="auto"/>
                <w:lang w:val="en-US" w:eastAsia="zh-CN"/>
              </w:rPr>
              <w:t>法人代表/</w:t>
            </w:r>
          </w:p>
          <w:p>
            <w:pPr>
              <w:bidi w:val="0"/>
              <w:spacing w:line="240" w:lineRule="auto"/>
              <w:jc w:val="center"/>
              <w:rPr>
                <w:rFonts w:hint="eastAsia"/>
                <w:color w:val="auto"/>
                <w:lang w:val="en-US" w:eastAsia="zh-CN"/>
              </w:rPr>
            </w:pPr>
            <w:r>
              <w:rPr>
                <w:rFonts w:hint="eastAsia"/>
                <w:color w:val="auto"/>
                <w:lang w:val="en-US" w:eastAsia="zh-CN"/>
              </w:rPr>
              <w:t>授权代表</w:t>
            </w:r>
          </w:p>
        </w:tc>
        <w:tc>
          <w:tcPr>
            <w:tcW w:w="4233" w:type="dxa"/>
            <w:gridSpan w:val="2"/>
            <w:vAlign w:val="center"/>
          </w:tcPr>
          <w:p>
            <w:pPr>
              <w:bidi w:val="0"/>
              <w:spacing w:line="240" w:lineRule="auto"/>
              <w:jc w:val="center"/>
              <w:rPr>
                <w:rFonts w:hint="eastAsia"/>
                <w:color w:val="auto"/>
                <w:lang w:val="en-US" w:eastAsia="zh-CN"/>
              </w:rPr>
            </w:pPr>
            <w:r>
              <w:rPr>
                <w:rFonts w:hint="default"/>
                <w:color w:val="auto"/>
                <w:lang w:val="en-US" w:eastAsia="zh-CN"/>
              </w:rPr>
              <w:fldChar w:fldCharType="begin"/>
            </w:r>
            <w:r>
              <w:rPr>
                <w:rFonts w:hint="default"/>
                <w:color w:val="auto"/>
                <w:lang w:val="en-US" w:eastAsia="zh-CN"/>
              </w:rPr>
              <w:instrText xml:space="preserve"> HYPERLINK "https://aiqicha.baidu.com/person?personId=bc201681e81dcb6908eeaf10d9219c14&amp;entry=2115" \t "https://aiqicha.baidu.com/_blank" </w:instrText>
            </w:r>
            <w:r>
              <w:rPr>
                <w:rFonts w:hint="default"/>
                <w:color w:val="auto"/>
                <w:lang w:val="en-US" w:eastAsia="zh-CN"/>
              </w:rPr>
              <w:fldChar w:fldCharType="separate"/>
            </w:r>
            <w:r>
              <w:rPr>
                <w:rFonts w:hint="eastAsia"/>
                <w:color w:val="auto"/>
                <w:lang w:val="en-US" w:eastAsia="zh-CN"/>
              </w:rPr>
              <w:t>曹经</w:t>
            </w:r>
            <w:r>
              <w:rPr>
                <w:rFonts w:hint="default"/>
                <w:color w:val="auto"/>
                <w:lang w:val="en-US" w:eastAsia="zh-CN"/>
              </w:rPr>
              <w:fldChar w:fldCharType="end"/>
            </w:r>
          </w:p>
        </w:tc>
        <w:tc>
          <w:tcPr>
            <w:tcW w:w="824" w:type="dxa"/>
            <w:vAlign w:val="center"/>
          </w:tcPr>
          <w:p>
            <w:pPr>
              <w:bidi w:val="0"/>
              <w:spacing w:line="240" w:lineRule="auto"/>
              <w:jc w:val="center"/>
              <w:rPr>
                <w:rFonts w:hint="eastAsia"/>
                <w:color w:val="auto"/>
                <w:lang w:val="en-US" w:eastAsia="zh-CN"/>
              </w:rPr>
            </w:pPr>
            <w:r>
              <w:rPr>
                <w:rFonts w:hint="eastAsia"/>
                <w:color w:val="auto"/>
                <w:lang w:val="en-US" w:eastAsia="zh-CN"/>
              </w:rPr>
              <w:t>联系人</w:t>
            </w:r>
          </w:p>
        </w:tc>
        <w:tc>
          <w:tcPr>
            <w:tcW w:w="3070" w:type="dxa"/>
            <w:gridSpan w:val="7"/>
            <w:vAlign w:val="center"/>
          </w:tcPr>
          <w:p>
            <w:pPr>
              <w:bidi w:val="0"/>
              <w:spacing w:line="240" w:lineRule="auto"/>
              <w:jc w:val="center"/>
              <w:rPr>
                <w:rFonts w:hint="eastAsia"/>
                <w:color w:val="auto"/>
                <w:lang w:val="en-US" w:eastAsia="zh-CN"/>
              </w:rPr>
            </w:pPr>
            <w:r>
              <w:rPr>
                <w:rFonts w:hint="eastAsia"/>
                <w:color w:val="auto"/>
                <w:lang w:val="en-US" w:eastAsia="zh-CN"/>
              </w:rPr>
              <w:t>赵子轩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rFonts w:hint="eastAsia"/>
                <w:color w:val="auto"/>
                <w:lang w:val="en-US" w:eastAsia="zh-CN"/>
              </w:rPr>
            </w:pPr>
            <w:r>
              <w:rPr>
                <w:rFonts w:hint="eastAsia"/>
                <w:color w:val="auto"/>
                <w:lang w:val="en-US" w:eastAsia="zh-CN"/>
              </w:rPr>
              <w:t>通讯地址</w:t>
            </w:r>
          </w:p>
        </w:tc>
        <w:tc>
          <w:tcPr>
            <w:tcW w:w="8127" w:type="dxa"/>
            <w:gridSpan w:val="10"/>
            <w:vAlign w:val="center"/>
          </w:tcPr>
          <w:p>
            <w:pPr>
              <w:bidi w:val="0"/>
              <w:spacing w:line="240" w:lineRule="auto"/>
              <w:jc w:val="center"/>
              <w:rPr>
                <w:rFonts w:hint="eastAsia"/>
                <w:color w:val="auto"/>
                <w:lang w:val="en-US" w:eastAsia="zh-CN"/>
              </w:rPr>
            </w:pPr>
            <w:r>
              <w:rPr>
                <w:rFonts w:hint="eastAsia"/>
                <w:color w:val="auto"/>
                <w:lang w:val="en-US" w:eastAsia="zh-CN"/>
              </w:rPr>
              <w:t>甘肃省张掖市高台县城关镇滨河社区创业街11号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rFonts w:hint="eastAsia"/>
                <w:color w:val="auto"/>
                <w:lang w:val="en-US" w:eastAsia="zh-CN"/>
              </w:rPr>
            </w:pPr>
            <w:r>
              <w:rPr>
                <w:rFonts w:hint="eastAsia"/>
                <w:color w:val="auto"/>
                <w:lang w:val="en-US" w:eastAsia="zh-CN"/>
              </w:rPr>
              <w:t>联系电话</w:t>
            </w:r>
          </w:p>
        </w:tc>
        <w:tc>
          <w:tcPr>
            <w:tcW w:w="4233" w:type="dxa"/>
            <w:gridSpan w:val="2"/>
            <w:vAlign w:val="center"/>
          </w:tcPr>
          <w:p>
            <w:pPr>
              <w:bidi w:val="0"/>
              <w:spacing w:line="240" w:lineRule="auto"/>
              <w:jc w:val="center"/>
              <w:rPr>
                <w:rFonts w:hint="default"/>
                <w:color w:val="auto"/>
                <w:lang w:val="en-US" w:eastAsia="zh-CN"/>
              </w:rPr>
            </w:pPr>
            <w:r>
              <w:rPr>
                <w:rFonts w:hint="default"/>
                <w:color w:val="auto"/>
                <w:lang w:val="en-US" w:eastAsia="zh-CN"/>
              </w:rPr>
              <w:t>17600031978</w:t>
            </w:r>
          </w:p>
        </w:tc>
        <w:tc>
          <w:tcPr>
            <w:tcW w:w="2250" w:type="dxa"/>
            <w:gridSpan w:val="5"/>
            <w:vAlign w:val="center"/>
          </w:tcPr>
          <w:p>
            <w:pPr>
              <w:bidi w:val="0"/>
              <w:spacing w:line="240" w:lineRule="auto"/>
              <w:jc w:val="center"/>
              <w:rPr>
                <w:rFonts w:hint="default"/>
                <w:color w:val="auto"/>
                <w:lang w:val="en-US" w:eastAsia="zh-CN"/>
              </w:rPr>
            </w:pPr>
            <w:r>
              <w:rPr>
                <w:rFonts w:hint="default"/>
                <w:color w:val="auto"/>
                <w:lang w:val="en-US" w:eastAsia="zh-CN"/>
              </w:rPr>
              <w:t>邮政编码</w:t>
            </w:r>
          </w:p>
        </w:tc>
        <w:tc>
          <w:tcPr>
            <w:tcW w:w="1644" w:type="dxa"/>
            <w:gridSpan w:val="3"/>
            <w:vAlign w:val="center"/>
          </w:tcPr>
          <w:p>
            <w:pPr>
              <w:bidi w:val="0"/>
              <w:spacing w:line="240" w:lineRule="auto"/>
              <w:jc w:val="center"/>
              <w:rPr>
                <w:rFonts w:hint="default"/>
                <w:color w:val="auto"/>
                <w:lang w:val="en-US" w:eastAsia="zh-CN"/>
              </w:rPr>
            </w:pPr>
            <w:r>
              <w:rPr>
                <w:rFonts w:hint="default"/>
                <w:color w:val="auto"/>
                <w:lang w:val="en-US" w:eastAsia="zh-CN"/>
              </w:rPr>
              <w:t>734300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rFonts w:hint="eastAsia"/>
                <w:color w:val="auto"/>
                <w:lang w:val="en-US" w:eastAsia="zh-CN"/>
              </w:rPr>
            </w:pPr>
            <w:r>
              <w:rPr>
                <w:rFonts w:hint="eastAsia"/>
                <w:color w:val="auto"/>
                <w:lang w:val="en-US" w:eastAsia="zh-CN"/>
              </w:rPr>
              <w:t>建设地点</w:t>
            </w:r>
          </w:p>
        </w:tc>
        <w:tc>
          <w:tcPr>
            <w:tcW w:w="8127" w:type="dxa"/>
            <w:gridSpan w:val="10"/>
            <w:vAlign w:val="center"/>
          </w:tcPr>
          <w:p>
            <w:pPr>
              <w:bidi w:val="0"/>
              <w:spacing w:line="240" w:lineRule="auto"/>
              <w:jc w:val="center"/>
              <w:rPr>
                <w:rFonts w:hint="eastAsia"/>
                <w:color w:val="auto"/>
                <w:lang w:val="en-US" w:eastAsia="zh-CN"/>
              </w:rPr>
            </w:pPr>
            <w:r>
              <w:rPr>
                <w:rFonts w:hint="eastAsia"/>
                <w:color w:val="auto"/>
                <w:lang w:val="en-US" w:eastAsia="zh-CN"/>
              </w:rPr>
              <w:t>甘肃省张掖市高台县北部滩百万千瓦风电基地</w:t>
            </w:r>
          </w:p>
          <w:p>
            <w:pPr>
              <w:bidi w:val="0"/>
              <w:spacing w:line="240" w:lineRule="auto"/>
              <w:jc w:val="center"/>
              <w:rPr>
                <w:rFonts w:hint="eastAsia"/>
                <w:color w:val="auto"/>
                <w:lang w:val="en-US" w:eastAsia="zh-CN"/>
              </w:rPr>
            </w:pPr>
            <w:r>
              <w:rPr>
                <w:rFonts w:hint="eastAsia"/>
                <w:color w:val="auto"/>
                <w:lang w:val="en-US" w:eastAsia="zh-CN"/>
              </w:rPr>
              <w:t>110kV北部滩升压站中心：E99°34' 10.850" ，N39°47'33.530"；</w:t>
            </w:r>
          </w:p>
          <w:p>
            <w:pPr>
              <w:bidi w:val="0"/>
              <w:spacing w:line="240" w:lineRule="auto"/>
              <w:jc w:val="center"/>
              <w:rPr>
                <w:rFonts w:hint="eastAsia"/>
                <w:color w:val="auto"/>
                <w:lang w:val="en-US" w:eastAsia="zh-CN"/>
              </w:rPr>
            </w:pPr>
            <w:r>
              <w:rPr>
                <w:rFonts w:hint="eastAsia"/>
                <w:color w:val="auto"/>
                <w:lang w:val="en-US" w:eastAsia="zh-CN"/>
              </w:rPr>
              <w:t>线路起点：E99°34'7.02" ，N39°47'33.460"；</w:t>
            </w:r>
          </w:p>
          <w:p>
            <w:pPr>
              <w:bidi w:val="0"/>
              <w:spacing w:line="240" w:lineRule="auto"/>
              <w:jc w:val="center"/>
              <w:rPr>
                <w:rFonts w:hint="eastAsia"/>
                <w:color w:val="auto"/>
                <w:lang w:val="en-US" w:eastAsia="zh-CN"/>
              </w:rPr>
            </w:pPr>
            <w:r>
              <w:rPr>
                <w:rFonts w:hint="eastAsia"/>
                <w:color w:val="auto"/>
                <w:lang w:val="en-US" w:eastAsia="zh-CN"/>
              </w:rPr>
              <w:t>线路终点：E99°31' 13.860" ，N39°46'30.420"；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项目建设</w:t>
            </w:r>
          </w:p>
          <w:p>
            <w:pPr>
              <w:bidi w:val="0"/>
              <w:spacing w:line="240" w:lineRule="auto"/>
              <w:jc w:val="center"/>
              <w:rPr>
                <w:color w:val="auto"/>
              </w:rPr>
            </w:pPr>
            <w:r>
              <w:rPr>
                <w:color w:val="auto"/>
              </w:rPr>
              <w:t>性质</w:t>
            </w:r>
          </w:p>
        </w:tc>
        <w:tc>
          <w:tcPr>
            <w:tcW w:w="3166" w:type="dxa"/>
            <w:vAlign w:val="center"/>
          </w:tcPr>
          <w:p>
            <w:pPr>
              <w:bidi w:val="0"/>
              <w:spacing w:line="240" w:lineRule="auto"/>
              <w:jc w:val="center"/>
              <w:rPr>
                <w:color w:val="auto"/>
              </w:rPr>
            </w:pPr>
            <w:r>
              <w:rPr>
                <w:color w:val="auto"/>
              </w:rPr>
              <w:t>新建</w:t>
            </w:r>
            <w:r>
              <w:rPr>
                <w:rFonts w:hint="eastAsia"/>
                <w:color w:val="auto"/>
                <w:lang w:eastAsia="zh-CN"/>
              </w:rPr>
              <w:t>☑</w:t>
            </w:r>
            <w:r>
              <w:rPr>
                <w:color w:val="auto"/>
              </w:rPr>
              <w:t>改扩建□技改□</w:t>
            </w:r>
          </w:p>
        </w:tc>
        <w:tc>
          <w:tcPr>
            <w:tcW w:w="1067" w:type="dxa"/>
            <w:vAlign w:val="center"/>
          </w:tcPr>
          <w:p>
            <w:pPr>
              <w:bidi w:val="0"/>
              <w:spacing w:line="240" w:lineRule="auto"/>
              <w:jc w:val="center"/>
              <w:rPr>
                <w:rFonts w:hint="eastAsia"/>
                <w:color w:val="auto"/>
                <w:lang w:val="en-US" w:eastAsia="zh-CN"/>
              </w:rPr>
            </w:pPr>
            <w:r>
              <w:rPr>
                <w:rFonts w:hint="eastAsia"/>
                <w:color w:val="auto"/>
                <w:lang w:val="en-US" w:eastAsia="zh-CN"/>
              </w:rPr>
              <w:t>行业类别</w:t>
            </w:r>
          </w:p>
        </w:tc>
        <w:tc>
          <w:tcPr>
            <w:tcW w:w="3894" w:type="dxa"/>
            <w:gridSpan w:val="8"/>
            <w:vAlign w:val="center"/>
          </w:tcPr>
          <w:p>
            <w:pPr>
              <w:bidi w:val="0"/>
              <w:spacing w:line="240" w:lineRule="auto"/>
              <w:jc w:val="center"/>
              <w:rPr>
                <w:rFonts w:hint="eastAsia"/>
                <w:color w:val="auto"/>
                <w:lang w:val="en-US" w:eastAsia="zh-CN"/>
              </w:rPr>
            </w:pPr>
            <w:r>
              <w:rPr>
                <w:rFonts w:hint="eastAsia"/>
                <w:color w:val="auto"/>
                <w:lang w:val="en-US" w:eastAsia="zh-CN"/>
              </w:rPr>
              <w:t>D4420 电力供应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环境影响</w:t>
            </w:r>
          </w:p>
          <w:p>
            <w:pPr>
              <w:bidi w:val="0"/>
              <w:spacing w:line="240" w:lineRule="auto"/>
              <w:jc w:val="center"/>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报告表名称</w:t>
            </w:r>
          </w:p>
        </w:tc>
        <w:tc>
          <w:tcPr>
            <w:tcW w:w="8127" w:type="dxa"/>
            <w:gridSpan w:val="10"/>
            <w:vAlign w:val="center"/>
          </w:tcPr>
          <w:p>
            <w:pPr>
              <w:bidi w:val="0"/>
              <w:spacing w:line="240" w:lineRule="auto"/>
              <w:jc w:val="center"/>
              <w:rPr>
                <w:rFonts w:hint="eastAsia" w:ascii="Times New Roman" w:hAnsi="Times New Roman" w:eastAsia="宋体"/>
                <w:color w:val="auto"/>
                <w:lang w:val="en-US" w:eastAsia="zh-CN"/>
              </w:rPr>
            </w:pPr>
            <w:r>
              <w:rPr>
                <w:rFonts w:hint="eastAsia"/>
                <w:color w:val="auto"/>
                <w:lang w:val="en-US" w:eastAsia="zh-CN"/>
              </w:rPr>
              <w:t>高台县北部滩百万千瓦风电基地40万千瓦风电项目110kV升压站及送出线路</w:t>
            </w:r>
            <w:r>
              <w:rPr>
                <w:rFonts w:hint="eastAsia" w:ascii="Times New Roman" w:hAnsi="Times New Roman" w:eastAsia="宋体"/>
                <w:color w:val="auto"/>
                <w:lang w:val="en-US" w:eastAsia="zh-CN"/>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环境影响</w:t>
            </w:r>
          </w:p>
          <w:p>
            <w:pPr>
              <w:bidi w:val="0"/>
              <w:spacing w:line="240" w:lineRule="auto"/>
              <w:jc w:val="center"/>
              <w:rPr>
                <w:color w:val="auto"/>
              </w:rPr>
            </w:pPr>
            <w:r>
              <w:rPr>
                <w:color w:val="auto"/>
              </w:rPr>
              <w:t>评价单位</w:t>
            </w:r>
          </w:p>
        </w:tc>
        <w:tc>
          <w:tcPr>
            <w:tcW w:w="8127" w:type="dxa"/>
            <w:gridSpan w:val="10"/>
            <w:vAlign w:val="center"/>
          </w:tcPr>
          <w:p>
            <w:pPr>
              <w:bidi w:val="0"/>
              <w:spacing w:line="240" w:lineRule="auto"/>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甘肃安卓工程技术有限公司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环境影响评价审批部门</w:t>
            </w:r>
          </w:p>
        </w:tc>
        <w:tc>
          <w:tcPr>
            <w:tcW w:w="4233" w:type="dxa"/>
            <w:gridSpan w:val="2"/>
            <w:vAlign w:val="center"/>
          </w:tcPr>
          <w:p>
            <w:pPr>
              <w:bidi w:val="0"/>
              <w:spacing w:line="240" w:lineRule="auto"/>
              <w:jc w:val="center"/>
              <w:rPr>
                <w:rFonts w:hint="default" w:eastAsia="宋体"/>
                <w:color w:val="auto"/>
                <w:lang w:val="en-US" w:eastAsia="zh-CN"/>
              </w:rPr>
            </w:pPr>
            <w:r>
              <w:rPr>
                <w:rFonts w:hint="eastAsia"/>
                <w:color w:val="auto"/>
                <w:lang w:val="en-US" w:eastAsia="zh-CN"/>
              </w:rPr>
              <w:t>张掖市生态环境局高台分局</w:t>
            </w:r>
          </w:p>
        </w:tc>
        <w:tc>
          <w:tcPr>
            <w:tcW w:w="824" w:type="dxa"/>
            <w:vAlign w:val="center"/>
          </w:tcPr>
          <w:p>
            <w:pPr>
              <w:bidi w:val="0"/>
              <w:spacing w:line="240" w:lineRule="auto"/>
              <w:jc w:val="center"/>
              <w:rPr>
                <w:color w:val="auto"/>
              </w:rPr>
            </w:pPr>
            <w:r>
              <w:rPr>
                <w:color w:val="auto"/>
              </w:rPr>
              <w:t>文号</w:t>
            </w:r>
          </w:p>
        </w:tc>
        <w:tc>
          <w:tcPr>
            <w:tcW w:w="1273" w:type="dxa"/>
            <w:gridSpan w:val="3"/>
            <w:vAlign w:val="center"/>
          </w:tcPr>
          <w:p>
            <w:pPr>
              <w:bidi w:val="0"/>
              <w:spacing w:line="240" w:lineRule="auto"/>
              <w:jc w:val="center"/>
              <w:rPr>
                <w:rFonts w:hint="default" w:eastAsia="宋体"/>
                <w:color w:val="auto"/>
                <w:lang w:val="en-US" w:eastAsia="zh-CN"/>
              </w:rPr>
            </w:pPr>
            <w:r>
              <w:rPr>
                <w:rFonts w:hint="eastAsia"/>
                <w:color w:val="auto"/>
                <w:lang w:val="en-US" w:eastAsia="zh-CN"/>
              </w:rPr>
              <w:t>张环高发[2023]12号</w:t>
            </w:r>
          </w:p>
        </w:tc>
        <w:tc>
          <w:tcPr>
            <w:tcW w:w="770" w:type="dxa"/>
            <w:gridSpan w:val="2"/>
            <w:vAlign w:val="center"/>
          </w:tcPr>
          <w:p>
            <w:pPr>
              <w:bidi w:val="0"/>
              <w:spacing w:line="240" w:lineRule="auto"/>
              <w:jc w:val="center"/>
              <w:rPr>
                <w:color w:val="auto"/>
              </w:rPr>
            </w:pPr>
            <w:r>
              <w:rPr>
                <w:color w:val="auto"/>
              </w:rPr>
              <w:t>时间</w:t>
            </w:r>
          </w:p>
        </w:tc>
        <w:tc>
          <w:tcPr>
            <w:tcW w:w="1027" w:type="dxa"/>
            <w:gridSpan w:val="2"/>
            <w:vAlign w:val="center"/>
          </w:tcPr>
          <w:p>
            <w:pPr>
              <w:bidi w:val="0"/>
              <w:spacing w:line="240" w:lineRule="auto"/>
              <w:jc w:val="center"/>
              <w:rPr>
                <w:rFonts w:hint="default" w:eastAsia="宋体"/>
                <w:color w:val="auto"/>
                <w:lang w:val="en-US" w:eastAsia="zh-CN"/>
              </w:rPr>
            </w:pPr>
            <w:r>
              <w:rPr>
                <w:rFonts w:hint="eastAsia"/>
                <w:color w:val="auto"/>
                <w:lang w:val="en-US" w:eastAsia="zh-CN"/>
              </w:rPr>
              <w:t>2023.2.13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建设项目核准部门</w:t>
            </w:r>
          </w:p>
        </w:tc>
        <w:tc>
          <w:tcPr>
            <w:tcW w:w="4233" w:type="dxa"/>
            <w:gridSpan w:val="2"/>
            <w:vAlign w:val="center"/>
          </w:tcPr>
          <w:p>
            <w:pPr>
              <w:bidi w:val="0"/>
              <w:spacing w:line="240" w:lineRule="auto"/>
              <w:jc w:val="center"/>
              <w:rPr>
                <w:rFonts w:hint="default" w:eastAsia="宋体"/>
                <w:color w:val="auto"/>
                <w:lang w:val="en-US" w:eastAsia="zh-CN"/>
              </w:rPr>
            </w:pPr>
            <w:r>
              <w:rPr>
                <w:rFonts w:hint="eastAsia"/>
                <w:color w:val="auto"/>
                <w:lang w:val="en-US" w:eastAsia="zh-CN"/>
              </w:rPr>
              <w:t>张掖市发展和改革委员会</w:t>
            </w:r>
          </w:p>
        </w:tc>
        <w:tc>
          <w:tcPr>
            <w:tcW w:w="824" w:type="dxa"/>
            <w:vAlign w:val="center"/>
          </w:tcPr>
          <w:p>
            <w:pPr>
              <w:bidi w:val="0"/>
              <w:spacing w:line="240" w:lineRule="auto"/>
              <w:jc w:val="center"/>
              <w:rPr>
                <w:color w:val="auto"/>
              </w:rPr>
            </w:pPr>
            <w:r>
              <w:rPr>
                <w:color w:val="auto"/>
              </w:rPr>
              <w:t>文号</w:t>
            </w:r>
          </w:p>
        </w:tc>
        <w:tc>
          <w:tcPr>
            <w:tcW w:w="1273" w:type="dxa"/>
            <w:gridSpan w:val="3"/>
            <w:vAlign w:val="center"/>
          </w:tcPr>
          <w:p>
            <w:pPr>
              <w:bidi w:val="0"/>
              <w:spacing w:line="240" w:lineRule="auto"/>
              <w:jc w:val="center"/>
              <w:rPr>
                <w:rFonts w:hint="eastAsia" w:eastAsia="宋体"/>
                <w:color w:val="auto"/>
                <w:lang w:val="en-US" w:eastAsia="zh-CN"/>
              </w:rPr>
            </w:pPr>
            <w:r>
              <w:rPr>
                <w:rFonts w:hint="eastAsia"/>
                <w:color w:val="auto"/>
                <w:lang w:val="en-US" w:eastAsia="zh-CN"/>
              </w:rPr>
              <w:t>张发改能交[2022]20号</w:t>
            </w:r>
          </w:p>
        </w:tc>
        <w:tc>
          <w:tcPr>
            <w:tcW w:w="770" w:type="dxa"/>
            <w:gridSpan w:val="2"/>
            <w:vAlign w:val="center"/>
          </w:tcPr>
          <w:p>
            <w:pPr>
              <w:bidi w:val="0"/>
              <w:spacing w:line="240" w:lineRule="auto"/>
              <w:jc w:val="center"/>
              <w:rPr>
                <w:color w:val="auto"/>
              </w:rPr>
            </w:pPr>
            <w:r>
              <w:rPr>
                <w:color w:val="auto"/>
              </w:rPr>
              <w:t>时间</w:t>
            </w:r>
          </w:p>
        </w:tc>
        <w:tc>
          <w:tcPr>
            <w:tcW w:w="1027" w:type="dxa"/>
            <w:gridSpan w:val="2"/>
            <w:vAlign w:val="center"/>
          </w:tcPr>
          <w:p>
            <w:pPr>
              <w:bidi w:val="0"/>
              <w:spacing w:line="240" w:lineRule="auto"/>
              <w:jc w:val="center"/>
              <w:rPr>
                <w:rFonts w:hint="default" w:eastAsia="宋体"/>
                <w:color w:val="auto"/>
                <w:lang w:val="en-US" w:eastAsia="zh-CN"/>
              </w:rPr>
            </w:pPr>
            <w:r>
              <w:rPr>
                <w:rFonts w:hint="eastAsia"/>
                <w:color w:val="auto"/>
                <w:lang w:val="en-US" w:eastAsia="zh-CN"/>
              </w:rPr>
              <w:t>2022.3.11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环境保护设施设计单位</w:t>
            </w:r>
          </w:p>
        </w:tc>
        <w:tc>
          <w:tcPr>
            <w:tcW w:w="8127" w:type="dxa"/>
            <w:gridSpan w:val="10"/>
            <w:vAlign w:val="center"/>
          </w:tcPr>
          <w:p>
            <w:pPr>
              <w:bidi w:val="0"/>
              <w:spacing w:line="240" w:lineRule="auto"/>
              <w:jc w:val="center"/>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甘肃安卓工程技术有限公司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环境保护设施施工单位</w:t>
            </w:r>
          </w:p>
        </w:tc>
        <w:tc>
          <w:tcPr>
            <w:tcW w:w="8127" w:type="dxa"/>
            <w:gridSpan w:val="10"/>
            <w:vAlign w:val="center"/>
          </w:tcPr>
          <w:p>
            <w:pPr>
              <w:bidi w:val="0"/>
              <w:spacing w:line="240" w:lineRule="auto"/>
              <w:jc w:val="center"/>
              <w:rPr>
                <w:rFonts w:hint="eastAsia" w:ascii="Times New Roman" w:hAnsi="Times New Roman" w:eastAsia="宋体"/>
                <w:color w:val="auto"/>
                <w:lang w:val="en-US" w:eastAsia="zh-CN"/>
              </w:rPr>
            </w:pPr>
            <w:r>
              <w:rPr>
                <w:rFonts w:hint="eastAsia"/>
                <w:color w:val="auto"/>
                <w:lang w:val="en-US" w:eastAsia="zh-CN"/>
              </w:rPr>
              <w:t>张掖市立陇新能源开发有限公司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rFonts w:hint="eastAsia"/>
                <w:color w:val="auto"/>
                <w:lang w:val="en-US" w:eastAsia="zh-CN"/>
              </w:rPr>
            </w:pPr>
            <w:r>
              <w:rPr>
                <w:rFonts w:hint="eastAsia"/>
                <w:color w:val="auto"/>
                <w:lang w:val="en-US" w:eastAsia="zh-CN"/>
              </w:rPr>
              <w:t>环境保护设施监测单位</w:t>
            </w:r>
          </w:p>
        </w:tc>
        <w:tc>
          <w:tcPr>
            <w:tcW w:w="8127" w:type="dxa"/>
            <w:gridSpan w:val="10"/>
            <w:vAlign w:val="center"/>
          </w:tcPr>
          <w:p>
            <w:pPr>
              <w:bidi w:val="0"/>
              <w:spacing w:line="240" w:lineRule="auto"/>
              <w:jc w:val="center"/>
              <w:rPr>
                <w:rFonts w:hint="eastAsia"/>
                <w:color w:val="auto"/>
                <w:lang w:val="en-US" w:eastAsia="zh-CN"/>
              </w:rPr>
            </w:pPr>
            <w:r>
              <w:rPr>
                <w:rFonts w:hint="default"/>
                <w:color w:val="auto"/>
                <w:lang w:val="en-US" w:eastAsia="zh-CN"/>
              </w:rPr>
              <w:t>甘肃领越检测技术有限公司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投资总概算</w:t>
            </w:r>
          </w:p>
          <w:p>
            <w:pPr>
              <w:bidi w:val="0"/>
              <w:spacing w:line="240" w:lineRule="auto"/>
              <w:jc w:val="center"/>
              <w:rPr>
                <w:color w:val="auto"/>
              </w:rPr>
            </w:pPr>
            <w:r>
              <w:rPr>
                <w:color w:val="auto"/>
              </w:rPr>
              <w:t>（万元）</w:t>
            </w:r>
          </w:p>
        </w:tc>
        <w:tc>
          <w:tcPr>
            <w:tcW w:w="4233" w:type="dxa"/>
            <w:gridSpan w:val="2"/>
            <w:vAlign w:val="center"/>
          </w:tcPr>
          <w:p>
            <w:pPr>
              <w:bidi w:val="0"/>
              <w:spacing w:line="240" w:lineRule="auto"/>
              <w:jc w:val="center"/>
              <w:rPr>
                <w:color w:val="auto"/>
              </w:rPr>
            </w:pPr>
            <w:r>
              <w:rPr>
                <w:rFonts w:hint="eastAsia" w:cs="Times New Roman"/>
                <w:color w:val="auto"/>
                <w:sz w:val="24"/>
                <w:szCs w:val="24"/>
                <w:lang w:val="en-US" w:eastAsia="zh-CN"/>
              </w:rPr>
              <w:t>35344.43</w:t>
            </w:r>
          </w:p>
        </w:tc>
        <w:tc>
          <w:tcPr>
            <w:tcW w:w="967" w:type="dxa"/>
            <w:gridSpan w:val="2"/>
            <w:vAlign w:val="center"/>
          </w:tcPr>
          <w:p>
            <w:pPr>
              <w:bidi w:val="0"/>
              <w:spacing w:line="240" w:lineRule="auto"/>
              <w:jc w:val="center"/>
              <w:rPr>
                <w:color w:val="auto"/>
              </w:rPr>
            </w:pPr>
            <w:r>
              <w:rPr>
                <w:color w:val="auto"/>
              </w:rPr>
              <w:t>环境保护投资</w:t>
            </w:r>
          </w:p>
          <w:p>
            <w:pPr>
              <w:bidi w:val="0"/>
              <w:spacing w:line="240" w:lineRule="auto"/>
              <w:jc w:val="center"/>
              <w:rPr>
                <w:color w:val="auto"/>
              </w:rPr>
            </w:pPr>
            <w:r>
              <w:rPr>
                <w:color w:val="auto"/>
              </w:rPr>
              <w:t>（万元）</w:t>
            </w:r>
          </w:p>
        </w:tc>
        <w:tc>
          <w:tcPr>
            <w:tcW w:w="933" w:type="dxa"/>
            <w:vAlign w:val="center"/>
          </w:tcPr>
          <w:p>
            <w:pPr>
              <w:bidi w:val="0"/>
              <w:spacing w:line="240" w:lineRule="auto"/>
              <w:jc w:val="center"/>
              <w:rPr>
                <w:color w:val="auto"/>
              </w:rPr>
            </w:pPr>
            <w:r>
              <w:rPr>
                <w:rFonts w:hint="eastAsia" w:cs="Times New Roman"/>
                <w:color w:val="auto"/>
                <w:sz w:val="24"/>
                <w:szCs w:val="24"/>
                <w:lang w:val="en-US" w:eastAsia="zh-CN"/>
              </w:rPr>
              <w:t>128.50</w:t>
            </w:r>
          </w:p>
        </w:tc>
        <w:tc>
          <w:tcPr>
            <w:tcW w:w="1117" w:type="dxa"/>
            <w:gridSpan w:val="4"/>
            <w:vAlign w:val="center"/>
          </w:tcPr>
          <w:p>
            <w:pPr>
              <w:bidi w:val="0"/>
              <w:spacing w:line="240" w:lineRule="auto"/>
              <w:jc w:val="center"/>
              <w:rPr>
                <w:color w:val="auto"/>
              </w:rPr>
            </w:pPr>
            <w:r>
              <w:rPr>
                <w:color w:val="auto"/>
              </w:rPr>
              <w:t>环境保护投资占总投资比例</w:t>
            </w:r>
          </w:p>
        </w:tc>
        <w:tc>
          <w:tcPr>
            <w:tcW w:w="877" w:type="dxa"/>
            <w:vAlign w:val="center"/>
          </w:tcPr>
          <w:p>
            <w:pPr>
              <w:bidi w:val="0"/>
              <w:spacing w:line="240" w:lineRule="auto"/>
              <w:jc w:val="center"/>
              <w:rPr>
                <w:color w:val="auto"/>
              </w:rPr>
            </w:pPr>
            <w:r>
              <w:rPr>
                <w:rFonts w:hint="eastAsia" w:cs="Times New Roman"/>
                <w:color w:val="auto"/>
                <w:sz w:val="24"/>
                <w:szCs w:val="24"/>
                <w:lang w:val="en-US" w:eastAsia="zh-CN"/>
              </w:rPr>
              <w:t>0.36</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实际总投资 （万元）</w:t>
            </w:r>
          </w:p>
        </w:tc>
        <w:tc>
          <w:tcPr>
            <w:tcW w:w="4233" w:type="dxa"/>
            <w:gridSpan w:val="2"/>
            <w:vAlign w:val="center"/>
          </w:tcPr>
          <w:p>
            <w:pPr>
              <w:bidi w:val="0"/>
              <w:spacing w:line="240" w:lineRule="auto"/>
              <w:jc w:val="center"/>
              <w:rPr>
                <w:color w:val="auto"/>
              </w:rPr>
            </w:pPr>
            <w:r>
              <w:rPr>
                <w:rFonts w:hint="eastAsia" w:cs="Times New Roman"/>
                <w:color w:val="auto"/>
                <w:sz w:val="24"/>
                <w:szCs w:val="24"/>
                <w:lang w:val="en-US" w:eastAsia="zh-CN"/>
              </w:rPr>
              <w:t>35344.43</w:t>
            </w:r>
          </w:p>
        </w:tc>
        <w:tc>
          <w:tcPr>
            <w:tcW w:w="967" w:type="dxa"/>
            <w:gridSpan w:val="2"/>
            <w:vAlign w:val="center"/>
          </w:tcPr>
          <w:p>
            <w:pPr>
              <w:bidi w:val="0"/>
              <w:spacing w:line="240" w:lineRule="auto"/>
              <w:jc w:val="center"/>
              <w:rPr>
                <w:color w:val="auto"/>
              </w:rPr>
            </w:pPr>
            <w:r>
              <w:rPr>
                <w:color w:val="auto"/>
              </w:rPr>
              <w:t>环境保护投资</w:t>
            </w:r>
          </w:p>
          <w:p>
            <w:pPr>
              <w:bidi w:val="0"/>
              <w:spacing w:line="240" w:lineRule="auto"/>
              <w:jc w:val="center"/>
              <w:rPr>
                <w:color w:val="auto"/>
              </w:rPr>
            </w:pPr>
            <w:r>
              <w:rPr>
                <w:color w:val="auto"/>
              </w:rPr>
              <w:t>（万元）</w:t>
            </w:r>
          </w:p>
        </w:tc>
        <w:tc>
          <w:tcPr>
            <w:tcW w:w="933" w:type="dxa"/>
            <w:vAlign w:val="center"/>
          </w:tcPr>
          <w:p>
            <w:pPr>
              <w:bidi w:val="0"/>
              <w:spacing w:line="240" w:lineRule="auto"/>
              <w:jc w:val="center"/>
              <w:rPr>
                <w:color w:val="auto"/>
              </w:rPr>
            </w:pPr>
            <w:r>
              <w:rPr>
                <w:rFonts w:hint="default" w:ascii="Times New Roman" w:hAnsi="Times New Roman" w:cs="Times New Roman"/>
                <w:color w:val="auto"/>
                <w:lang w:val="en-US" w:eastAsia="zh-CN"/>
              </w:rPr>
              <w:t>135.1</w:t>
            </w:r>
          </w:p>
        </w:tc>
        <w:tc>
          <w:tcPr>
            <w:tcW w:w="1117" w:type="dxa"/>
            <w:gridSpan w:val="4"/>
            <w:vAlign w:val="center"/>
          </w:tcPr>
          <w:p>
            <w:pPr>
              <w:bidi w:val="0"/>
              <w:spacing w:line="240" w:lineRule="auto"/>
              <w:jc w:val="center"/>
              <w:rPr>
                <w:color w:val="auto"/>
              </w:rPr>
            </w:pPr>
            <w:r>
              <w:rPr>
                <w:color w:val="auto"/>
              </w:rPr>
              <w:t>环境保护投资占总投资比例</w:t>
            </w:r>
          </w:p>
        </w:tc>
        <w:tc>
          <w:tcPr>
            <w:tcW w:w="877" w:type="dxa"/>
            <w:vAlign w:val="center"/>
          </w:tcPr>
          <w:p>
            <w:pPr>
              <w:bidi w:val="0"/>
              <w:spacing w:line="240" w:lineRule="auto"/>
              <w:jc w:val="center"/>
              <w:rPr>
                <w:color w:val="auto"/>
              </w:rPr>
            </w:pPr>
            <w:r>
              <w:rPr>
                <w:rFonts w:hint="eastAsia" w:cs="Times New Roman"/>
                <w:color w:val="auto"/>
                <w:sz w:val="24"/>
                <w:szCs w:val="24"/>
                <w:lang w:val="en-US" w:eastAsia="zh-CN"/>
              </w:rPr>
              <w:t>0.38</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环评阶段项目建设内容</w:t>
            </w:r>
          </w:p>
        </w:tc>
        <w:tc>
          <w:tcPr>
            <w:tcW w:w="4233" w:type="dxa"/>
            <w:gridSpan w:val="2"/>
            <w:vAlign w:val="center"/>
          </w:tcPr>
          <w:p>
            <w:pPr>
              <w:bidi w:val="0"/>
              <w:spacing w:line="240" w:lineRule="auto"/>
              <w:ind w:firstLine="480" w:firstLineChars="200"/>
              <w:jc w:val="left"/>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新建110kV北部滩升压站，本期建设4台主变，规模为4×120MVA，采用户外布置；新建110kV出线2回，储能电站配置在生产区东侧，采用32</w:t>
            </w:r>
            <w:r>
              <w:rPr>
                <w:rFonts w:hint="eastAsia"/>
                <w:color w:val="auto"/>
                <w:lang w:val="en-US" w:eastAsia="zh-CN"/>
              </w:rPr>
              <w:t>套</w:t>
            </w:r>
            <w:r>
              <w:rPr>
                <w:rFonts w:hint="default" w:ascii="Times New Roman" w:hAnsi="Times New Roman" w:eastAsia="宋体"/>
                <w:color w:val="auto"/>
                <w:lang w:val="en-US" w:eastAsia="zh-CN"/>
              </w:rPr>
              <w:t>2.5MW升压变换舱和64套2.5MWh储能电池集装箱</w:t>
            </w:r>
            <w:r>
              <w:rPr>
                <w:rFonts w:hint="eastAsia"/>
                <w:color w:val="auto"/>
                <w:lang w:val="en-US" w:eastAsia="zh-CN"/>
              </w:rPr>
              <w:t>，</w:t>
            </w:r>
            <w:r>
              <w:rPr>
                <w:rFonts w:hint="default" w:ascii="Times New Roman" w:hAnsi="Times New Roman" w:eastAsia="宋体"/>
                <w:color w:val="auto"/>
                <w:lang w:val="en-US" w:eastAsia="zh-CN"/>
              </w:rPr>
              <w:t>电化学储能规80MW/160MWh，储能时长为2h。</w:t>
            </w:r>
          </w:p>
          <w:p>
            <w:pPr>
              <w:bidi w:val="0"/>
              <w:spacing w:line="240" w:lineRule="auto"/>
              <w:ind w:firstLine="480" w:firstLineChars="200"/>
              <w:jc w:val="left"/>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新建110kV北部滩升压站至330kV罗城滩的输电线路：本工程新建110kV北部滩升压站至330kV罗城滩升压站同塔双回输电线路，双回架空线路长度为2×5.4km，导线型号为2×JL/GIA-300/40 型钢芯铝绞线。地线分别采用两根OGPW-24B1-90光纤复合光缆。</w:t>
            </w:r>
          </w:p>
        </w:tc>
        <w:tc>
          <w:tcPr>
            <w:tcW w:w="1900" w:type="dxa"/>
            <w:gridSpan w:val="3"/>
            <w:vAlign w:val="center"/>
          </w:tcPr>
          <w:p>
            <w:pPr>
              <w:bidi w:val="0"/>
              <w:spacing w:line="240" w:lineRule="auto"/>
              <w:jc w:val="center"/>
              <w:rPr>
                <w:rFonts w:hint="default" w:ascii="Times New Roman" w:hAnsi="Times New Roman" w:eastAsia="宋体" w:cstheme="minorBidi"/>
                <w:color w:val="auto"/>
                <w:kern w:val="2"/>
                <w:sz w:val="24"/>
                <w:szCs w:val="24"/>
                <w:lang w:val="en-US" w:eastAsia="zh-CN" w:bidi="ar-SA"/>
              </w:rPr>
            </w:pPr>
            <w:r>
              <w:rPr>
                <w:rFonts w:hint="default" w:ascii="Times New Roman" w:hAnsi="Times New Roman" w:eastAsia="宋体" w:cstheme="minorBidi"/>
                <w:color w:val="auto"/>
                <w:kern w:val="2"/>
                <w:sz w:val="24"/>
                <w:szCs w:val="24"/>
                <w:lang w:val="en-US" w:eastAsia="zh-CN" w:bidi="ar-SA"/>
              </w:rPr>
              <w:t>项目开工日期</w:t>
            </w:r>
          </w:p>
        </w:tc>
        <w:tc>
          <w:tcPr>
            <w:tcW w:w="1994" w:type="dxa"/>
            <w:gridSpan w:val="5"/>
            <w:vAlign w:val="center"/>
          </w:tcPr>
          <w:p>
            <w:pPr>
              <w:bidi w:val="0"/>
              <w:spacing w:line="240" w:lineRule="auto"/>
              <w:jc w:val="center"/>
              <w:rPr>
                <w:color w:val="auto"/>
              </w:rPr>
            </w:pPr>
            <w:r>
              <w:rPr>
                <w:rFonts w:hint="default" w:ascii="Times New Roman" w:hAnsi="Times New Roman" w:eastAsia="Times New Roman" w:cs="Times New Roman"/>
                <w:color w:val="auto"/>
                <w:spacing w:val="-3"/>
              </w:rPr>
              <w:t>202</w:t>
            </w:r>
            <w:r>
              <w:rPr>
                <w:rFonts w:hint="eastAsia" w:eastAsia="宋体" w:cs="Times New Roman"/>
                <w:color w:val="auto"/>
                <w:spacing w:val="-3"/>
                <w:lang w:val="en-US" w:eastAsia="zh-CN"/>
              </w:rPr>
              <w:t>3</w:t>
            </w:r>
            <w:r>
              <w:rPr>
                <w:rFonts w:hint="default" w:ascii="Times New Roman" w:hAnsi="Times New Roman" w:cs="Times New Roman"/>
                <w:color w:val="auto"/>
                <w:spacing w:val="-3"/>
              </w:rPr>
              <w:t>年</w:t>
            </w:r>
            <w:r>
              <w:rPr>
                <w:rFonts w:hint="default" w:ascii="Times New Roman" w:hAnsi="Times New Roman" w:cs="Times New Roman"/>
                <w:color w:val="auto"/>
                <w:spacing w:val="-55"/>
              </w:rPr>
              <w:t xml:space="preserve"> </w:t>
            </w:r>
            <w:r>
              <w:rPr>
                <w:rFonts w:hint="default" w:ascii="Times New Roman" w:hAnsi="Times New Roman" w:cs="Times New Roman"/>
                <w:color w:val="auto"/>
                <w:spacing w:val="-55"/>
                <w:lang w:val="en-US" w:eastAsia="zh-CN"/>
              </w:rPr>
              <w:t>2</w:t>
            </w:r>
            <w:r>
              <w:rPr>
                <w:rFonts w:hint="default" w:ascii="Times New Roman" w:hAnsi="Times New Roman" w:cs="Times New Roman"/>
                <w:color w:val="auto"/>
                <w:spacing w:val="-3"/>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项目实际建设内容</w:t>
            </w:r>
          </w:p>
        </w:tc>
        <w:tc>
          <w:tcPr>
            <w:tcW w:w="4233" w:type="dxa"/>
            <w:gridSpan w:val="2"/>
            <w:vAlign w:val="center"/>
          </w:tcPr>
          <w:p>
            <w:pPr>
              <w:bidi w:val="0"/>
              <w:spacing w:line="240" w:lineRule="auto"/>
              <w:ind w:firstLine="480" w:firstLineChars="200"/>
              <w:jc w:val="left"/>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新建110kV北部滩升压站，本期建设4台主变，规模为4× 120MVA，采用户外布置；新建110kV出线2回，储能电站配置在生产区东侧，采用32</w:t>
            </w:r>
            <w:r>
              <w:rPr>
                <w:rFonts w:hint="eastAsia"/>
                <w:color w:val="auto"/>
                <w:lang w:val="en-US" w:eastAsia="zh-CN"/>
              </w:rPr>
              <w:t>套</w:t>
            </w:r>
            <w:r>
              <w:rPr>
                <w:rFonts w:hint="default" w:ascii="Times New Roman" w:hAnsi="Times New Roman" w:eastAsia="宋体"/>
                <w:color w:val="auto"/>
                <w:lang w:val="en-US" w:eastAsia="zh-CN"/>
              </w:rPr>
              <w:t>2.5MW升压变换舱和64套2.5MWh储能电池集装箱</w:t>
            </w:r>
            <w:r>
              <w:rPr>
                <w:rFonts w:hint="eastAsia"/>
                <w:color w:val="auto"/>
                <w:lang w:val="en-US" w:eastAsia="zh-CN"/>
              </w:rPr>
              <w:t>，</w:t>
            </w:r>
            <w:r>
              <w:rPr>
                <w:rFonts w:hint="default" w:ascii="Times New Roman" w:hAnsi="Times New Roman" w:eastAsia="宋体"/>
                <w:color w:val="auto"/>
                <w:lang w:val="en-US" w:eastAsia="zh-CN"/>
              </w:rPr>
              <w:t>电化学储能规</w:t>
            </w:r>
          </w:p>
          <w:p>
            <w:pPr>
              <w:bidi w:val="0"/>
              <w:spacing w:line="240" w:lineRule="auto"/>
              <w:jc w:val="left"/>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80MW/160MWh，储能时长为2h。</w:t>
            </w:r>
          </w:p>
          <w:p>
            <w:pPr>
              <w:bidi w:val="0"/>
              <w:spacing w:line="240" w:lineRule="auto"/>
              <w:ind w:firstLine="480" w:firstLineChars="200"/>
              <w:jc w:val="left"/>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新建110kV北部滩升压站至 330kV罗城滩的输电线路：本工程新建110kV北部滩升压站至330kV罗城滩升压站同塔双回输电线路，双回架空线路长度为2×5.4km，导线型号为2×JL/GIA-300/40 型钢芯铝绞线。地线分别采用两根OGPW-24B1-90光纤复合光缆。</w:t>
            </w:r>
          </w:p>
        </w:tc>
        <w:tc>
          <w:tcPr>
            <w:tcW w:w="1900" w:type="dxa"/>
            <w:gridSpan w:val="3"/>
            <w:vAlign w:val="center"/>
          </w:tcPr>
          <w:p>
            <w:pPr>
              <w:bidi w:val="0"/>
              <w:spacing w:line="240" w:lineRule="auto"/>
              <w:jc w:val="center"/>
              <w:rPr>
                <w:color w:val="auto"/>
              </w:rPr>
            </w:pPr>
            <w:r>
              <w:rPr>
                <w:color w:val="auto"/>
              </w:rPr>
              <w:t>环境保护设施投入调试日期</w:t>
            </w:r>
          </w:p>
        </w:tc>
        <w:tc>
          <w:tcPr>
            <w:tcW w:w="1994" w:type="dxa"/>
            <w:gridSpan w:val="5"/>
            <w:vAlign w:val="center"/>
          </w:tcPr>
          <w:p>
            <w:pPr>
              <w:bidi w:val="0"/>
              <w:spacing w:line="240" w:lineRule="auto"/>
              <w:jc w:val="center"/>
              <w:rPr>
                <w:color w:val="auto"/>
              </w:rPr>
            </w:pPr>
            <w:r>
              <w:rPr>
                <w:rFonts w:hint="default" w:ascii="Times New Roman" w:hAnsi="Times New Roman" w:eastAsia="Times New Roman" w:cs="Times New Roman"/>
                <w:color w:val="auto"/>
                <w:spacing w:val="-3"/>
              </w:rPr>
              <w:t>202</w:t>
            </w:r>
            <w:r>
              <w:rPr>
                <w:rFonts w:hint="eastAsia" w:eastAsia="宋体" w:cs="Times New Roman"/>
                <w:color w:val="auto"/>
                <w:spacing w:val="-3"/>
                <w:lang w:val="en-US" w:eastAsia="zh-CN"/>
              </w:rPr>
              <w:t>3</w:t>
            </w:r>
            <w:r>
              <w:rPr>
                <w:rFonts w:hint="default" w:ascii="Times New Roman" w:hAnsi="Times New Roman" w:eastAsia="Times New Roman" w:cs="Times New Roman"/>
                <w:color w:val="auto"/>
                <w:spacing w:val="-3"/>
              </w:rPr>
              <w:t>年</w:t>
            </w:r>
            <w:r>
              <w:rPr>
                <w:rFonts w:hint="eastAsia" w:eastAsia="宋体" w:cs="Times New Roman"/>
                <w:color w:val="auto"/>
                <w:spacing w:val="-3"/>
                <w:lang w:val="en-US" w:eastAsia="zh-CN"/>
              </w:rPr>
              <w:t>4</w:t>
            </w:r>
            <w:r>
              <w:rPr>
                <w:rFonts w:hint="default" w:ascii="Times New Roman" w:hAnsi="Times New Roman" w:eastAsia="Times New Roman" w:cs="Times New Roman"/>
                <w:color w:val="auto"/>
                <w:spacing w:val="-3"/>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1213" w:type="dxa"/>
            <w:vAlign w:val="center"/>
          </w:tcPr>
          <w:p>
            <w:pPr>
              <w:bidi w:val="0"/>
              <w:spacing w:line="240" w:lineRule="auto"/>
              <w:jc w:val="center"/>
              <w:rPr>
                <w:color w:val="auto"/>
              </w:rPr>
            </w:pPr>
            <w:r>
              <w:rPr>
                <w:color w:val="auto"/>
              </w:rPr>
              <w:t>项目建设过程简述</w:t>
            </w:r>
          </w:p>
        </w:tc>
        <w:tc>
          <w:tcPr>
            <w:tcW w:w="8127" w:type="dxa"/>
            <w:gridSpan w:val="10"/>
            <w:vAlign w:val="center"/>
          </w:tcPr>
          <w:p>
            <w:pPr>
              <w:bidi w:val="0"/>
              <w:spacing w:line="360" w:lineRule="auto"/>
              <w:ind w:firstLine="480" w:firstLineChars="200"/>
              <w:rPr>
                <w:color w:val="auto"/>
              </w:rPr>
            </w:pPr>
            <w:r>
              <w:rPr>
                <w:color w:val="auto"/>
              </w:rPr>
              <w:t>本项目建设过程情况如下：</w:t>
            </w:r>
          </w:p>
          <w:p>
            <w:pPr>
              <w:bidi w:val="0"/>
              <w:spacing w:line="360" w:lineRule="auto"/>
              <w:ind w:firstLine="480" w:firstLineChars="200"/>
              <w:rPr>
                <w:rFonts w:hint="eastAsia"/>
                <w:color w:val="auto"/>
              </w:rPr>
            </w:pPr>
            <w:r>
              <w:rPr>
                <w:color w:val="auto"/>
              </w:rPr>
              <w:t>（1）202</w:t>
            </w:r>
            <w:r>
              <w:rPr>
                <w:rFonts w:hint="eastAsia"/>
                <w:color w:val="auto"/>
                <w:lang w:val="en-US" w:eastAsia="zh-CN"/>
              </w:rPr>
              <w:t>2</w:t>
            </w:r>
            <w:r>
              <w:rPr>
                <w:color w:val="auto"/>
              </w:rPr>
              <w:t>年</w:t>
            </w:r>
            <w:r>
              <w:rPr>
                <w:rFonts w:hint="eastAsia"/>
                <w:color w:val="auto"/>
                <w:lang w:val="en-US" w:eastAsia="zh-CN"/>
              </w:rPr>
              <w:t>3</w:t>
            </w:r>
            <w:r>
              <w:rPr>
                <w:rFonts w:hint="eastAsia"/>
                <w:color w:val="auto"/>
              </w:rPr>
              <w:t>月</w:t>
            </w:r>
            <w:r>
              <w:rPr>
                <w:rFonts w:hint="eastAsia"/>
                <w:color w:val="auto"/>
                <w:lang w:val="en-US" w:eastAsia="zh-CN"/>
              </w:rPr>
              <w:t>11</w:t>
            </w:r>
            <w:r>
              <w:rPr>
                <w:rFonts w:hint="eastAsia"/>
                <w:color w:val="auto"/>
              </w:rPr>
              <w:t>日，张掖市发展和改革委员会以《关于</w:t>
            </w:r>
            <w:r>
              <w:rPr>
                <w:rFonts w:hint="eastAsia"/>
                <w:color w:val="auto"/>
                <w:lang w:val="en-US" w:eastAsia="zh-CN"/>
              </w:rPr>
              <w:t>张掖市立陇新能源开发有限公司高台北部滩百万千瓦风电基地40万千瓦风电项目核准</w:t>
            </w:r>
            <w:r>
              <w:rPr>
                <w:rFonts w:hint="eastAsia"/>
                <w:color w:val="auto"/>
              </w:rPr>
              <w:t>的批复》（张发改能交[2022]20号）对本项目进行了核准批复；</w:t>
            </w:r>
          </w:p>
          <w:p>
            <w:pPr>
              <w:bidi w:val="0"/>
              <w:spacing w:line="360" w:lineRule="auto"/>
              <w:ind w:firstLine="480" w:firstLineChars="200"/>
              <w:rPr>
                <w:rFonts w:hint="eastAsia"/>
                <w:color w:val="auto"/>
              </w:rPr>
            </w:pPr>
            <w:r>
              <w:rPr>
                <w:rFonts w:hint="eastAsia"/>
                <w:color w:val="auto"/>
              </w:rPr>
              <w:t>（2）202</w:t>
            </w:r>
            <w:r>
              <w:rPr>
                <w:rFonts w:hint="eastAsia"/>
                <w:color w:val="auto"/>
                <w:lang w:val="en-US" w:eastAsia="zh-CN"/>
              </w:rPr>
              <w:t>3</w:t>
            </w:r>
            <w:r>
              <w:rPr>
                <w:rFonts w:hint="eastAsia"/>
                <w:color w:val="auto"/>
              </w:rPr>
              <w:t>年</w:t>
            </w:r>
            <w:r>
              <w:rPr>
                <w:rFonts w:hint="eastAsia"/>
                <w:color w:val="auto"/>
                <w:lang w:val="en-US" w:eastAsia="zh-CN"/>
              </w:rPr>
              <w:t>2</w:t>
            </w:r>
            <w:r>
              <w:rPr>
                <w:rFonts w:hint="eastAsia"/>
                <w:color w:val="auto"/>
              </w:rPr>
              <w:t>月</w:t>
            </w:r>
            <w:r>
              <w:rPr>
                <w:rFonts w:hint="eastAsia"/>
                <w:color w:val="auto"/>
                <w:lang w:val="en-US" w:eastAsia="zh-CN"/>
              </w:rPr>
              <w:t>13</w:t>
            </w:r>
            <w:r>
              <w:rPr>
                <w:rFonts w:hint="eastAsia"/>
                <w:color w:val="auto"/>
              </w:rPr>
              <w:t>日，张掖市生态环境局高台分局以《关于高台县北部滩百万千瓦风电基地40万千瓦风电项目110kV升压站及送出线路工程环境影响报告表的批复》（张环高发[202</w:t>
            </w:r>
            <w:r>
              <w:rPr>
                <w:rFonts w:hint="eastAsia"/>
                <w:color w:val="auto"/>
                <w:lang w:val="en-US" w:eastAsia="zh-CN"/>
              </w:rPr>
              <w:t>3</w:t>
            </w:r>
            <w:r>
              <w:rPr>
                <w:rFonts w:hint="eastAsia"/>
                <w:color w:val="auto"/>
              </w:rPr>
              <w:t>]1</w:t>
            </w:r>
            <w:r>
              <w:rPr>
                <w:rFonts w:hint="eastAsia"/>
                <w:color w:val="auto"/>
                <w:lang w:val="en-US" w:eastAsia="zh-CN"/>
              </w:rPr>
              <w:t>2</w:t>
            </w:r>
            <w:r>
              <w:rPr>
                <w:rFonts w:hint="eastAsia"/>
                <w:color w:val="auto"/>
              </w:rPr>
              <w:t>号）对本项目环评进行了批复；</w:t>
            </w:r>
          </w:p>
          <w:p>
            <w:pPr>
              <w:bidi w:val="0"/>
              <w:spacing w:line="360" w:lineRule="auto"/>
              <w:ind w:firstLine="480" w:firstLineChars="200"/>
              <w:rPr>
                <w:color w:val="auto"/>
              </w:rPr>
            </w:pPr>
            <w:r>
              <w:rPr>
                <w:color w:val="auto"/>
              </w:rPr>
              <w:t>（3）本项目于202</w:t>
            </w:r>
            <w:r>
              <w:rPr>
                <w:rFonts w:hint="eastAsia"/>
                <w:color w:val="auto"/>
                <w:lang w:val="en-US" w:eastAsia="zh-CN"/>
              </w:rPr>
              <w:t>3</w:t>
            </w:r>
            <w:r>
              <w:rPr>
                <w:color w:val="auto"/>
              </w:rPr>
              <w:t>年</w:t>
            </w:r>
            <w:r>
              <w:rPr>
                <w:rFonts w:hint="eastAsia"/>
                <w:color w:val="auto"/>
                <w:lang w:val="en-US" w:eastAsia="zh-CN"/>
              </w:rPr>
              <w:t>2</w:t>
            </w:r>
            <w:r>
              <w:rPr>
                <w:color w:val="auto"/>
              </w:rPr>
              <w:t>月开工建设，于202</w:t>
            </w:r>
            <w:r>
              <w:rPr>
                <w:rFonts w:hint="eastAsia"/>
                <w:color w:val="auto"/>
                <w:lang w:val="en-US" w:eastAsia="zh-CN"/>
              </w:rPr>
              <w:t>3</w:t>
            </w:r>
            <w:r>
              <w:rPr>
                <w:color w:val="auto"/>
              </w:rPr>
              <w:t>年</w:t>
            </w:r>
            <w:r>
              <w:rPr>
                <w:rFonts w:hint="eastAsia"/>
                <w:color w:val="auto"/>
                <w:lang w:val="en-US" w:eastAsia="zh-CN"/>
              </w:rPr>
              <w:t>4</w:t>
            </w:r>
            <w:r>
              <w:rPr>
                <w:color w:val="auto"/>
              </w:rPr>
              <w:t>月环境保护设施投入调试；</w:t>
            </w:r>
          </w:p>
          <w:p>
            <w:pPr>
              <w:bidi w:val="0"/>
              <w:spacing w:line="360" w:lineRule="auto"/>
              <w:ind w:firstLine="480" w:firstLineChars="200"/>
              <w:rPr>
                <w:color w:val="auto"/>
              </w:rPr>
            </w:pPr>
            <w:r>
              <w:rPr>
                <w:color w:val="auto"/>
              </w:rPr>
              <w:t>（4）202</w:t>
            </w:r>
            <w:r>
              <w:rPr>
                <w:rFonts w:hint="eastAsia"/>
                <w:color w:val="auto"/>
                <w:lang w:val="en-US" w:eastAsia="zh-CN"/>
              </w:rPr>
              <w:t>3</w:t>
            </w:r>
            <w:r>
              <w:rPr>
                <w:color w:val="auto"/>
              </w:rPr>
              <w:t>年</w:t>
            </w:r>
            <w:r>
              <w:rPr>
                <w:rFonts w:hint="eastAsia"/>
                <w:color w:val="auto"/>
                <w:lang w:val="en-US" w:eastAsia="zh-CN"/>
              </w:rPr>
              <w:t>9</w:t>
            </w:r>
            <w:r>
              <w:rPr>
                <w:color w:val="auto"/>
              </w:rPr>
              <w:t>月2</w:t>
            </w:r>
            <w:r>
              <w:rPr>
                <w:rFonts w:hint="eastAsia"/>
                <w:color w:val="auto"/>
                <w:lang w:val="en-US" w:eastAsia="zh-CN"/>
              </w:rPr>
              <w:t>0</w:t>
            </w:r>
            <w:r>
              <w:rPr>
                <w:color w:val="auto"/>
              </w:rPr>
              <w:t>日，</w:t>
            </w:r>
            <w:r>
              <w:rPr>
                <w:rFonts w:hint="eastAsia"/>
                <w:color w:val="auto"/>
                <w:lang w:eastAsia="zh-CN"/>
              </w:rPr>
              <w:t>张掖市立陇新能源开发有限公司</w:t>
            </w:r>
            <w:r>
              <w:rPr>
                <w:rFonts w:hint="eastAsia"/>
                <w:color w:val="auto"/>
              </w:rPr>
              <w:t>委托</w:t>
            </w:r>
            <w:r>
              <w:rPr>
                <w:rFonts w:hint="eastAsia"/>
                <w:color w:val="auto"/>
                <w:lang w:val="en-US" w:eastAsia="zh-CN"/>
              </w:rPr>
              <w:t>我公司</w:t>
            </w:r>
            <w:r>
              <w:rPr>
                <w:rFonts w:hint="eastAsia"/>
                <w:color w:val="auto"/>
              </w:rPr>
              <w:t>进行竣工环境保护验收调查工作。</w:t>
            </w:r>
          </w:p>
        </w:tc>
      </w:tr>
    </w:tbl>
    <w:p>
      <w:pPr>
        <w:bidi w:val="0"/>
        <w:rPr>
          <w:color w:val="auto"/>
        </w:rPr>
      </w:pPr>
    </w:p>
    <w:p>
      <w:pPr>
        <w:bidi w:val="0"/>
        <w:rPr>
          <w:color w:val="auto"/>
        </w:rPr>
        <w:sectPr>
          <w:headerReference r:id="rId7" w:type="default"/>
          <w:footerReference r:id="rId8" w:type="default"/>
          <w:pgSz w:w="11907" w:h="16839"/>
          <w:pgMar w:top="1608" w:right="1262" w:bottom="1151" w:left="1136" w:header="1459" w:footer="991" w:gutter="0"/>
          <w:pgNumType w:fmt="decimal" w:start="1"/>
          <w:cols w:space="720" w:num="1"/>
        </w:sectPr>
      </w:pPr>
    </w:p>
    <w:p>
      <w:pPr>
        <w:bidi w:val="0"/>
        <w:spacing w:line="360" w:lineRule="auto"/>
        <w:jc w:val="center"/>
        <w:rPr>
          <w:color w:val="auto"/>
        </w:rPr>
      </w:pPr>
      <w:r>
        <w:rPr>
          <w:b/>
          <w:bCs/>
          <w:color w:val="auto"/>
          <w:sz w:val="28"/>
          <w:szCs w:val="28"/>
        </w:rPr>
        <w:t>表2    调查范围、环境监测因子、敏感目标、调查重点</w:t>
      </w:r>
    </w:p>
    <w:tbl>
      <w:tblPr>
        <w:tblStyle w:val="15"/>
        <w:tblW w:w="503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62"/>
        <w:gridCol w:w="8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8" w:hRule="atLeast"/>
        </w:trPr>
        <w:tc>
          <w:tcPr>
            <w:tcW w:w="345" w:type="pct"/>
            <w:vAlign w:val="center"/>
          </w:tcPr>
          <w:p>
            <w:pPr>
              <w:bidi w:val="0"/>
              <w:spacing w:line="240" w:lineRule="auto"/>
              <w:jc w:val="center"/>
              <w:rPr>
                <w:b/>
                <w:bCs/>
                <w:color w:val="auto"/>
              </w:rPr>
            </w:pPr>
            <w:r>
              <w:rPr>
                <w:b/>
                <w:bCs/>
                <w:color w:val="auto"/>
              </w:rPr>
              <w:t>调查范围</w:t>
            </w:r>
          </w:p>
        </w:tc>
        <w:tc>
          <w:tcPr>
            <w:tcW w:w="4654" w:type="pct"/>
            <w:vAlign w:val="center"/>
          </w:tcPr>
          <w:p>
            <w:pPr>
              <w:bidi w:val="0"/>
              <w:ind w:firstLine="480" w:firstLineChars="200"/>
              <w:rPr>
                <w:rFonts w:hint="eastAsia" w:eastAsia="宋体"/>
                <w:color w:val="auto"/>
                <w:lang w:eastAsia="zh-CN"/>
              </w:rPr>
            </w:pPr>
            <w:r>
              <w:rPr>
                <w:rFonts w:hint="default"/>
                <w:color w:val="auto"/>
              </w:rPr>
              <w:t>根据《环境影响评价技术导则</w:t>
            </w:r>
            <w:r>
              <w:rPr>
                <w:rFonts w:hint="eastAsia"/>
                <w:color w:val="auto"/>
                <w:lang w:val="en-US" w:eastAsia="zh-CN"/>
              </w:rPr>
              <w:t xml:space="preserve"> </w:t>
            </w:r>
            <w:r>
              <w:rPr>
                <w:rFonts w:hint="default"/>
                <w:color w:val="auto"/>
              </w:rPr>
              <w:t>生态环境》（HJ19-2011）中的生态环境现状调查范围的划分依据，针对项目区域的生态</w:t>
            </w:r>
            <w:r>
              <w:rPr>
                <w:rFonts w:hint="default"/>
                <w:color w:val="auto"/>
                <w:lang w:val="en-US" w:eastAsia="zh-CN"/>
              </w:rPr>
              <w:t>影响</w:t>
            </w:r>
            <w:r>
              <w:rPr>
                <w:rFonts w:hint="default"/>
                <w:color w:val="auto"/>
              </w:rPr>
              <w:t>范围，确定</w:t>
            </w:r>
            <w:r>
              <w:rPr>
                <w:rFonts w:hint="default"/>
                <w:color w:val="auto"/>
                <w:lang w:val="en-US" w:eastAsia="zh-CN"/>
              </w:rPr>
              <w:t>评价范围</w:t>
            </w:r>
            <w:r>
              <w:rPr>
                <w:rFonts w:hint="default"/>
                <w:color w:val="auto"/>
              </w:rPr>
              <w:t>范围</w:t>
            </w:r>
            <w:r>
              <w:rPr>
                <w:rFonts w:hint="default"/>
                <w:color w:val="auto"/>
                <w:lang w:val="en-US" w:eastAsia="zh-CN"/>
              </w:rPr>
              <w:t>面积为</w:t>
            </w:r>
            <w:r>
              <w:rPr>
                <w:color w:val="auto"/>
              </w:rPr>
              <w:t>升压站场址外扩 500m的范围和输电线路两侧 300</w:t>
            </w:r>
            <w:r>
              <w:rPr>
                <w:rFonts w:hint="eastAsia"/>
                <w:color w:val="auto"/>
                <w:lang w:val="en-US" w:eastAsia="zh-CN"/>
              </w:rPr>
              <w:t>m</w:t>
            </w:r>
            <w:r>
              <w:rPr>
                <w:color w:val="auto"/>
              </w:rPr>
              <w:t>范围；本次评价生态现状调查范围共计 4.9109km</w:t>
            </w:r>
            <w:r>
              <w:rPr>
                <w:color w:val="auto"/>
                <w:vertAlign w:val="superscript"/>
              </w:rPr>
              <w:t>2</w:t>
            </w:r>
            <w:r>
              <w:rPr>
                <w:color w:val="auto"/>
              </w:rPr>
              <w:t>。</w:t>
            </w:r>
            <w:r>
              <w:rPr>
                <w:rFonts w:hint="default"/>
                <w:color w:val="auto"/>
              </w:rPr>
              <w:t>本次验收调查范围与环评阶段调查范围一致。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1" w:hRule="atLeast"/>
        </w:trPr>
        <w:tc>
          <w:tcPr>
            <w:tcW w:w="345" w:type="pct"/>
            <w:vAlign w:val="center"/>
          </w:tcPr>
          <w:p>
            <w:pPr>
              <w:bidi w:val="0"/>
              <w:spacing w:line="240" w:lineRule="auto"/>
              <w:jc w:val="center"/>
              <w:rPr>
                <w:b/>
                <w:bCs/>
                <w:color w:val="auto"/>
              </w:rPr>
            </w:pPr>
            <w:r>
              <w:rPr>
                <w:b/>
                <w:bCs/>
                <w:color w:val="auto"/>
              </w:rPr>
              <w:t>环境监测因子</w:t>
            </w:r>
          </w:p>
        </w:tc>
        <w:tc>
          <w:tcPr>
            <w:tcW w:w="4654" w:type="pct"/>
            <w:vAlign w:val="center"/>
          </w:tcPr>
          <w:p>
            <w:pPr>
              <w:bidi w:val="0"/>
              <w:ind w:firstLine="480" w:firstLineChars="200"/>
              <w:rPr>
                <w:color w:val="auto"/>
              </w:rPr>
            </w:pPr>
            <w:r>
              <w:rPr>
                <w:color w:val="auto"/>
              </w:rPr>
              <w:t>本项目按照《建设项目竣工环境保护验收技术规范—输变电》（HJ705-2020）的规定，本项目竣工环保验收的环境监测因子如下：</w:t>
            </w:r>
          </w:p>
          <w:p>
            <w:pPr>
              <w:bidi w:val="0"/>
              <w:spacing w:line="240" w:lineRule="auto"/>
              <w:jc w:val="center"/>
              <w:rPr>
                <w:b/>
                <w:bCs/>
                <w:color w:val="auto"/>
              </w:rPr>
            </w:pPr>
            <w:r>
              <w:rPr>
                <w:b/>
                <w:bCs/>
                <w:color w:val="auto"/>
              </w:rPr>
              <w:t>表 2-2    工程竣工环保验收环境监测因子一览表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52"/>
              <w:gridCol w:w="4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2500" w:type="pct"/>
                  <w:vAlign w:val="center"/>
                </w:tcPr>
                <w:p>
                  <w:pPr>
                    <w:bidi w:val="0"/>
                    <w:spacing w:line="240" w:lineRule="auto"/>
                    <w:jc w:val="center"/>
                    <w:rPr>
                      <w:b/>
                      <w:bCs/>
                      <w:color w:val="auto"/>
                      <w:sz w:val="21"/>
                      <w:szCs w:val="21"/>
                    </w:rPr>
                  </w:pPr>
                  <w:r>
                    <w:rPr>
                      <w:b/>
                      <w:bCs/>
                      <w:color w:val="auto"/>
                      <w:sz w:val="21"/>
                      <w:szCs w:val="21"/>
                    </w:rPr>
                    <w:t>环境监测因子</w:t>
                  </w:r>
                </w:p>
              </w:tc>
              <w:tc>
                <w:tcPr>
                  <w:tcW w:w="2500" w:type="pct"/>
                  <w:vAlign w:val="center"/>
                </w:tcPr>
                <w:p>
                  <w:pPr>
                    <w:bidi w:val="0"/>
                    <w:spacing w:line="240" w:lineRule="auto"/>
                    <w:jc w:val="center"/>
                    <w:rPr>
                      <w:b/>
                      <w:bCs/>
                      <w:color w:val="auto"/>
                      <w:sz w:val="21"/>
                      <w:szCs w:val="21"/>
                    </w:rPr>
                  </w:pPr>
                  <w:r>
                    <w:rPr>
                      <w:b/>
                      <w:bCs/>
                      <w:color w:val="auto"/>
                      <w:sz w:val="21"/>
                      <w:szCs w:val="21"/>
                    </w:rPr>
                    <w:t>监测指标及单位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2500" w:type="pct"/>
                  <w:vAlign w:val="center"/>
                </w:tcPr>
                <w:p>
                  <w:pPr>
                    <w:bidi w:val="0"/>
                    <w:spacing w:line="240" w:lineRule="auto"/>
                    <w:jc w:val="center"/>
                    <w:rPr>
                      <w:color w:val="auto"/>
                      <w:sz w:val="21"/>
                      <w:szCs w:val="21"/>
                    </w:rPr>
                  </w:pPr>
                  <w:r>
                    <w:rPr>
                      <w:color w:val="auto"/>
                      <w:sz w:val="21"/>
                      <w:szCs w:val="21"/>
                    </w:rPr>
                    <w:t>工频电场</w:t>
                  </w:r>
                </w:p>
              </w:tc>
              <w:tc>
                <w:tcPr>
                  <w:tcW w:w="2500" w:type="pct"/>
                  <w:vAlign w:val="center"/>
                </w:tcPr>
                <w:p>
                  <w:pPr>
                    <w:bidi w:val="0"/>
                    <w:spacing w:line="240" w:lineRule="auto"/>
                    <w:jc w:val="center"/>
                    <w:rPr>
                      <w:color w:val="auto"/>
                      <w:sz w:val="21"/>
                      <w:szCs w:val="21"/>
                    </w:rPr>
                  </w:pPr>
                  <w:r>
                    <w:rPr>
                      <w:color w:val="auto"/>
                      <w:sz w:val="21"/>
                      <w:szCs w:val="21"/>
                    </w:rPr>
                    <w:t>工频电场强度，V/m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2500" w:type="pct"/>
                  <w:vAlign w:val="center"/>
                </w:tcPr>
                <w:p>
                  <w:pPr>
                    <w:bidi w:val="0"/>
                    <w:spacing w:line="240" w:lineRule="auto"/>
                    <w:jc w:val="center"/>
                    <w:rPr>
                      <w:color w:val="auto"/>
                      <w:sz w:val="21"/>
                      <w:szCs w:val="21"/>
                    </w:rPr>
                  </w:pPr>
                  <w:r>
                    <w:rPr>
                      <w:color w:val="auto"/>
                      <w:sz w:val="21"/>
                      <w:szCs w:val="21"/>
                    </w:rPr>
                    <w:t>工频磁场</w:t>
                  </w:r>
                </w:p>
              </w:tc>
              <w:tc>
                <w:tcPr>
                  <w:tcW w:w="2500" w:type="pct"/>
                  <w:vAlign w:val="center"/>
                </w:tcPr>
                <w:p>
                  <w:pPr>
                    <w:bidi w:val="0"/>
                    <w:spacing w:line="240" w:lineRule="auto"/>
                    <w:jc w:val="center"/>
                    <w:rPr>
                      <w:color w:val="auto"/>
                      <w:sz w:val="21"/>
                      <w:szCs w:val="21"/>
                    </w:rPr>
                  </w:pPr>
                  <w:r>
                    <w:rPr>
                      <w:color w:val="auto"/>
                      <w:sz w:val="21"/>
                      <w:szCs w:val="21"/>
                    </w:rPr>
                    <w:t>工频磁感应强度，μT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2500" w:type="pct"/>
                  <w:vAlign w:val="center"/>
                </w:tcPr>
                <w:p>
                  <w:pPr>
                    <w:bidi w:val="0"/>
                    <w:spacing w:line="240" w:lineRule="auto"/>
                    <w:jc w:val="center"/>
                    <w:rPr>
                      <w:color w:val="auto"/>
                      <w:sz w:val="21"/>
                      <w:szCs w:val="21"/>
                    </w:rPr>
                  </w:pPr>
                  <w:r>
                    <w:rPr>
                      <w:color w:val="auto"/>
                      <w:sz w:val="21"/>
                      <w:szCs w:val="21"/>
                    </w:rPr>
                    <w:t>噪声</w:t>
                  </w:r>
                </w:p>
              </w:tc>
              <w:tc>
                <w:tcPr>
                  <w:tcW w:w="2500" w:type="pct"/>
                  <w:vAlign w:val="center"/>
                </w:tcPr>
                <w:p>
                  <w:pPr>
                    <w:bidi w:val="0"/>
                    <w:spacing w:line="240" w:lineRule="auto"/>
                    <w:jc w:val="center"/>
                    <w:rPr>
                      <w:color w:val="auto"/>
                      <w:sz w:val="21"/>
                      <w:szCs w:val="21"/>
                    </w:rPr>
                  </w:pPr>
                  <w:r>
                    <w:rPr>
                      <w:color w:val="auto"/>
                      <w:sz w:val="21"/>
                      <w:szCs w:val="21"/>
                    </w:rPr>
                    <w:t>昼间、夜间等效声级，Leq，dB（A）</w:t>
                  </w:r>
                </w:p>
              </w:tc>
            </w:tr>
          </w:tbl>
          <w:p>
            <w:pPr>
              <w:bidi w:val="0"/>
              <w:spacing w:line="240" w:lineRule="auto"/>
              <w:jc w:val="center"/>
              <w:rPr>
                <w:color w:val="auto"/>
              </w:rPr>
            </w:pPr>
          </w:p>
          <w:p>
            <w:pPr>
              <w:bidi w:val="0"/>
              <w:spacing w:line="240" w:lineRule="auto"/>
              <w:jc w:val="both"/>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345" w:type="pct"/>
            <w:vAlign w:val="center"/>
          </w:tcPr>
          <w:p>
            <w:pPr>
              <w:bidi w:val="0"/>
              <w:spacing w:line="240" w:lineRule="auto"/>
              <w:jc w:val="center"/>
              <w:rPr>
                <w:b/>
                <w:bCs/>
                <w:color w:val="auto"/>
              </w:rPr>
            </w:pPr>
            <w:r>
              <w:rPr>
                <w:b/>
                <w:bCs/>
                <w:color w:val="auto"/>
              </w:rPr>
              <w:t>环境敏感目标</w:t>
            </w:r>
          </w:p>
        </w:tc>
        <w:tc>
          <w:tcPr>
            <w:tcW w:w="4654" w:type="pct"/>
            <w:vAlign w:val="center"/>
          </w:tcPr>
          <w:p>
            <w:pPr>
              <w:bidi w:val="0"/>
              <w:ind w:firstLine="480" w:firstLineChars="200"/>
              <w:rPr>
                <w:color w:val="auto"/>
              </w:rPr>
            </w:pPr>
            <w:r>
              <w:rPr>
                <w:color w:val="auto"/>
              </w:rPr>
              <w:t>根据现场踏勘和调查，确定项目环境保护目标。</w:t>
            </w:r>
          </w:p>
          <w:p>
            <w:pPr>
              <w:bidi w:val="0"/>
              <w:ind w:firstLine="482" w:firstLineChars="200"/>
              <w:rPr>
                <w:b/>
                <w:bCs/>
                <w:color w:val="auto"/>
              </w:rPr>
            </w:pPr>
            <w:r>
              <w:rPr>
                <w:b/>
                <w:bCs/>
                <w:color w:val="auto"/>
              </w:rPr>
              <w:t>1、生态保护目标</w:t>
            </w:r>
          </w:p>
          <w:p>
            <w:pPr>
              <w:bidi w:val="0"/>
              <w:ind w:firstLine="480" w:firstLineChars="200"/>
              <w:rPr>
                <w:rFonts w:hint="eastAsia" w:eastAsia="宋体"/>
                <w:color w:val="auto"/>
                <w:lang w:val="en-US" w:eastAsia="zh-CN"/>
              </w:rPr>
            </w:pPr>
            <w:r>
              <w:rPr>
                <w:color w:val="auto"/>
                <w:lang w:val="en-US" w:eastAsia="zh-CN"/>
              </w:rPr>
              <w:t>本工程110kV北部滩升压站站址及影响区域不涉及国家公园、自然保护区、自然公园等自然保护地、世界自然遗产、生态保护红线等区域，不涉及重要物种的天然集中分布区，栖息地，重要水生生物的产卵场、索饵场、越冬场和洄游通道，迁徙鸟类的重要繁殖地、停歇地、越冬场以及野生动物迁徙通道等生态敏感区。</w:t>
            </w:r>
            <w:r>
              <w:rPr>
                <w:color w:val="auto"/>
              </w:rPr>
              <w:t>根据《高台县黑河湿地国家级自然保护区管理局关于高台县北部滩百万千瓦风电基地40万千瓦风电项目110KV送出线路工程项目用地征求意 见的复函》（高湿管函字〔2022〕71号），本项目不涉及黑河湿地国家级自然保护区，距离黑河湿地国家级自然保护区的最近距离为1.34km，本项目与黑河湿地国家级自然保护区的位置关系详本项目与黑河湿地国家级自然保护区的位置见附图</w:t>
            </w:r>
            <w:r>
              <w:rPr>
                <w:rFonts w:hint="eastAsia"/>
                <w:color w:val="auto"/>
                <w:lang w:val="en-US" w:eastAsia="zh-CN"/>
              </w:rPr>
              <w:t>6</w:t>
            </w:r>
            <w:r>
              <w:rPr>
                <w:rFonts w:hint="eastAsia"/>
                <w:color w:val="auto"/>
                <w:lang w:eastAsia="zh-CN"/>
              </w:rPr>
              <w:t>。</w:t>
            </w:r>
          </w:p>
          <w:p>
            <w:pPr>
              <w:bidi w:val="0"/>
              <w:ind w:firstLine="480" w:firstLineChars="200"/>
              <w:rPr>
                <w:color w:val="auto"/>
              </w:rPr>
            </w:pPr>
            <w:r>
              <w:rPr>
                <w:color w:val="auto"/>
              </w:rPr>
              <w:t>经收集资料、现场调查，与环评阶段相比，本工程验收调查阶段生态环境保护目标与环评阶段一致，不涉及生态环境保护目标。</w:t>
            </w:r>
          </w:p>
          <w:p>
            <w:pPr>
              <w:bidi w:val="0"/>
              <w:ind w:firstLine="482" w:firstLineChars="200"/>
              <w:rPr>
                <w:b/>
                <w:bCs/>
                <w:color w:val="auto"/>
              </w:rPr>
            </w:pPr>
            <w:r>
              <w:rPr>
                <w:b/>
                <w:bCs/>
                <w:color w:val="auto"/>
              </w:rPr>
              <w:t>2、电磁环境保护目标</w:t>
            </w:r>
          </w:p>
          <w:p>
            <w:pPr>
              <w:bidi w:val="0"/>
              <w:ind w:firstLine="480" w:firstLineChars="200"/>
              <w:rPr>
                <w:rFonts w:hint="eastAsia"/>
                <w:color w:val="auto"/>
                <w:lang w:val="en-US" w:eastAsia="zh-CN"/>
              </w:rPr>
            </w:pPr>
            <w:r>
              <w:rPr>
                <w:color w:val="auto"/>
                <w:lang w:val="en-US" w:eastAsia="zh-CN"/>
              </w:rPr>
              <w:t>根据本工程环评报告表，</w:t>
            </w:r>
            <w:r>
              <w:rPr>
                <w:color w:val="auto"/>
              </w:rPr>
              <w:t>本项目110kV北部滩升压站电磁环境保护目标调查范围为厂界外30m，110kV架空线路边导线地面投影外两侧各30m带状区域，根据现状调查，110kV北部滩升压站站界外30m范围无电磁环境保护目标，110kV架空线路边导线30m范围内无电磁环境保护目标。</w:t>
            </w:r>
          </w:p>
          <w:p>
            <w:pPr>
              <w:bidi w:val="0"/>
              <w:ind w:firstLine="480" w:firstLineChars="200"/>
              <w:rPr>
                <w:color w:val="auto"/>
                <w:lang w:val="en-US" w:eastAsia="zh-CN"/>
              </w:rPr>
            </w:pPr>
            <w:r>
              <w:rPr>
                <w:color w:val="auto"/>
                <w:lang w:val="en-US" w:eastAsia="zh-CN"/>
              </w:rPr>
              <w:t>经收集资料、现场调查，与环评阶段相比，本工程验收调查阶段</w:t>
            </w:r>
            <w:r>
              <w:rPr>
                <w:rFonts w:hint="eastAsia"/>
                <w:color w:val="auto"/>
                <w:lang w:val="en-US" w:eastAsia="zh-CN"/>
              </w:rPr>
              <w:t>电磁</w:t>
            </w:r>
            <w:r>
              <w:rPr>
                <w:color w:val="auto"/>
                <w:lang w:val="en-US" w:eastAsia="zh-CN"/>
              </w:rPr>
              <w:t>环境保护目标与环评阶段一致，不涉及</w:t>
            </w:r>
            <w:r>
              <w:rPr>
                <w:rFonts w:hint="eastAsia"/>
                <w:color w:val="auto"/>
                <w:lang w:val="en-US" w:eastAsia="zh-CN"/>
              </w:rPr>
              <w:t>电磁</w:t>
            </w:r>
            <w:r>
              <w:rPr>
                <w:color w:val="auto"/>
                <w:lang w:val="en-US" w:eastAsia="zh-CN"/>
              </w:rPr>
              <w:t>环境保护目标。</w:t>
            </w:r>
          </w:p>
          <w:p>
            <w:pPr>
              <w:numPr>
                <w:ilvl w:val="0"/>
                <w:numId w:val="1"/>
              </w:numPr>
              <w:bidi w:val="0"/>
              <w:ind w:firstLine="482" w:firstLineChars="200"/>
              <w:rPr>
                <w:rFonts w:hint="eastAsia"/>
                <w:b/>
                <w:bCs/>
                <w:color w:val="auto"/>
                <w:lang w:val="en-US" w:eastAsia="zh-CN"/>
              </w:rPr>
            </w:pPr>
            <w:r>
              <w:rPr>
                <w:rFonts w:hint="eastAsia"/>
                <w:b/>
                <w:bCs/>
                <w:color w:val="auto"/>
                <w:lang w:val="en-US" w:eastAsia="zh-CN"/>
              </w:rPr>
              <w:t>声环境保护目标</w:t>
            </w:r>
          </w:p>
          <w:p>
            <w:pPr>
              <w:bidi w:val="0"/>
              <w:ind w:firstLine="480" w:firstLineChars="200"/>
              <w:rPr>
                <w:color w:val="auto"/>
              </w:rPr>
            </w:pPr>
            <w:r>
              <w:rPr>
                <w:color w:val="auto"/>
                <w:lang w:val="en-US" w:eastAsia="zh-CN"/>
              </w:rPr>
              <w:t>根据本工程环评报告表，</w:t>
            </w:r>
            <w:r>
              <w:rPr>
                <w:color w:val="auto"/>
              </w:rPr>
              <w:t>本项目110kV北部滩升压站声环境保护目标调查范围为厂界外200m</w:t>
            </w:r>
            <w:r>
              <w:rPr>
                <w:rFonts w:hint="eastAsia"/>
                <w:color w:val="auto"/>
                <w:lang w:eastAsia="zh-CN"/>
              </w:rPr>
              <w:t>，</w:t>
            </w:r>
            <w:r>
              <w:rPr>
                <w:color w:val="auto"/>
              </w:rPr>
              <w:t>110kV架空线路边导线地面投影外两侧各30m带状区域。根据现场调查，110kV北部滩升压站站界外200m范围内无声环境保护目标，110kV架空线路边导线30m范围内无声环境保护目标。</w:t>
            </w:r>
          </w:p>
          <w:p>
            <w:pPr>
              <w:bidi w:val="0"/>
              <w:ind w:firstLine="480" w:firstLineChars="200"/>
              <w:rPr>
                <w:rFonts w:hint="default"/>
                <w:color w:val="auto"/>
                <w:lang w:val="en-US" w:eastAsia="zh-CN"/>
              </w:rPr>
            </w:pPr>
            <w:r>
              <w:rPr>
                <w:color w:val="auto"/>
                <w:lang w:val="en-US" w:eastAsia="zh-CN"/>
              </w:rPr>
              <w:t>经收集资料、现场调查，与环评阶段相比，本工程验收调查阶段</w:t>
            </w:r>
            <w:r>
              <w:rPr>
                <w:rFonts w:hint="eastAsia"/>
                <w:color w:val="auto"/>
                <w:lang w:val="en-US" w:eastAsia="zh-CN"/>
              </w:rPr>
              <w:t>声</w:t>
            </w:r>
            <w:r>
              <w:rPr>
                <w:color w:val="auto"/>
                <w:lang w:val="en-US" w:eastAsia="zh-CN"/>
              </w:rPr>
              <w:t>环境保护目标与环评阶段一致，不涉及</w:t>
            </w:r>
            <w:r>
              <w:rPr>
                <w:rFonts w:hint="eastAsia"/>
                <w:color w:val="auto"/>
                <w:lang w:val="en-US" w:eastAsia="zh-CN"/>
              </w:rPr>
              <w:t>声</w:t>
            </w:r>
            <w:r>
              <w:rPr>
                <w:color w:val="auto"/>
                <w:lang w:val="en-US" w:eastAsia="zh-CN"/>
              </w:rPr>
              <w:t>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345" w:type="pct"/>
            <w:vAlign w:val="center"/>
          </w:tcPr>
          <w:p>
            <w:pPr>
              <w:bidi w:val="0"/>
              <w:spacing w:line="240" w:lineRule="auto"/>
              <w:jc w:val="center"/>
              <w:rPr>
                <w:b/>
                <w:bCs/>
                <w:color w:val="auto"/>
              </w:rPr>
            </w:pPr>
            <w:r>
              <w:rPr>
                <w:b/>
                <w:bCs/>
                <w:color w:val="auto"/>
              </w:rPr>
              <w:t>调查重点</w:t>
            </w:r>
          </w:p>
        </w:tc>
        <w:tc>
          <w:tcPr>
            <w:tcW w:w="4654" w:type="pct"/>
            <w:vAlign w:val="center"/>
          </w:tcPr>
          <w:p>
            <w:pPr>
              <w:bidi w:val="0"/>
              <w:ind w:firstLine="480" w:firstLineChars="200"/>
              <w:rPr>
                <w:color w:val="auto"/>
              </w:rPr>
            </w:pPr>
            <w:r>
              <w:rPr>
                <w:color w:val="auto"/>
              </w:rPr>
              <w:t>结合项目区域环境特征，本次环境保护竣工验收调查工作重点包括：</w:t>
            </w:r>
          </w:p>
          <w:p>
            <w:pPr>
              <w:bidi w:val="0"/>
              <w:ind w:firstLine="480" w:firstLineChars="200"/>
              <w:rPr>
                <w:color w:val="auto"/>
              </w:rPr>
            </w:pPr>
            <w:r>
              <w:rPr>
                <w:color w:val="auto"/>
              </w:rPr>
              <w:t>（1）项目设计及环境影响评价文件中提出的造成环境影响的主要建设内容。对工程实际建设内容及设计变更造成的环境影响变化情况进行分析论证。</w:t>
            </w:r>
          </w:p>
          <w:p>
            <w:pPr>
              <w:bidi w:val="0"/>
              <w:ind w:firstLine="480" w:firstLineChars="200"/>
              <w:rPr>
                <w:color w:val="auto"/>
              </w:rPr>
            </w:pPr>
            <w:r>
              <w:rPr>
                <w:color w:val="auto"/>
              </w:rPr>
              <w:t>（2）核查实际建设内容、方案设计变更情况和造成的环境影响变化情况。对项目实际建设内容与、方案设计、原环评对比，有无变化，进行说明。</w:t>
            </w:r>
          </w:p>
          <w:p>
            <w:pPr>
              <w:bidi w:val="0"/>
              <w:ind w:firstLine="480" w:firstLineChars="200"/>
              <w:rPr>
                <w:color w:val="auto"/>
              </w:rPr>
            </w:pPr>
            <w:r>
              <w:rPr>
                <w:color w:val="auto"/>
              </w:rPr>
              <w:t>（3）环境敏感目标基本情况及变动情况</w:t>
            </w:r>
          </w:p>
          <w:p>
            <w:pPr>
              <w:bidi w:val="0"/>
              <w:ind w:firstLine="480" w:firstLineChars="200"/>
              <w:rPr>
                <w:color w:val="auto"/>
              </w:rPr>
            </w:pPr>
            <w:r>
              <w:rPr>
                <w:color w:val="auto"/>
              </w:rPr>
              <w:t>对项目涉及的环境保护敏感目标进行调查，并通过回顾环评文件的环境敏感目标情况进行比较分析。</w:t>
            </w:r>
          </w:p>
          <w:p>
            <w:pPr>
              <w:bidi w:val="0"/>
              <w:ind w:firstLine="480" w:firstLineChars="200"/>
              <w:rPr>
                <w:color w:val="auto"/>
              </w:rPr>
            </w:pPr>
            <w:r>
              <w:rPr>
                <w:color w:val="auto"/>
              </w:rPr>
              <w:t>（4）环境影响评价制度及其他环境保护规章制度执行情况</w:t>
            </w:r>
          </w:p>
          <w:p>
            <w:pPr>
              <w:bidi w:val="0"/>
              <w:ind w:firstLine="480" w:firstLineChars="200"/>
              <w:rPr>
                <w:color w:val="auto"/>
              </w:rPr>
            </w:pPr>
            <w:r>
              <w:rPr>
                <w:color w:val="auto"/>
              </w:rPr>
              <w:t>对本项目工程前期、建设期和运行期落实环境影响评价制度和各项环境保护法律法规制度的落实情况进行检查，并有针对性的提出加强环境管理的措施和建议。</w:t>
            </w:r>
          </w:p>
          <w:p>
            <w:pPr>
              <w:bidi w:val="0"/>
              <w:ind w:firstLine="480" w:firstLineChars="200"/>
              <w:rPr>
                <w:color w:val="auto"/>
              </w:rPr>
            </w:pPr>
            <w:r>
              <w:rPr>
                <w:color w:val="auto"/>
              </w:rPr>
              <w:t>（5）环境保护设计文件、环境影响评价文件及其批复文件中提出的环境保护设施和环境保护措施落实情况及其效果、环境风险防范与应急措施落实情况。</w:t>
            </w:r>
          </w:p>
          <w:p>
            <w:pPr>
              <w:bidi w:val="0"/>
              <w:ind w:firstLine="480" w:firstLineChars="200"/>
              <w:rPr>
                <w:color w:val="auto"/>
              </w:rPr>
            </w:pPr>
            <w:r>
              <w:rPr>
                <w:color w:val="auto"/>
              </w:rPr>
              <w:t>根据环境影响评价文件及环境影响评价审批文件中提出的主要环境影响， 评价环境保护设计文件、环境影响评价文件及环境影响评价审批文件中提出的环境保护措施落实情况及其效果，对环境风险防范与应急措施落实情况及有效性进行检查。</w:t>
            </w:r>
          </w:p>
          <w:p>
            <w:pPr>
              <w:bidi w:val="0"/>
              <w:ind w:firstLine="480" w:firstLineChars="200"/>
              <w:rPr>
                <w:color w:val="auto"/>
              </w:rPr>
            </w:pPr>
            <w:r>
              <w:rPr>
                <w:color w:val="auto"/>
              </w:rPr>
              <w:t>（6）环境质量和环境监测因子达标情况</w:t>
            </w:r>
          </w:p>
          <w:p>
            <w:pPr>
              <w:bidi w:val="0"/>
              <w:ind w:firstLine="480" w:firstLineChars="200"/>
              <w:rPr>
                <w:color w:val="auto"/>
              </w:rPr>
            </w:pPr>
            <w:r>
              <w:rPr>
                <w:color w:val="auto"/>
              </w:rPr>
              <w:t>通过竣工环保验收期间的现状监测，对影响环境质量的主要污染因子达标情况进行分析、评价，验证环境影响评价文件对污染因子达标情况的预测结果，检查环境保护措施的有效性。</w:t>
            </w:r>
          </w:p>
          <w:p>
            <w:pPr>
              <w:bidi w:val="0"/>
              <w:ind w:firstLine="480" w:firstLineChars="200"/>
              <w:rPr>
                <w:rFonts w:hint="eastAsia" w:eastAsia="宋体"/>
                <w:color w:val="auto"/>
                <w:lang w:eastAsia="zh-CN"/>
              </w:rPr>
            </w:pPr>
            <w:r>
              <w:rPr>
                <w:color w:val="auto"/>
              </w:rPr>
              <w:t>（7）建设项目环境保护投资落实情况</w:t>
            </w:r>
            <w:r>
              <w:rPr>
                <w:rFonts w:hint="eastAsia"/>
                <w:color w:val="auto"/>
                <w:lang w:eastAsia="zh-CN"/>
              </w:rPr>
              <w:t>。</w:t>
            </w:r>
          </w:p>
        </w:tc>
      </w:tr>
    </w:tbl>
    <w:p>
      <w:pPr>
        <w:rPr>
          <w:color w:val="auto"/>
        </w:rPr>
      </w:pPr>
      <w:r>
        <w:rPr>
          <w:color w:val="auto"/>
        </w:rPr>
        <w:br w:type="page"/>
      </w:r>
    </w:p>
    <w:p>
      <w:pPr>
        <w:bidi w:val="0"/>
        <w:spacing w:line="360" w:lineRule="auto"/>
        <w:jc w:val="center"/>
        <w:rPr>
          <w:color w:val="auto"/>
        </w:rPr>
      </w:pPr>
      <w:r>
        <w:rPr>
          <w:b/>
          <w:bCs/>
          <w:color w:val="auto"/>
          <w:sz w:val="28"/>
          <w:szCs w:val="28"/>
        </w:rPr>
        <w:t>表 3    验收执行标准</w:t>
      </w:r>
    </w:p>
    <w:tbl>
      <w:tblPr>
        <w:tblStyle w:val="15"/>
        <w:tblW w:w="50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72"/>
        <w:gridCol w:w="8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53" w:type="pct"/>
            <w:vAlign w:val="center"/>
          </w:tcPr>
          <w:p>
            <w:pPr>
              <w:bidi w:val="0"/>
              <w:spacing w:line="240" w:lineRule="auto"/>
              <w:jc w:val="center"/>
              <w:rPr>
                <w:b/>
                <w:bCs/>
                <w:color w:val="auto"/>
              </w:rPr>
            </w:pPr>
            <w:r>
              <w:rPr>
                <w:b/>
                <w:bCs/>
                <w:color w:val="auto"/>
              </w:rPr>
              <w:t>电磁环境标准</w:t>
            </w:r>
          </w:p>
        </w:tc>
        <w:tc>
          <w:tcPr>
            <w:tcW w:w="4646" w:type="pct"/>
            <w:vAlign w:val="center"/>
          </w:tcPr>
          <w:p>
            <w:pPr>
              <w:bidi w:val="0"/>
              <w:ind w:firstLine="480" w:firstLineChars="200"/>
              <w:rPr>
                <w:color w:val="auto"/>
              </w:rPr>
            </w:pPr>
            <w:r>
              <w:rPr>
                <w:color w:val="auto"/>
              </w:rPr>
              <w:t>本项目竣工环境保护验收调查采用环境影响报告表及其审批文件中的相关评价标准进行验收调查，依据《电磁环境控制限值》（GB8702-2014）表 1“ 公众曝露控制 限值”规定，为控制本工程工频电场、磁场所致公众暴露，环境中工频电场强度控制限值为4000V/m，架空输电线路线下的耕地、园地、牧草地、畜禽饲养地、养殖水面、道路等场所，其频率50Hz的电场强度控制限值为10kV/m；工频磁感应强度控制限值为100μT，且应给出警示和防护指示标志。具体标准限值见表3-1。</w:t>
            </w:r>
          </w:p>
          <w:p>
            <w:pPr>
              <w:bidi w:val="0"/>
              <w:spacing w:line="240" w:lineRule="auto"/>
              <w:jc w:val="center"/>
              <w:rPr>
                <w:color w:val="auto"/>
                <w:vertAlign w:val="baseline"/>
              </w:rPr>
            </w:pPr>
            <w:r>
              <w:rPr>
                <w:b/>
                <w:bCs/>
                <w:color w:val="auto"/>
              </w:rPr>
              <w:t>表 3-1    电磁环境标准</w:t>
            </w:r>
          </w:p>
          <w:tbl>
            <w:tblPr>
              <w:tblStyle w:val="1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3"/>
              <w:gridCol w:w="2943"/>
              <w:gridCol w:w="29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pPr>
                    <w:bidi w:val="0"/>
                    <w:spacing w:line="240" w:lineRule="auto"/>
                    <w:jc w:val="center"/>
                    <w:rPr>
                      <w:b/>
                      <w:bCs/>
                      <w:color w:val="auto"/>
                      <w:sz w:val="21"/>
                      <w:szCs w:val="21"/>
                    </w:rPr>
                  </w:pPr>
                  <w:r>
                    <w:rPr>
                      <w:b/>
                      <w:bCs/>
                      <w:color w:val="auto"/>
                      <w:sz w:val="21"/>
                      <w:szCs w:val="21"/>
                    </w:rPr>
                    <w:t>验收调查因子</w:t>
                  </w:r>
                </w:p>
              </w:tc>
              <w:tc>
                <w:tcPr>
                  <w:tcW w:w="1666" w:type="pct"/>
                  <w:vAlign w:val="center"/>
                </w:tcPr>
                <w:p>
                  <w:pPr>
                    <w:bidi w:val="0"/>
                    <w:spacing w:line="240" w:lineRule="auto"/>
                    <w:jc w:val="center"/>
                    <w:rPr>
                      <w:b/>
                      <w:bCs/>
                      <w:color w:val="auto"/>
                      <w:sz w:val="21"/>
                      <w:szCs w:val="21"/>
                    </w:rPr>
                  </w:pPr>
                  <w:r>
                    <w:rPr>
                      <w:b/>
                      <w:bCs/>
                      <w:color w:val="auto"/>
                      <w:sz w:val="21"/>
                      <w:szCs w:val="21"/>
                    </w:rPr>
                    <w:t>标准限值</w:t>
                  </w:r>
                </w:p>
              </w:tc>
              <w:tc>
                <w:tcPr>
                  <w:tcW w:w="1666" w:type="pct"/>
                  <w:vAlign w:val="center"/>
                </w:tcPr>
                <w:p>
                  <w:pPr>
                    <w:bidi w:val="0"/>
                    <w:spacing w:line="240" w:lineRule="auto"/>
                    <w:jc w:val="center"/>
                    <w:rPr>
                      <w:b/>
                      <w:bCs/>
                      <w:color w:val="auto"/>
                      <w:sz w:val="21"/>
                      <w:szCs w:val="21"/>
                    </w:rPr>
                  </w:pPr>
                  <w:r>
                    <w:rPr>
                      <w:b/>
                      <w:bCs/>
                      <w:color w:val="auto"/>
                      <w:sz w:val="21"/>
                      <w:szCs w:val="21"/>
                    </w:rPr>
                    <w:t>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pPr>
                    <w:bidi w:val="0"/>
                    <w:spacing w:line="240" w:lineRule="auto"/>
                    <w:jc w:val="center"/>
                    <w:rPr>
                      <w:color w:val="auto"/>
                      <w:sz w:val="21"/>
                      <w:szCs w:val="21"/>
                    </w:rPr>
                  </w:pPr>
                  <w:r>
                    <w:rPr>
                      <w:color w:val="auto"/>
                      <w:sz w:val="21"/>
                      <w:szCs w:val="21"/>
                    </w:rPr>
                    <w:t>工频电场强度</w:t>
                  </w:r>
                </w:p>
              </w:tc>
              <w:tc>
                <w:tcPr>
                  <w:tcW w:w="1666" w:type="pct"/>
                  <w:vAlign w:val="center"/>
                </w:tcPr>
                <w:p>
                  <w:pPr>
                    <w:bidi w:val="0"/>
                    <w:spacing w:line="240" w:lineRule="auto"/>
                    <w:jc w:val="center"/>
                    <w:rPr>
                      <w:color w:val="auto"/>
                      <w:sz w:val="21"/>
                      <w:szCs w:val="21"/>
                    </w:rPr>
                  </w:pPr>
                  <w:r>
                    <w:rPr>
                      <w:color w:val="auto"/>
                      <w:sz w:val="21"/>
                      <w:szCs w:val="21"/>
                    </w:rPr>
                    <w:t>4000V/m</w:t>
                  </w:r>
                </w:p>
              </w:tc>
              <w:tc>
                <w:tcPr>
                  <w:tcW w:w="1666" w:type="pct"/>
                  <w:vMerge w:val="restart"/>
                  <w:vAlign w:val="center"/>
                </w:tcPr>
                <w:p>
                  <w:pPr>
                    <w:bidi w:val="0"/>
                    <w:spacing w:line="240" w:lineRule="auto"/>
                    <w:jc w:val="center"/>
                    <w:rPr>
                      <w:color w:val="auto"/>
                      <w:sz w:val="21"/>
                      <w:szCs w:val="21"/>
                    </w:rPr>
                  </w:pPr>
                  <w:r>
                    <w:rPr>
                      <w:color w:val="auto"/>
                      <w:sz w:val="21"/>
                      <w:szCs w:val="21"/>
                    </w:rPr>
                    <w:t>《电磁环境控制限制》(GB8702-2014)）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pPr>
                    <w:bidi w:val="0"/>
                    <w:spacing w:line="240" w:lineRule="auto"/>
                    <w:jc w:val="center"/>
                    <w:rPr>
                      <w:color w:val="auto"/>
                      <w:sz w:val="21"/>
                      <w:szCs w:val="21"/>
                    </w:rPr>
                  </w:pPr>
                  <w:r>
                    <w:rPr>
                      <w:color w:val="auto"/>
                      <w:sz w:val="21"/>
                      <w:szCs w:val="21"/>
                    </w:rPr>
                    <w:t>工频磁感应强度</w:t>
                  </w:r>
                </w:p>
              </w:tc>
              <w:tc>
                <w:tcPr>
                  <w:tcW w:w="1666" w:type="pct"/>
                  <w:vAlign w:val="center"/>
                </w:tcPr>
                <w:p>
                  <w:pPr>
                    <w:bidi w:val="0"/>
                    <w:spacing w:line="240" w:lineRule="auto"/>
                    <w:jc w:val="center"/>
                    <w:rPr>
                      <w:color w:val="auto"/>
                      <w:sz w:val="21"/>
                      <w:szCs w:val="21"/>
                    </w:rPr>
                  </w:pPr>
                  <w:r>
                    <w:rPr>
                      <w:color w:val="auto"/>
                      <w:sz w:val="21"/>
                      <w:szCs w:val="21"/>
                    </w:rPr>
                    <w:t>100μT</w:t>
                  </w:r>
                </w:p>
              </w:tc>
              <w:tc>
                <w:tcPr>
                  <w:tcW w:w="1666" w:type="pct"/>
                  <w:vMerge w:val="continue"/>
                  <w:vAlign w:val="center"/>
                </w:tcPr>
                <w:p>
                  <w:pPr>
                    <w:bidi w:val="0"/>
                    <w:spacing w:line="240" w:lineRule="auto"/>
                    <w:jc w:val="center"/>
                    <w:rPr>
                      <w:color w:val="auto"/>
                      <w:sz w:val="21"/>
                      <w:szCs w:val="21"/>
                    </w:rPr>
                  </w:pPr>
                </w:p>
              </w:tc>
            </w:tr>
          </w:tbl>
          <w:p>
            <w:pPr>
              <w:bidi w:val="0"/>
              <w:spacing w:line="240" w:lineRule="auto"/>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53" w:type="pct"/>
            <w:vAlign w:val="center"/>
          </w:tcPr>
          <w:p>
            <w:pPr>
              <w:bidi w:val="0"/>
              <w:spacing w:line="240" w:lineRule="auto"/>
              <w:jc w:val="center"/>
              <w:rPr>
                <w:b/>
                <w:bCs/>
                <w:color w:val="auto"/>
              </w:rPr>
            </w:pPr>
            <w:r>
              <w:rPr>
                <w:b/>
                <w:bCs/>
                <w:color w:val="auto"/>
              </w:rPr>
              <w:t>声环境标准</w:t>
            </w:r>
          </w:p>
        </w:tc>
        <w:tc>
          <w:tcPr>
            <w:tcW w:w="4646" w:type="pct"/>
            <w:vAlign w:val="center"/>
          </w:tcPr>
          <w:p>
            <w:pPr>
              <w:bidi w:val="0"/>
              <w:ind w:firstLine="480" w:firstLineChars="200"/>
              <w:rPr>
                <w:color w:val="auto"/>
              </w:rPr>
            </w:pPr>
            <w:r>
              <w:rPr>
                <w:color w:val="auto"/>
              </w:rPr>
              <w:t>本次声环境验收调查采用其审批文件及环境影响报告表中的相关评价标准确定的声环境标准作为验收标准，项目位于甘肃省张掖市高台县北部滩百万千瓦风电基地，110kV北部滩升压站站址执行《声环境质量标准》（GB3096-2008）中2类区标准，110kV输电线路执行《声环境质量标准》（GB3096-2008）中2类区标准，具体见表3-2。</w:t>
            </w:r>
          </w:p>
          <w:p>
            <w:pPr>
              <w:bidi w:val="0"/>
              <w:spacing w:line="240" w:lineRule="auto"/>
              <w:jc w:val="center"/>
              <w:rPr>
                <w:color w:val="auto"/>
                <w:vertAlign w:val="baseline"/>
              </w:rPr>
            </w:pPr>
            <w:r>
              <w:rPr>
                <w:b/>
                <w:bCs/>
                <w:color w:val="auto"/>
              </w:rPr>
              <w:t>表 3-2    声环境质量标准及排放标准</w:t>
            </w:r>
          </w:p>
          <w:tbl>
            <w:tblPr>
              <w:tblStyle w:val="15"/>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625"/>
              <w:gridCol w:w="1039"/>
              <w:gridCol w:w="1776"/>
              <w:gridCol w:w="339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486" w:type="pct"/>
                  <w:vAlign w:val="center"/>
                </w:tcPr>
                <w:p>
                  <w:pPr>
                    <w:bidi w:val="0"/>
                    <w:spacing w:line="240" w:lineRule="auto"/>
                    <w:jc w:val="center"/>
                    <w:rPr>
                      <w:b/>
                      <w:bCs/>
                      <w:color w:val="auto"/>
                      <w:sz w:val="21"/>
                      <w:szCs w:val="21"/>
                    </w:rPr>
                  </w:pPr>
                  <w:r>
                    <w:rPr>
                      <w:b/>
                      <w:bCs/>
                      <w:color w:val="auto"/>
                      <w:sz w:val="21"/>
                      <w:szCs w:val="21"/>
                    </w:rPr>
                    <w:t>声环境功能区类别</w:t>
                  </w:r>
                </w:p>
              </w:tc>
              <w:tc>
                <w:tcPr>
                  <w:tcW w:w="588" w:type="pct"/>
                  <w:vAlign w:val="center"/>
                </w:tcPr>
                <w:p>
                  <w:pPr>
                    <w:bidi w:val="0"/>
                    <w:spacing w:line="240" w:lineRule="auto"/>
                    <w:jc w:val="center"/>
                    <w:rPr>
                      <w:b/>
                      <w:bCs/>
                      <w:color w:val="auto"/>
                      <w:sz w:val="21"/>
                      <w:szCs w:val="21"/>
                    </w:rPr>
                  </w:pPr>
                  <w:r>
                    <w:rPr>
                      <w:b/>
                      <w:bCs/>
                      <w:color w:val="auto"/>
                      <w:sz w:val="21"/>
                      <w:szCs w:val="21"/>
                    </w:rPr>
                    <w:t>昼间</w:t>
                  </w:r>
                </w:p>
              </w:tc>
              <w:tc>
                <w:tcPr>
                  <w:tcW w:w="1005" w:type="pct"/>
                  <w:vAlign w:val="center"/>
                </w:tcPr>
                <w:p>
                  <w:pPr>
                    <w:bidi w:val="0"/>
                    <w:spacing w:line="240" w:lineRule="auto"/>
                    <w:jc w:val="center"/>
                    <w:rPr>
                      <w:b/>
                      <w:bCs/>
                      <w:color w:val="auto"/>
                      <w:sz w:val="21"/>
                      <w:szCs w:val="21"/>
                    </w:rPr>
                  </w:pPr>
                  <w:r>
                    <w:rPr>
                      <w:b/>
                      <w:bCs/>
                      <w:color w:val="auto"/>
                      <w:sz w:val="21"/>
                      <w:szCs w:val="21"/>
                    </w:rPr>
                    <w:t>夜间</w:t>
                  </w:r>
                </w:p>
              </w:tc>
              <w:tc>
                <w:tcPr>
                  <w:tcW w:w="1919" w:type="pct"/>
                  <w:vAlign w:val="center"/>
                </w:tcPr>
                <w:p>
                  <w:pPr>
                    <w:bidi w:val="0"/>
                    <w:spacing w:line="240" w:lineRule="auto"/>
                    <w:jc w:val="center"/>
                    <w:rPr>
                      <w:b/>
                      <w:bCs/>
                      <w:color w:val="auto"/>
                      <w:sz w:val="21"/>
                      <w:szCs w:val="21"/>
                    </w:rPr>
                  </w:pPr>
                  <w:r>
                    <w:rPr>
                      <w:b/>
                      <w:bCs/>
                      <w:color w:val="auto"/>
                      <w:sz w:val="21"/>
                      <w:szCs w:val="21"/>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486" w:type="pct"/>
                  <w:vAlign w:val="center"/>
                </w:tcPr>
                <w:p>
                  <w:pPr>
                    <w:bidi w:val="0"/>
                    <w:spacing w:line="240" w:lineRule="auto"/>
                    <w:jc w:val="center"/>
                    <w:rPr>
                      <w:color w:val="auto"/>
                      <w:sz w:val="21"/>
                      <w:szCs w:val="21"/>
                    </w:rPr>
                  </w:pPr>
                  <w:r>
                    <w:rPr>
                      <w:color w:val="auto"/>
                      <w:sz w:val="21"/>
                      <w:szCs w:val="21"/>
                    </w:rPr>
                    <w:t>2 类</w:t>
                  </w:r>
                </w:p>
              </w:tc>
              <w:tc>
                <w:tcPr>
                  <w:tcW w:w="588" w:type="pct"/>
                  <w:vAlign w:val="center"/>
                </w:tcPr>
                <w:p>
                  <w:pPr>
                    <w:bidi w:val="0"/>
                    <w:spacing w:line="240" w:lineRule="auto"/>
                    <w:jc w:val="center"/>
                    <w:rPr>
                      <w:color w:val="auto"/>
                      <w:sz w:val="21"/>
                      <w:szCs w:val="21"/>
                    </w:rPr>
                  </w:pPr>
                  <w:r>
                    <w:rPr>
                      <w:color w:val="auto"/>
                      <w:sz w:val="21"/>
                      <w:szCs w:val="21"/>
                    </w:rPr>
                    <w:t>60</w:t>
                  </w:r>
                </w:p>
              </w:tc>
              <w:tc>
                <w:tcPr>
                  <w:tcW w:w="1005" w:type="pct"/>
                  <w:vAlign w:val="center"/>
                </w:tcPr>
                <w:p>
                  <w:pPr>
                    <w:bidi w:val="0"/>
                    <w:spacing w:line="240" w:lineRule="auto"/>
                    <w:jc w:val="center"/>
                    <w:rPr>
                      <w:color w:val="auto"/>
                      <w:sz w:val="21"/>
                      <w:szCs w:val="21"/>
                    </w:rPr>
                  </w:pPr>
                  <w:r>
                    <w:rPr>
                      <w:color w:val="auto"/>
                      <w:sz w:val="21"/>
                      <w:szCs w:val="21"/>
                    </w:rPr>
                    <w:t>50</w:t>
                  </w:r>
                </w:p>
              </w:tc>
              <w:tc>
                <w:tcPr>
                  <w:tcW w:w="1919" w:type="pct"/>
                  <w:vAlign w:val="center"/>
                </w:tcPr>
                <w:p>
                  <w:pPr>
                    <w:bidi w:val="0"/>
                    <w:spacing w:line="240" w:lineRule="auto"/>
                    <w:jc w:val="center"/>
                    <w:rPr>
                      <w:color w:val="auto"/>
                      <w:sz w:val="21"/>
                      <w:szCs w:val="21"/>
                    </w:rPr>
                  </w:pPr>
                  <w:r>
                    <w:rPr>
                      <w:color w:val="auto"/>
                      <w:sz w:val="21"/>
                      <w:szCs w:val="21"/>
                    </w:rPr>
                    <w:t>110kV 输电线路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486" w:type="pct"/>
                  <w:vAlign w:val="center"/>
                </w:tcPr>
                <w:p>
                  <w:pPr>
                    <w:bidi w:val="0"/>
                    <w:spacing w:line="240" w:lineRule="auto"/>
                    <w:jc w:val="center"/>
                    <w:rPr>
                      <w:color w:val="auto"/>
                      <w:sz w:val="21"/>
                      <w:szCs w:val="21"/>
                    </w:rPr>
                  </w:pPr>
                  <w:r>
                    <w:rPr>
                      <w:color w:val="auto"/>
                      <w:sz w:val="21"/>
                      <w:szCs w:val="21"/>
                    </w:rPr>
                    <w:t>2 类</w:t>
                  </w:r>
                </w:p>
              </w:tc>
              <w:tc>
                <w:tcPr>
                  <w:tcW w:w="588" w:type="pct"/>
                  <w:vAlign w:val="center"/>
                </w:tcPr>
                <w:p>
                  <w:pPr>
                    <w:bidi w:val="0"/>
                    <w:spacing w:line="240" w:lineRule="auto"/>
                    <w:jc w:val="center"/>
                    <w:rPr>
                      <w:color w:val="auto"/>
                      <w:sz w:val="21"/>
                      <w:szCs w:val="21"/>
                    </w:rPr>
                  </w:pPr>
                  <w:r>
                    <w:rPr>
                      <w:color w:val="auto"/>
                      <w:sz w:val="21"/>
                      <w:szCs w:val="21"/>
                    </w:rPr>
                    <w:t>60</w:t>
                  </w:r>
                </w:p>
              </w:tc>
              <w:tc>
                <w:tcPr>
                  <w:tcW w:w="1005" w:type="pct"/>
                  <w:vAlign w:val="center"/>
                </w:tcPr>
                <w:p>
                  <w:pPr>
                    <w:bidi w:val="0"/>
                    <w:spacing w:line="240" w:lineRule="auto"/>
                    <w:jc w:val="center"/>
                    <w:rPr>
                      <w:color w:val="auto"/>
                      <w:sz w:val="21"/>
                      <w:szCs w:val="21"/>
                    </w:rPr>
                  </w:pPr>
                  <w:r>
                    <w:rPr>
                      <w:color w:val="auto"/>
                      <w:sz w:val="21"/>
                      <w:szCs w:val="21"/>
                    </w:rPr>
                    <w:t>50</w:t>
                  </w:r>
                </w:p>
              </w:tc>
              <w:tc>
                <w:tcPr>
                  <w:tcW w:w="1919" w:type="pct"/>
                  <w:vAlign w:val="center"/>
                </w:tcPr>
                <w:p>
                  <w:pPr>
                    <w:bidi w:val="0"/>
                    <w:spacing w:line="240" w:lineRule="auto"/>
                    <w:jc w:val="center"/>
                    <w:rPr>
                      <w:color w:val="auto"/>
                      <w:sz w:val="21"/>
                      <w:szCs w:val="21"/>
                    </w:rPr>
                  </w:pPr>
                  <w:r>
                    <w:rPr>
                      <w:color w:val="auto"/>
                      <w:sz w:val="21"/>
                      <w:szCs w:val="21"/>
                    </w:rPr>
                    <w:t>110kV 北部滩升压站</w:t>
                  </w:r>
                </w:p>
              </w:tc>
            </w:tr>
          </w:tbl>
          <w:p>
            <w:pPr>
              <w:bidi w:val="0"/>
              <w:spacing w:line="240" w:lineRule="auto"/>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53" w:type="pct"/>
            <w:vAlign w:val="center"/>
          </w:tcPr>
          <w:p>
            <w:pPr>
              <w:bidi w:val="0"/>
              <w:spacing w:line="240" w:lineRule="auto"/>
              <w:jc w:val="center"/>
              <w:rPr>
                <w:b/>
                <w:bCs/>
                <w:color w:val="auto"/>
              </w:rPr>
            </w:pPr>
            <w:r>
              <w:rPr>
                <w:rFonts w:hint="eastAsia"/>
                <w:b/>
                <w:bCs/>
                <w:color w:val="auto"/>
                <w:lang w:val="en-US" w:eastAsia="zh-CN"/>
              </w:rPr>
              <w:t>大气环境</w:t>
            </w:r>
          </w:p>
        </w:tc>
        <w:tc>
          <w:tcPr>
            <w:tcW w:w="4646" w:type="pct"/>
            <w:vAlign w:val="center"/>
          </w:tcPr>
          <w:p>
            <w:pPr>
              <w:bidi w:val="0"/>
              <w:spacing w:line="360" w:lineRule="auto"/>
              <w:ind w:firstLine="480" w:firstLineChars="200"/>
              <w:jc w:val="left"/>
              <w:rPr>
                <w:rFonts w:hint="eastAsia"/>
                <w:color w:val="auto"/>
              </w:rPr>
            </w:pPr>
            <w:r>
              <w:rPr>
                <w:rFonts w:hint="eastAsia"/>
                <w:color w:val="auto"/>
              </w:rPr>
              <w:t>环境空气质量执行《环境空气质量标准》（GB 3095-2012）二级标准限值，具体见3-</w:t>
            </w:r>
            <w:r>
              <w:rPr>
                <w:rFonts w:hint="eastAsia"/>
                <w:color w:val="auto"/>
                <w:lang w:val="en-US" w:eastAsia="zh-CN"/>
              </w:rPr>
              <w:t>3</w:t>
            </w:r>
            <w:r>
              <w:rPr>
                <w:rFonts w:hint="eastAsia"/>
                <w:color w:val="auto"/>
              </w:rPr>
              <w:t>。</w:t>
            </w:r>
          </w:p>
          <w:p>
            <w:pPr>
              <w:bidi w:val="0"/>
              <w:spacing w:line="240" w:lineRule="auto"/>
              <w:jc w:val="center"/>
              <w:rPr>
                <w:rFonts w:hint="eastAsia"/>
                <w:b/>
                <w:bCs/>
                <w:color w:val="auto"/>
              </w:rPr>
            </w:pPr>
            <w:r>
              <w:rPr>
                <w:rFonts w:hint="eastAsia"/>
                <w:b/>
                <w:bCs/>
                <w:color w:val="auto"/>
              </w:rPr>
              <w:t>表3-</w:t>
            </w:r>
            <w:r>
              <w:rPr>
                <w:rFonts w:hint="eastAsia"/>
                <w:b/>
                <w:bCs/>
                <w:color w:val="auto"/>
                <w:lang w:val="en-US" w:eastAsia="zh-CN"/>
              </w:rPr>
              <w:t>3</w:t>
            </w:r>
            <w:r>
              <w:rPr>
                <w:rFonts w:hint="eastAsia"/>
                <w:b/>
                <w:bCs/>
                <w:color w:val="auto"/>
              </w:rPr>
              <w:t xml:space="preserve">  环境空气质量标准（摘录）</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32"/>
              <w:gridCol w:w="1777"/>
              <w:gridCol w:w="2564"/>
              <w:gridCol w:w="2565"/>
              <w:gridCol w:w="1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b/>
                      <w:bCs/>
                      <w:color w:val="auto"/>
                      <w:sz w:val="21"/>
                      <w:szCs w:val="21"/>
                    </w:rPr>
                  </w:pPr>
                  <w:r>
                    <w:rPr>
                      <w:rFonts w:hint="eastAsia"/>
                      <w:b/>
                      <w:bCs/>
                      <w:color w:val="auto"/>
                      <w:sz w:val="21"/>
                      <w:szCs w:val="21"/>
                    </w:rPr>
                    <w:t>序号</w:t>
                  </w:r>
                </w:p>
              </w:tc>
              <w:tc>
                <w:tcPr>
                  <w:tcW w:w="1006"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b/>
                      <w:bCs/>
                      <w:color w:val="auto"/>
                      <w:sz w:val="21"/>
                      <w:szCs w:val="21"/>
                    </w:rPr>
                  </w:pPr>
                  <w:r>
                    <w:rPr>
                      <w:rFonts w:hint="eastAsia"/>
                      <w:b/>
                      <w:bCs/>
                      <w:color w:val="auto"/>
                      <w:sz w:val="21"/>
                      <w:szCs w:val="21"/>
                    </w:rPr>
                    <w:t>污染物名称</w:t>
                  </w: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b/>
                      <w:bCs/>
                      <w:color w:val="auto"/>
                      <w:sz w:val="21"/>
                      <w:szCs w:val="21"/>
                    </w:rPr>
                  </w:pPr>
                  <w:r>
                    <w:rPr>
                      <w:rFonts w:hint="eastAsia"/>
                      <w:b/>
                      <w:bCs/>
                      <w:color w:val="auto"/>
                      <w:sz w:val="21"/>
                      <w:szCs w:val="21"/>
                    </w:rPr>
                    <w:t>取样时间</w:t>
                  </w:r>
                </w:p>
              </w:tc>
              <w:tc>
                <w:tcPr>
                  <w:tcW w:w="1452"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b/>
                      <w:bCs/>
                      <w:color w:val="auto"/>
                      <w:sz w:val="21"/>
                      <w:szCs w:val="21"/>
                    </w:rPr>
                  </w:pPr>
                  <w:r>
                    <w:rPr>
                      <w:rFonts w:hint="eastAsia"/>
                      <w:b/>
                      <w:bCs/>
                      <w:color w:val="auto"/>
                      <w:sz w:val="21"/>
                      <w:szCs w:val="21"/>
                    </w:rPr>
                    <w:t>二级标准浓度限值</w:t>
                  </w:r>
                </w:p>
              </w:tc>
              <w:tc>
                <w:tcPr>
                  <w:tcW w:w="617"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b/>
                      <w:bCs/>
                      <w:color w:val="auto"/>
                      <w:sz w:val="21"/>
                      <w:szCs w:val="21"/>
                    </w:rPr>
                  </w:pPr>
                  <w:r>
                    <w:rPr>
                      <w:rFonts w:hint="eastAsia"/>
                      <w:b/>
                      <w:bCs/>
                      <w:color w:val="auto"/>
                      <w:sz w:val="21"/>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1</w:t>
                  </w:r>
                </w:p>
              </w:tc>
              <w:tc>
                <w:tcPr>
                  <w:tcW w:w="1006"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SO</w:t>
                  </w:r>
                  <w:r>
                    <w:rPr>
                      <w:rFonts w:hint="eastAsia"/>
                      <w:color w:val="auto"/>
                      <w:sz w:val="21"/>
                      <w:szCs w:val="21"/>
                      <w:vertAlign w:val="subscript"/>
                    </w:rPr>
                    <w:t>2</w:t>
                  </w: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年平均</w:t>
                  </w:r>
                </w:p>
              </w:tc>
              <w:tc>
                <w:tcPr>
                  <w:tcW w:w="1452" w:type="pct"/>
                  <w:tcBorders>
                    <w:top w:val="single" w:color="auto" w:sz="4" w:space="0"/>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0.06</w:t>
                  </w:r>
                </w:p>
              </w:tc>
              <w:tc>
                <w:tcPr>
                  <w:tcW w:w="617" w:type="pct"/>
                  <w:vMerge w:val="restart"/>
                  <w:tcBorders>
                    <w:top w:val="single" w:color="auto" w:sz="4" w:space="0"/>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mg/m</w:t>
                  </w:r>
                  <w:r>
                    <w:rPr>
                      <w:rFonts w:hint="eastAsia"/>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006"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24小时平均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0.15</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006"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1小时平均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0.50</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2</w:t>
                  </w:r>
                </w:p>
              </w:tc>
              <w:tc>
                <w:tcPr>
                  <w:tcW w:w="1006"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NO</w:t>
                  </w:r>
                  <w:r>
                    <w:rPr>
                      <w:rFonts w:hint="eastAsia"/>
                      <w:color w:val="auto"/>
                      <w:sz w:val="21"/>
                      <w:szCs w:val="21"/>
                      <w:vertAlign w:val="subscript"/>
                    </w:rPr>
                    <w:t>2</w:t>
                  </w: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年平均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0.04</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006"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24小时平均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0.08</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006"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1小时平均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0.20</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restart"/>
                  <w:tcBorders>
                    <w:top w:val="single" w:color="auto" w:sz="4" w:space="0"/>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3</w:t>
                  </w:r>
                </w:p>
              </w:tc>
              <w:tc>
                <w:tcPr>
                  <w:tcW w:w="1006" w:type="pct"/>
                  <w:vMerge w:val="restart"/>
                  <w:tcBorders>
                    <w:top w:val="single" w:color="auto" w:sz="4" w:space="0"/>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CO</w:t>
                  </w: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24小时平均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4</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continue"/>
                  <w:tcBorders>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006" w:type="pct"/>
                  <w:vMerge w:val="continue"/>
                  <w:tcBorders>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1小时平均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10</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4</w:t>
                  </w:r>
                </w:p>
              </w:tc>
              <w:tc>
                <w:tcPr>
                  <w:tcW w:w="1006"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O</w:t>
                  </w:r>
                  <w:r>
                    <w:rPr>
                      <w:rFonts w:hint="eastAsia"/>
                      <w:color w:val="auto"/>
                      <w:sz w:val="21"/>
                      <w:szCs w:val="21"/>
                      <w:vertAlign w:val="subscript"/>
                    </w:rPr>
                    <w:t>3</w:t>
                  </w: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日最大8小时平均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0.16</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006"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1小时平均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0.20</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5</w:t>
                  </w:r>
                </w:p>
              </w:tc>
              <w:tc>
                <w:tcPr>
                  <w:tcW w:w="1006"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PM</w:t>
                  </w:r>
                  <w:r>
                    <w:rPr>
                      <w:rFonts w:hint="eastAsia"/>
                      <w:color w:val="auto"/>
                      <w:sz w:val="21"/>
                      <w:szCs w:val="21"/>
                      <w:vertAlign w:val="subscript"/>
                    </w:rPr>
                    <w:t>10</w:t>
                  </w: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年平均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0.07</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006"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24小时平均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0.15</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6</w:t>
                  </w:r>
                </w:p>
              </w:tc>
              <w:tc>
                <w:tcPr>
                  <w:tcW w:w="1006"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PM</w:t>
                  </w:r>
                  <w:r>
                    <w:rPr>
                      <w:rFonts w:hint="eastAsia"/>
                      <w:color w:val="auto"/>
                      <w:sz w:val="21"/>
                      <w:szCs w:val="21"/>
                      <w:vertAlign w:val="subscript"/>
                    </w:rPr>
                    <w:t>2.5</w:t>
                  </w: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年平均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0.035</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006"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24小时平均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0.075</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restart"/>
                  <w:tcBorders>
                    <w:top w:val="single" w:color="auto" w:sz="4" w:space="0"/>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7</w:t>
                  </w:r>
                </w:p>
              </w:tc>
              <w:tc>
                <w:tcPr>
                  <w:tcW w:w="1006" w:type="pct"/>
                  <w:vMerge w:val="restart"/>
                  <w:tcBorders>
                    <w:top w:val="single" w:color="auto" w:sz="4" w:space="0"/>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TSP</w:t>
                  </w: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年平均</w:t>
                  </w:r>
                </w:p>
              </w:tc>
              <w:tc>
                <w:tcPr>
                  <w:tcW w:w="1452" w:type="pct"/>
                  <w:tcBorders>
                    <w:left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0.20</w:t>
                  </w:r>
                </w:p>
              </w:tc>
              <w:tc>
                <w:tcPr>
                  <w:tcW w:w="617" w:type="pct"/>
                  <w:vMerge w:val="continue"/>
                  <w:tcBorders>
                    <w:left w:val="single" w:color="auto" w:sz="4" w:space="0"/>
                    <w:right w:val="single" w:color="auto" w:sz="4" w:space="0"/>
                  </w:tcBorders>
                  <w:vAlign w:val="center"/>
                </w:tcPr>
                <w:p>
                  <w:pPr>
                    <w:bidi w:val="0"/>
                    <w:spacing w:line="240" w:lineRule="auto"/>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71" w:type="pct"/>
                  <w:vMerge w:val="continue"/>
                  <w:tcBorders>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006" w:type="pct"/>
                  <w:vMerge w:val="continue"/>
                  <w:tcBorders>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c>
                <w:tcPr>
                  <w:tcW w:w="145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24小时平均</w:t>
                  </w:r>
                </w:p>
              </w:tc>
              <w:tc>
                <w:tcPr>
                  <w:tcW w:w="1452" w:type="pct"/>
                  <w:tcBorders>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r>
                    <w:rPr>
                      <w:rFonts w:hint="eastAsia"/>
                      <w:color w:val="auto"/>
                      <w:sz w:val="21"/>
                      <w:szCs w:val="21"/>
                    </w:rPr>
                    <w:t>0.30</w:t>
                  </w:r>
                </w:p>
              </w:tc>
              <w:tc>
                <w:tcPr>
                  <w:tcW w:w="617" w:type="pct"/>
                  <w:vMerge w:val="continue"/>
                  <w:tcBorders>
                    <w:left w:val="single" w:color="auto" w:sz="4" w:space="0"/>
                    <w:bottom w:val="single" w:color="auto" w:sz="4" w:space="0"/>
                    <w:right w:val="single" w:color="auto" w:sz="4" w:space="0"/>
                  </w:tcBorders>
                  <w:vAlign w:val="center"/>
                </w:tcPr>
                <w:p>
                  <w:pPr>
                    <w:bidi w:val="0"/>
                    <w:spacing w:line="240" w:lineRule="auto"/>
                    <w:jc w:val="center"/>
                    <w:rPr>
                      <w:rFonts w:hint="eastAsia"/>
                      <w:color w:val="auto"/>
                      <w:sz w:val="21"/>
                      <w:szCs w:val="21"/>
                    </w:rPr>
                  </w:pPr>
                </w:p>
              </w:tc>
            </w:tr>
          </w:tbl>
          <w:p>
            <w:pPr>
              <w:bidi w:val="0"/>
              <w:spacing w:line="240" w:lineRule="auto"/>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53" w:type="pct"/>
            <w:vAlign w:val="center"/>
          </w:tcPr>
          <w:p>
            <w:pPr>
              <w:bidi w:val="0"/>
              <w:spacing w:line="240" w:lineRule="auto"/>
              <w:jc w:val="center"/>
              <w:rPr>
                <w:b/>
                <w:bCs/>
                <w:color w:val="auto"/>
              </w:rPr>
            </w:pPr>
            <w:r>
              <w:rPr>
                <w:rFonts w:hint="eastAsia"/>
                <w:b/>
                <w:bCs/>
                <w:color w:val="auto"/>
                <w:lang w:val="en-US" w:eastAsia="zh-CN"/>
              </w:rPr>
              <w:t>污染物排放标准</w:t>
            </w:r>
          </w:p>
        </w:tc>
        <w:tc>
          <w:tcPr>
            <w:tcW w:w="4646" w:type="pct"/>
            <w:vAlign w:val="center"/>
          </w:tcPr>
          <w:p>
            <w:pPr>
              <w:bidi w:val="0"/>
              <w:spacing w:line="360" w:lineRule="auto"/>
              <w:ind w:firstLine="482" w:firstLineChars="200"/>
              <w:jc w:val="left"/>
              <w:rPr>
                <w:rFonts w:hint="default"/>
                <w:b/>
                <w:bCs/>
                <w:color w:val="auto"/>
              </w:rPr>
            </w:pPr>
            <w:r>
              <w:rPr>
                <w:rFonts w:hint="eastAsia"/>
                <w:b/>
                <w:bCs/>
                <w:color w:val="auto"/>
                <w:lang w:val="en-US" w:eastAsia="zh-CN"/>
              </w:rPr>
              <w:t>1、</w:t>
            </w:r>
            <w:r>
              <w:rPr>
                <w:rFonts w:hint="default"/>
                <w:b/>
                <w:bCs/>
                <w:color w:val="auto"/>
              </w:rPr>
              <w:t>废气</w:t>
            </w:r>
          </w:p>
          <w:p>
            <w:pPr>
              <w:bidi w:val="0"/>
              <w:spacing w:line="360" w:lineRule="auto"/>
              <w:ind w:firstLine="480" w:firstLineChars="200"/>
              <w:jc w:val="left"/>
              <w:rPr>
                <w:rFonts w:hint="default"/>
                <w:color w:val="auto"/>
              </w:rPr>
            </w:pPr>
            <w:r>
              <w:rPr>
                <w:rFonts w:hint="default"/>
                <w:color w:val="auto"/>
              </w:rPr>
              <w:t>施工期建筑施工扬尘执行《大气污染物综合排放标准》（GB 16297-1996）中无组织排放监控浓度限值，具体见表3-</w:t>
            </w:r>
            <w:r>
              <w:rPr>
                <w:rFonts w:hint="eastAsia"/>
                <w:color w:val="auto"/>
                <w:lang w:val="en-US" w:eastAsia="zh-CN"/>
              </w:rPr>
              <w:t>4</w:t>
            </w:r>
            <w:r>
              <w:rPr>
                <w:rFonts w:hint="default"/>
                <w:color w:val="auto"/>
              </w:rPr>
              <w:t>。</w:t>
            </w:r>
          </w:p>
          <w:p>
            <w:pPr>
              <w:bidi w:val="0"/>
              <w:spacing w:line="240" w:lineRule="auto"/>
              <w:jc w:val="center"/>
              <w:rPr>
                <w:rFonts w:hint="default"/>
                <w:b/>
                <w:bCs/>
                <w:color w:val="auto"/>
              </w:rPr>
            </w:pPr>
            <w:r>
              <w:rPr>
                <w:rFonts w:hint="default"/>
                <w:b/>
                <w:bCs/>
                <w:color w:val="auto"/>
              </w:rPr>
              <w:t>表3-</w:t>
            </w:r>
            <w:r>
              <w:rPr>
                <w:rFonts w:hint="eastAsia"/>
                <w:b/>
                <w:bCs/>
                <w:color w:val="auto"/>
                <w:lang w:val="en-US" w:eastAsia="zh-CN"/>
              </w:rPr>
              <w:t>4</w:t>
            </w:r>
            <w:r>
              <w:rPr>
                <w:rFonts w:hint="default"/>
                <w:b/>
                <w:bCs/>
                <w:color w:val="auto"/>
              </w:rPr>
              <w:t xml:space="preserve">  大气污染物综合排放标准（摘录）</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2081"/>
              <w:gridCol w:w="3373"/>
              <w:gridCol w:w="3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178" w:type="pct"/>
                  <w:vMerge w:val="restar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b/>
                      <w:bCs/>
                      <w:color w:val="auto"/>
                      <w:sz w:val="21"/>
                      <w:szCs w:val="21"/>
                    </w:rPr>
                  </w:pPr>
                  <w:r>
                    <w:rPr>
                      <w:rFonts w:hint="default"/>
                      <w:b/>
                      <w:bCs/>
                      <w:color w:val="auto"/>
                      <w:sz w:val="21"/>
                      <w:szCs w:val="21"/>
                    </w:rPr>
                    <w:t>污染物</w:t>
                  </w:r>
                </w:p>
              </w:tc>
              <w:tc>
                <w:tcPr>
                  <w:tcW w:w="3821" w:type="pct"/>
                  <w:gridSpan w:val="2"/>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b/>
                      <w:bCs/>
                      <w:color w:val="auto"/>
                      <w:sz w:val="21"/>
                      <w:szCs w:val="21"/>
                    </w:rPr>
                  </w:pPr>
                  <w:r>
                    <w:rPr>
                      <w:rFonts w:hint="default"/>
                      <w:b/>
                      <w:bCs/>
                      <w:color w:val="auto"/>
                      <w:sz w:val="21"/>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178" w:type="pct"/>
                  <w:vMerge w:val="continue"/>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b/>
                      <w:bCs/>
                      <w:color w:val="auto"/>
                      <w:sz w:val="21"/>
                      <w:szCs w:val="21"/>
                    </w:rPr>
                  </w:pPr>
                </w:p>
              </w:tc>
              <w:tc>
                <w:tcPr>
                  <w:tcW w:w="1910"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b/>
                      <w:bCs/>
                      <w:color w:val="auto"/>
                      <w:sz w:val="21"/>
                      <w:szCs w:val="21"/>
                    </w:rPr>
                  </w:pPr>
                  <w:r>
                    <w:rPr>
                      <w:rFonts w:hint="default"/>
                      <w:b/>
                      <w:bCs/>
                      <w:color w:val="auto"/>
                      <w:sz w:val="21"/>
                      <w:szCs w:val="21"/>
                    </w:rPr>
                    <w:t>监控点</w:t>
                  </w:r>
                </w:p>
              </w:tc>
              <w:tc>
                <w:tcPr>
                  <w:tcW w:w="191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b/>
                      <w:bCs/>
                      <w:color w:val="auto"/>
                      <w:sz w:val="21"/>
                      <w:szCs w:val="21"/>
                    </w:rPr>
                  </w:pPr>
                  <w:r>
                    <w:rPr>
                      <w:rFonts w:hint="default"/>
                      <w:b/>
                      <w:bCs/>
                      <w:color w:val="auto"/>
                      <w:sz w:val="21"/>
                      <w:szCs w:val="21"/>
                    </w:rPr>
                    <w:t>浓度（mg/m</w:t>
                  </w:r>
                  <w:r>
                    <w:rPr>
                      <w:rFonts w:hint="default"/>
                      <w:b/>
                      <w:bCs/>
                      <w:color w:val="auto"/>
                      <w:sz w:val="21"/>
                      <w:szCs w:val="21"/>
                      <w:vertAlign w:val="superscript"/>
                    </w:rPr>
                    <w:t>3</w:t>
                  </w:r>
                  <w:r>
                    <w:rPr>
                      <w:rFonts w:hint="default"/>
                      <w:b/>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178"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color w:val="auto"/>
                      <w:sz w:val="21"/>
                      <w:szCs w:val="21"/>
                    </w:rPr>
                  </w:pPr>
                  <w:r>
                    <w:rPr>
                      <w:rFonts w:hint="default"/>
                      <w:color w:val="auto"/>
                      <w:sz w:val="21"/>
                      <w:szCs w:val="21"/>
                    </w:rPr>
                    <w:t>颗粒物</w:t>
                  </w:r>
                </w:p>
              </w:tc>
              <w:tc>
                <w:tcPr>
                  <w:tcW w:w="1910"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color w:val="auto"/>
                      <w:sz w:val="21"/>
                      <w:szCs w:val="21"/>
                    </w:rPr>
                  </w:pPr>
                  <w:r>
                    <w:rPr>
                      <w:rFonts w:hint="default"/>
                      <w:color w:val="auto"/>
                      <w:sz w:val="21"/>
                      <w:szCs w:val="21"/>
                    </w:rPr>
                    <w:t>周界外浓度最高点</w:t>
                  </w:r>
                </w:p>
              </w:tc>
              <w:tc>
                <w:tcPr>
                  <w:tcW w:w="1911"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color w:val="auto"/>
                      <w:sz w:val="21"/>
                      <w:szCs w:val="21"/>
                    </w:rPr>
                  </w:pPr>
                  <w:r>
                    <w:rPr>
                      <w:rFonts w:hint="default"/>
                      <w:color w:val="auto"/>
                      <w:sz w:val="21"/>
                      <w:szCs w:val="21"/>
                    </w:rPr>
                    <w:t>1.0</w:t>
                  </w:r>
                </w:p>
              </w:tc>
            </w:tr>
          </w:tbl>
          <w:p>
            <w:pPr>
              <w:bidi w:val="0"/>
              <w:spacing w:line="360" w:lineRule="auto"/>
              <w:ind w:firstLine="482" w:firstLineChars="200"/>
              <w:jc w:val="left"/>
              <w:rPr>
                <w:rFonts w:hint="default"/>
                <w:b/>
                <w:bCs/>
                <w:color w:val="auto"/>
              </w:rPr>
            </w:pPr>
            <w:r>
              <w:rPr>
                <w:rFonts w:hint="eastAsia"/>
                <w:b/>
                <w:bCs/>
                <w:color w:val="auto"/>
                <w:lang w:val="en-US" w:eastAsia="zh-CN"/>
              </w:rPr>
              <w:t>2、</w:t>
            </w:r>
            <w:r>
              <w:rPr>
                <w:rFonts w:hint="default"/>
                <w:b/>
                <w:bCs/>
                <w:color w:val="auto"/>
              </w:rPr>
              <w:t>噪声</w:t>
            </w:r>
          </w:p>
          <w:p>
            <w:pPr>
              <w:bidi w:val="0"/>
              <w:ind w:firstLine="480" w:firstLineChars="200"/>
              <w:rPr>
                <w:rFonts w:hint="default"/>
                <w:color w:val="auto"/>
              </w:rPr>
            </w:pPr>
            <w:r>
              <w:rPr>
                <w:rFonts w:hint="default"/>
                <w:color w:val="auto"/>
              </w:rPr>
              <w:t>施工期建筑施工噪声执行《建筑施工场界环境噪声排放标准》（GB 12523-2011）中标准限值，具体见表3-</w:t>
            </w:r>
            <w:r>
              <w:rPr>
                <w:rFonts w:hint="eastAsia"/>
                <w:color w:val="auto"/>
                <w:lang w:val="en-US" w:eastAsia="zh-CN"/>
              </w:rPr>
              <w:t>5</w:t>
            </w:r>
            <w:r>
              <w:rPr>
                <w:rFonts w:hint="default"/>
                <w:color w:val="auto"/>
              </w:rPr>
              <w:t>。</w:t>
            </w:r>
            <w:r>
              <w:rPr>
                <w:color w:val="auto"/>
              </w:rPr>
              <w:t xml:space="preserve">运营期 110kV 北部滩升压站厂界噪声执行《工业企业厂界环境噪声排放标准》（GB12348-2008）中的2类标准，标准值详见表3- </w:t>
            </w:r>
            <w:r>
              <w:rPr>
                <w:rFonts w:hint="eastAsia"/>
                <w:color w:val="auto"/>
                <w:lang w:val="en-US" w:eastAsia="zh-CN"/>
              </w:rPr>
              <w:t>6</w:t>
            </w:r>
            <w:r>
              <w:rPr>
                <w:color w:val="auto"/>
              </w:rPr>
              <w:t>。</w:t>
            </w:r>
          </w:p>
          <w:p>
            <w:pPr>
              <w:bidi w:val="0"/>
              <w:spacing w:line="240" w:lineRule="auto"/>
              <w:jc w:val="center"/>
              <w:rPr>
                <w:rFonts w:hint="default"/>
                <w:b/>
                <w:bCs/>
                <w:color w:val="auto"/>
              </w:rPr>
            </w:pPr>
            <w:r>
              <w:rPr>
                <w:rFonts w:hint="default"/>
                <w:b/>
                <w:bCs/>
                <w:color w:val="auto"/>
              </w:rPr>
              <w:t>表3-</w:t>
            </w:r>
            <w:r>
              <w:rPr>
                <w:rFonts w:hint="eastAsia"/>
                <w:b/>
                <w:bCs/>
                <w:color w:val="auto"/>
                <w:lang w:val="en-US" w:eastAsia="zh-CN"/>
              </w:rPr>
              <w:t>5</w:t>
            </w:r>
            <w:r>
              <w:rPr>
                <w:rFonts w:hint="default"/>
                <w:b/>
                <w:bCs/>
                <w:color w:val="auto"/>
              </w:rPr>
              <w:t xml:space="preserve">  建筑施工场界环境噪声排放标准（摘录）  单位：dB（A）</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405"/>
              <w:gridCol w:w="44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494"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b/>
                      <w:bCs/>
                      <w:color w:val="auto"/>
                      <w:sz w:val="21"/>
                      <w:szCs w:val="21"/>
                    </w:rPr>
                  </w:pPr>
                  <w:r>
                    <w:rPr>
                      <w:rFonts w:hint="default"/>
                      <w:b/>
                      <w:bCs/>
                      <w:color w:val="auto"/>
                      <w:sz w:val="21"/>
                      <w:szCs w:val="21"/>
                    </w:rPr>
                    <w:t>昼间</w:t>
                  </w:r>
                </w:p>
              </w:tc>
              <w:tc>
                <w:tcPr>
                  <w:tcW w:w="2505"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b/>
                      <w:bCs/>
                      <w:color w:val="auto"/>
                      <w:sz w:val="21"/>
                      <w:szCs w:val="21"/>
                    </w:rPr>
                  </w:pPr>
                  <w:r>
                    <w:rPr>
                      <w:rFonts w:hint="default"/>
                      <w:b/>
                      <w:bCs/>
                      <w:color w:val="auto"/>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494"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color w:val="auto"/>
                      <w:sz w:val="21"/>
                      <w:szCs w:val="21"/>
                    </w:rPr>
                  </w:pPr>
                  <w:r>
                    <w:rPr>
                      <w:rFonts w:hint="default"/>
                      <w:color w:val="auto"/>
                      <w:sz w:val="21"/>
                      <w:szCs w:val="21"/>
                    </w:rPr>
                    <w:t>70</w:t>
                  </w:r>
                </w:p>
              </w:tc>
              <w:tc>
                <w:tcPr>
                  <w:tcW w:w="2505" w:type="pct"/>
                  <w:tcBorders>
                    <w:top w:val="single" w:color="auto" w:sz="4" w:space="0"/>
                    <w:left w:val="single" w:color="auto" w:sz="4" w:space="0"/>
                    <w:bottom w:val="single" w:color="auto" w:sz="4" w:space="0"/>
                    <w:right w:val="single" w:color="auto" w:sz="4" w:space="0"/>
                  </w:tcBorders>
                  <w:vAlign w:val="center"/>
                </w:tcPr>
                <w:p>
                  <w:pPr>
                    <w:bidi w:val="0"/>
                    <w:spacing w:line="240" w:lineRule="auto"/>
                    <w:jc w:val="center"/>
                    <w:rPr>
                      <w:rFonts w:hint="default"/>
                      <w:color w:val="auto"/>
                      <w:sz w:val="21"/>
                      <w:szCs w:val="21"/>
                    </w:rPr>
                  </w:pPr>
                  <w:r>
                    <w:rPr>
                      <w:rFonts w:hint="default"/>
                      <w:color w:val="auto"/>
                      <w:sz w:val="21"/>
                      <w:szCs w:val="21"/>
                    </w:rPr>
                    <w:t>55</w:t>
                  </w:r>
                </w:p>
              </w:tc>
            </w:tr>
          </w:tbl>
          <w:p>
            <w:pPr>
              <w:bidi w:val="0"/>
              <w:spacing w:line="240" w:lineRule="auto"/>
              <w:jc w:val="center"/>
              <w:rPr>
                <w:b/>
                <w:bCs/>
                <w:color w:val="auto"/>
              </w:rPr>
            </w:pPr>
            <w:r>
              <w:rPr>
                <w:b/>
                <w:bCs/>
                <w:color w:val="auto"/>
              </w:rPr>
              <w:t>表3-</w:t>
            </w:r>
            <w:r>
              <w:rPr>
                <w:rFonts w:hint="eastAsia"/>
                <w:b/>
                <w:bCs/>
                <w:color w:val="auto"/>
                <w:lang w:val="en-US" w:eastAsia="zh-CN"/>
              </w:rPr>
              <w:t>6</w:t>
            </w:r>
            <w:r>
              <w:rPr>
                <w:b/>
                <w:bCs/>
                <w:color w:val="auto"/>
              </w:rPr>
              <w:t xml:space="preserve">   工业企业厂界环境噪声排放标准单位：dB（A）</w:t>
            </w:r>
          </w:p>
          <w:tbl>
            <w:tblPr>
              <w:tblStyle w:val="15"/>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488"/>
              <w:gridCol w:w="43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542" w:type="pct"/>
                  <w:tcBorders>
                    <w:top w:val="single" w:color="000000" w:sz="2" w:space="0"/>
                  </w:tcBorders>
                  <w:vAlign w:val="center"/>
                </w:tcPr>
                <w:p>
                  <w:pPr>
                    <w:bidi w:val="0"/>
                    <w:spacing w:line="240" w:lineRule="auto"/>
                    <w:jc w:val="center"/>
                    <w:rPr>
                      <w:b/>
                      <w:bCs/>
                      <w:color w:val="auto"/>
                      <w:sz w:val="21"/>
                      <w:szCs w:val="21"/>
                    </w:rPr>
                  </w:pPr>
                  <w:r>
                    <w:rPr>
                      <w:b/>
                      <w:bCs/>
                      <w:color w:val="auto"/>
                      <w:sz w:val="21"/>
                      <w:szCs w:val="21"/>
                    </w:rPr>
                    <w:t>昼间</w:t>
                  </w:r>
                </w:p>
              </w:tc>
              <w:tc>
                <w:tcPr>
                  <w:tcW w:w="2457" w:type="pct"/>
                  <w:tcBorders>
                    <w:top w:val="single" w:color="000000" w:sz="2" w:space="0"/>
                    <w:right w:val="single" w:color="000000" w:sz="2" w:space="0"/>
                  </w:tcBorders>
                  <w:vAlign w:val="center"/>
                </w:tcPr>
                <w:p>
                  <w:pPr>
                    <w:bidi w:val="0"/>
                    <w:spacing w:line="240" w:lineRule="auto"/>
                    <w:jc w:val="center"/>
                    <w:rPr>
                      <w:b/>
                      <w:bCs/>
                      <w:color w:val="auto"/>
                      <w:sz w:val="21"/>
                      <w:szCs w:val="21"/>
                    </w:rPr>
                  </w:pPr>
                  <w:r>
                    <w:rPr>
                      <w:b/>
                      <w:bCs/>
                      <w:color w:val="auto"/>
                      <w:sz w:val="21"/>
                      <w:szCs w:val="21"/>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542" w:type="pct"/>
                  <w:tcBorders>
                    <w:bottom w:val="single" w:color="000000" w:sz="2" w:space="0"/>
                  </w:tcBorders>
                  <w:vAlign w:val="center"/>
                </w:tcPr>
                <w:p>
                  <w:pPr>
                    <w:bidi w:val="0"/>
                    <w:spacing w:line="240" w:lineRule="auto"/>
                    <w:jc w:val="center"/>
                    <w:rPr>
                      <w:color w:val="auto"/>
                      <w:sz w:val="21"/>
                      <w:szCs w:val="21"/>
                    </w:rPr>
                  </w:pPr>
                  <w:r>
                    <w:rPr>
                      <w:color w:val="auto"/>
                      <w:sz w:val="21"/>
                      <w:szCs w:val="21"/>
                    </w:rPr>
                    <w:t>60</w:t>
                  </w:r>
                </w:p>
              </w:tc>
              <w:tc>
                <w:tcPr>
                  <w:tcW w:w="2457" w:type="pct"/>
                  <w:tcBorders>
                    <w:bottom w:val="single" w:color="000000" w:sz="2" w:space="0"/>
                    <w:right w:val="single" w:color="000000" w:sz="2" w:space="0"/>
                  </w:tcBorders>
                  <w:vAlign w:val="center"/>
                </w:tcPr>
                <w:p>
                  <w:pPr>
                    <w:bidi w:val="0"/>
                    <w:spacing w:line="240" w:lineRule="auto"/>
                    <w:jc w:val="center"/>
                    <w:rPr>
                      <w:color w:val="auto"/>
                      <w:sz w:val="21"/>
                      <w:szCs w:val="21"/>
                    </w:rPr>
                  </w:pPr>
                  <w:r>
                    <w:rPr>
                      <w:color w:val="auto"/>
                      <w:sz w:val="21"/>
                      <w:szCs w:val="21"/>
                    </w:rPr>
                    <w:t>50</w:t>
                  </w:r>
                </w:p>
              </w:tc>
            </w:tr>
          </w:tbl>
          <w:p>
            <w:pPr>
              <w:numPr>
                <w:ilvl w:val="0"/>
                <w:numId w:val="0"/>
              </w:numPr>
              <w:bidi w:val="0"/>
              <w:spacing w:line="360" w:lineRule="auto"/>
              <w:ind w:firstLine="482" w:firstLineChars="200"/>
              <w:jc w:val="left"/>
              <w:rPr>
                <w:rFonts w:hint="eastAsia"/>
                <w:b/>
                <w:bCs/>
                <w:color w:val="auto"/>
                <w:lang w:val="en-US" w:eastAsia="zh-CN"/>
              </w:rPr>
            </w:pPr>
            <w:r>
              <w:rPr>
                <w:rFonts w:hint="eastAsia"/>
                <w:b/>
                <w:bCs/>
                <w:color w:val="auto"/>
                <w:lang w:val="en-US" w:eastAsia="zh-CN"/>
              </w:rPr>
              <w:t>3、废水</w:t>
            </w:r>
          </w:p>
          <w:p>
            <w:pPr>
              <w:bidi w:val="0"/>
              <w:ind w:firstLine="480" w:firstLineChars="200"/>
              <w:rPr>
                <w:rFonts w:hint="eastAsia" w:eastAsia="宋体"/>
                <w:color w:val="auto"/>
                <w:lang w:eastAsia="zh-CN"/>
              </w:rPr>
            </w:pPr>
            <w:r>
              <w:rPr>
                <w:color w:val="auto"/>
              </w:rPr>
              <w:t>餐饮废水经隔油池（1.0m</w:t>
            </w:r>
            <w:r>
              <w:rPr>
                <w:color w:val="auto"/>
                <w:vertAlign w:val="superscript"/>
              </w:rPr>
              <w:t>3</w:t>
            </w:r>
            <w:r>
              <w:rPr>
                <w:color w:val="auto"/>
              </w:rPr>
              <w:t>）处理后，与生活污水经地埋式一体化污水处理设施（</w:t>
            </w:r>
            <w:r>
              <w:rPr>
                <w:rFonts w:hint="eastAsia"/>
                <w:color w:val="auto"/>
                <w:lang w:val="en-US" w:eastAsia="zh-CN"/>
              </w:rPr>
              <w:t>20</w:t>
            </w:r>
            <w:r>
              <w:rPr>
                <w:color w:val="auto"/>
              </w:rPr>
              <w:t>m</w:t>
            </w:r>
            <w:r>
              <w:rPr>
                <w:color w:val="auto"/>
                <w:vertAlign w:val="superscript"/>
              </w:rPr>
              <w:t>3</w:t>
            </w:r>
            <w:r>
              <w:rPr>
                <w:color w:val="auto"/>
              </w:rPr>
              <w:t>/d）处理后达到《城市污水再生利用  城市杂用水水质》（GB/T 18920-2020）中表1城市绿化、道路清扫、消防、建筑施工限值后用于场区绿化、洒水降尘</w:t>
            </w:r>
            <w:r>
              <w:rPr>
                <w:rFonts w:hint="eastAsia"/>
                <w:color w:val="auto"/>
                <w:lang w:eastAsia="zh-CN"/>
              </w:rPr>
              <w:t>，</w:t>
            </w:r>
            <w:r>
              <w:rPr>
                <w:color w:val="auto"/>
              </w:rPr>
              <w:t xml:space="preserve">标准值详见表3- </w:t>
            </w:r>
            <w:r>
              <w:rPr>
                <w:rFonts w:hint="eastAsia"/>
                <w:color w:val="auto"/>
                <w:lang w:val="en-US" w:eastAsia="zh-CN"/>
              </w:rPr>
              <w:t>7</w:t>
            </w:r>
            <w:r>
              <w:rPr>
                <w:color w:val="auto"/>
              </w:rPr>
              <w:t>。</w:t>
            </w:r>
          </w:p>
          <w:p>
            <w:pPr>
              <w:bidi w:val="0"/>
              <w:spacing w:line="240" w:lineRule="auto"/>
              <w:jc w:val="center"/>
              <w:rPr>
                <w:b/>
                <w:bCs/>
                <w:color w:val="auto"/>
              </w:rPr>
            </w:pPr>
            <w:r>
              <w:rPr>
                <w:b/>
                <w:bCs/>
                <w:color w:val="auto"/>
              </w:rPr>
              <w:t>表3-</w:t>
            </w:r>
            <w:r>
              <w:rPr>
                <w:rFonts w:hint="eastAsia"/>
                <w:b/>
                <w:bCs/>
                <w:color w:val="auto"/>
                <w:lang w:val="en-US" w:eastAsia="zh-CN"/>
              </w:rPr>
              <w:t>7</w:t>
            </w:r>
            <w:r>
              <w:rPr>
                <w:b/>
                <w:bCs/>
                <w:color w:val="auto"/>
              </w:rPr>
              <w:t xml:space="preserve">    城市杂用水水质基本控制项目及限值 （mg/L）</w:t>
            </w:r>
          </w:p>
          <w:tbl>
            <w:tblPr>
              <w:tblStyle w:val="15"/>
              <w:tblW w:w="499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10"/>
              <w:gridCol w:w="3949"/>
              <w:gridCol w:w="406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b/>
                      <w:bCs/>
                      <w:color w:val="auto"/>
                      <w:sz w:val="21"/>
                      <w:szCs w:val="21"/>
                    </w:rPr>
                  </w:pPr>
                  <w:r>
                    <w:rPr>
                      <w:b/>
                      <w:bCs/>
                      <w:color w:val="auto"/>
                      <w:sz w:val="21"/>
                      <w:szCs w:val="21"/>
                    </w:rPr>
                    <w:t>序 号</w:t>
                  </w:r>
                </w:p>
              </w:tc>
              <w:tc>
                <w:tcPr>
                  <w:tcW w:w="2236" w:type="pct"/>
                  <w:vAlign w:val="center"/>
                </w:tcPr>
                <w:p>
                  <w:pPr>
                    <w:bidi w:val="0"/>
                    <w:spacing w:line="240" w:lineRule="auto"/>
                    <w:jc w:val="center"/>
                    <w:rPr>
                      <w:b/>
                      <w:bCs/>
                      <w:color w:val="auto"/>
                      <w:sz w:val="21"/>
                      <w:szCs w:val="21"/>
                    </w:rPr>
                  </w:pPr>
                  <w:r>
                    <w:rPr>
                      <w:b/>
                      <w:bCs/>
                      <w:color w:val="auto"/>
                      <w:sz w:val="21"/>
                      <w:szCs w:val="21"/>
                    </w:rPr>
                    <w:t>项目</w:t>
                  </w:r>
                </w:p>
              </w:tc>
              <w:tc>
                <w:tcPr>
                  <w:tcW w:w="2303" w:type="pct"/>
                  <w:vAlign w:val="center"/>
                </w:tcPr>
                <w:p>
                  <w:pPr>
                    <w:bidi w:val="0"/>
                    <w:spacing w:line="240" w:lineRule="auto"/>
                    <w:jc w:val="center"/>
                    <w:rPr>
                      <w:b/>
                      <w:bCs/>
                      <w:color w:val="auto"/>
                      <w:sz w:val="21"/>
                      <w:szCs w:val="21"/>
                    </w:rPr>
                  </w:pPr>
                  <w:r>
                    <w:rPr>
                      <w:b/>
                      <w:bCs/>
                      <w:color w:val="auto"/>
                      <w:sz w:val="21"/>
                      <w:szCs w:val="21"/>
                    </w:rPr>
                    <w:t>城市绿化、道路清扫、消防、 建筑施工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1</w:t>
                  </w:r>
                </w:p>
              </w:tc>
              <w:tc>
                <w:tcPr>
                  <w:tcW w:w="2236" w:type="pct"/>
                  <w:vAlign w:val="center"/>
                </w:tcPr>
                <w:p>
                  <w:pPr>
                    <w:bidi w:val="0"/>
                    <w:spacing w:line="240" w:lineRule="auto"/>
                    <w:jc w:val="center"/>
                    <w:rPr>
                      <w:color w:val="auto"/>
                      <w:sz w:val="21"/>
                      <w:szCs w:val="21"/>
                    </w:rPr>
                  </w:pPr>
                  <w:r>
                    <w:rPr>
                      <w:color w:val="auto"/>
                      <w:sz w:val="21"/>
                      <w:szCs w:val="21"/>
                    </w:rPr>
                    <w:t>pH</w:t>
                  </w:r>
                </w:p>
              </w:tc>
              <w:tc>
                <w:tcPr>
                  <w:tcW w:w="2303" w:type="pct"/>
                  <w:vAlign w:val="center"/>
                </w:tcPr>
                <w:p>
                  <w:pPr>
                    <w:bidi w:val="0"/>
                    <w:spacing w:line="240" w:lineRule="auto"/>
                    <w:jc w:val="center"/>
                    <w:rPr>
                      <w:color w:val="auto"/>
                      <w:sz w:val="21"/>
                      <w:szCs w:val="21"/>
                    </w:rPr>
                  </w:pPr>
                  <w:r>
                    <w:rPr>
                      <w:color w:val="auto"/>
                      <w:sz w:val="21"/>
                      <w:szCs w:val="21"/>
                    </w:rPr>
                    <w:t>6.0-9.0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2</w:t>
                  </w:r>
                </w:p>
              </w:tc>
              <w:tc>
                <w:tcPr>
                  <w:tcW w:w="2236" w:type="pct"/>
                  <w:vAlign w:val="center"/>
                </w:tcPr>
                <w:p>
                  <w:pPr>
                    <w:bidi w:val="0"/>
                    <w:spacing w:line="240" w:lineRule="auto"/>
                    <w:jc w:val="center"/>
                    <w:rPr>
                      <w:color w:val="auto"/>
                      <w:sz w:val="21"/>
                      <w:szCs w:val="21"/>
                    </w:rPr>
                  </w:pPr>
                  <w:r>
                    <w:rPr>
                      <w:color w:val="auto"/>
                      <w:sz w:val="21"/>
                      <w:szCs w:val="21"/>
                    </w:rPr>
                    <w:t>色度，铂钴色度单位  ≤</w:t>
                  </w:r>
                </w:p>
              </w:tc>
              <w:tc>
                <w:tcPr>
                  <w:tcW w:w="2303" w:type="pct"/>
                  <w:vAlign w:val="center"/>
                </w:tcPr>
                <w:p>
                  <w:pPr>
                    <w:bidi w:val="0"/>
                    <w:spacing w:line="240" w:lineRule="auto"/>
                    <w:jc w:val="center"/>
                    <w:rPr>
                      <w:color w:val="auto"/>
                      <w:sz w:val="21"/>
                      <w:szCs w:val="21"/>
                    </w:rPr>
                  </w:pPr>
                  <w:r>
                    <w:rPr>
                      <w:color w:val="auto"/>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3</w:t>
                  </w:r>
                </w:p>
              </w:tc>
              <w:tc>
                <w:tcPr>
                  <w:tcW w:w="2236" w:type="pct"/>
                  <w:vAlign w:val="center"/>
                </w:tcPr>
                <w:p>
                  <w:pPr>
                    <w:bidi w:val="0"/>
                    <w:spacing w:line="240" w:lineRule="auto"/>
                    <w:jc w:val="center"/>
                    <w:rPr>
                      <w:color w:val="auto"/>
                      <w:sz w:val="21"/>
                      <w:szCs w:val="21"/>
                    </w:rPr>
                  </w:pPr>
                  <w:r>
                    <w:rPr>
                      <w:color w:val="auto"/>
                      <w:sz w:val="21"/>
                      <w:szCs w:val="21"/>
                    </w:rPr>
                    <w:t>嗅</w:t>
                  </w:r>
                </w:p>
              </w:tc>
              <w:tc>
                <w:tcPr>
                  <w:tcW w:w="2303" w:type="pct"/>
                  <w:vAlign w:val="center"/>
                </w:tcPr>
                <w:p>
                  <w:pPr>
                    <w:bidi w:val="0"/>
                    <w:spacing w:line="240" w:lineRule="auto"/>
                    <w:jc w:val="center"/>
                    <w:rPr>
                      <w:color w:val="auto"/>
                      <w:sz w:val="21"/>
                      <w:szCs w:val="21"/>
                    </w:rPr>
                  </w:pPr>
                  <w:r>
                    <w:rPr>
                      <w:color w:val="auto"/>
                      <w:sz w:val="21"/>
                      <w:szCs w:val="21"/>
                    </w:rPr>
                    <w:t>无不快感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4</w:t>
                  </w:r>
                </w:p>
              </w:tc>
              <w:tc>
                <w:tcPr>
                  <w:tcW w:w="2236" w:type="pct"/>
                  <w:vAlign w:val="center"/>
                </w:tcPr>
                <w:p>
                  <w:pPr>
                    <w:bidi w:val="0"/>
                    <w:spacing w:line="240" w:lineRule="auto"/>
                    <w:jc w:val="center"/>
                    <w:rPr>
                      <w:color w:val="auto"/>
                      <w:sz w:val="21"/>
                      <w:szCs w:val="21"/>
                    </w:rPr>
                  </w:pPr>
                  <w:r>
                    <w:rPr>
                      <w:color w:val="auto"/>
                      <w:sz w:val="21"/>
                      <w:szCs w:val="21"/>
                    </w:rPr>
                    <w:t>浊度/NTU  ≤</w:t>
                  </w:r>
                </w:p>
              </w:tc>
              <w:tc>
                <w:tcPr>
                  <w:tcW w:w="2303" w:type="pct"/>
                  <w:vAlign w:val="center"/>
                </w:tcPr>
                <w:p>
                  <w:pPr>
                    <w:bidi w:val="0"/>
                    <w:spacing w:line="240" w:lineRule="auto"/>
                    <w:jc w:val="center"/>
                    <w:rPr>
                      <w:color w:val="auto"/>
                      <w:sz w:val="21"/>
                      <w:szCs w:val="21"/>
                    </w:rPr>
                  </w:pPr>
                  <w:r>
                    <w:rPr>
                      <w:color w:val="auto"/>
                      <w:sz w:val="21"/>
                      <w:szCs w:val="21"/>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5</w:t>
                  </w:r>
                </w:p>
              </w:tc>
              <w:tc>
                <w:tcPr>
                  <w:tcW w:w="2236" w:type="pct"/>
                  <w:vAlign w:val="center"/>
                </w:tcPr>
                <w:p>
                  <w:pPr>
                    <w:bidi w:val="0"/>
                    <w:spacing w:line="240" w:lineRule="auto"/>
                    <w:jc w:val="center"/>
                    <w:rPr>
                      <w:color w:val="auto"/>
                      <w:sz w:val="21"/>
                      <w:szCs w:val="21"/>
                    </w:rPr>
                  </w:pPr>
                  <w:r>
                    <w:rPr>
                      <w:color w:val="auto"/>
                      <w:sz w:val="21"/>
                      <w:szCs w:val="21"/>
                    </w:rPr>
                    <w:t>五日生化需氧量（BOD5）/（mg/L） ≤</w:t>
                  </w:r>
                </w:p>
              </w:tc>
              <w:tc>
                <w:tcPr>
                  <w:tcW w:w="2303" w:type="pct"/>
                  <w:vAlign w:val="center"/>
                </w:tcPr>
                <w:p>
                  <w:pPr>
                    <w:bidi w:val="0"/>
                    <w:spacing w:line="240" w:lineRule="auto"/>
                    <w:jc w:val="center"/>
                    <w:rPr>
                      <w:color w:val="auto"/>
                      <w:sz w:val="21"/>
                      <w:szCs w:val="21"/>
                    </w:rPr>
                  </w:pPr>
                  <w:r>
                    <w:rPr>
                      <w:color w:val="auto"/>
                      <w:sz w:val="21"/>
                      <w:szCs w:val="21"/>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6</w:t>
                  </w:r>
                </w:p>
              </w:tc>
              <w:tc>
                <w:tcPr>
                  <w:tcW w:w="2236" w:type="pct"/>
                  <w:vAlign w:val="center"/>
                </w:tcPr>
                <w:p>
                  <w:pPr>
                    <w:bidi w:val="0"/>
                    <w:spacing w:line="240" w:lineRule="auto"/>
                    <w:jc w:val="center"/>
                    <w:rPr>
                      <w:color w:val="auto"/>
                      <w:sz w:val="21"/>
                      <w:szCs w:val="21"/>
                    </w:rPr>
                  </w:pPr>
                  <w:r>
                    <w:rPr>
                      <w:color w:val="auto"/>
                      <w:sz w:val="21"/>
                      <w:szCs w:val="21"/>
                    </w:rPr>
                    <w:t>氨氮/（mg/L） ≤</w:t>
                  </w:r>
                </w:p>
              </w:tc>
              <w:tc>
                <w:tcPr>
                  <w:tcW w:w="2303" w:type="pct"/>
                  <w:vAlign w:val="center"/>
                </w:tcPr>
                <w:p>
                  <w:pPr>
                    <w:bidi w:val="0"/>
                    <w:spacing w:line="240" w:lineRule="auto"/>
                    <w:jc w:val="center"/>
                    <w:rPr>
                      <w:color w:val="auto"/>
                      <w:sz w:val="21"/>
                      <w:szCs w:val="21"/>
                    </w:rPr>
                  </w:pPr>
                  <w:r>
                    <w:rPr>
                      <w:color w:val="auto"/>
                      <w:sz w:val="21"/>
                      <w:szCs w:val="21"/>
                    </w:rPr>
                    <w:t>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7</w:t>
                  </w:r>
                </w:p>
              </w:tc>
              <w:tc>
                <w:tcPr>
                  <w:tcW w:w="2236" w:type="pct"/>
                  <w:vAlign w:val="center"/>
                </w:tcPr>
                <w:p>
                  <w:pPr>
                    <w:bidi w:val="0"/>
                    <w:spacing w:line="240" w:lineRule="auto"/>
                    <w:jc w:val="center"/>
                    <w:rPr>
                      <w:color w:val="auto"/>
                      <w:sz w:val="21"/>
                      <w:szCs w:val="21"/>
                    </w:rPr>
                  </w:pPr>
                  <w:r>
                    <w:rPr>
                      <w:color w:val="auto"/>
                      <w:sz w:val="21"/>
                      <w:szCs w:val="21"/>
                    </w:rPr>
                    <w:t>阴离子表面活性剂/（mg/L） ≤</w:t>
                  </w:r>
                </w:p>
              </w:tc>
              <w:tc>
                <w:tcPr>
                  <w:tcW w:w="2303" w:type="pct"/>
                  <w:vAlign w:val="center"/>
                </w:tcPr>
                <w:p>
                  <w:pPr>
                    <w:bidi w:val="0"/>
                    <w:spacing w:line="240" w:lineRule="auto"/>
                    <w:jc w:val="center"/>
                    <w:rPr>
                      <w:color w:val="auto"/>
                      <w:sz w:val="21"/>
                      <w:szCs w:val="21"/>
                    </w:rPr>
                  </w:pPr>
                  <w:r>
                    <w:rPr>
                      <w:color w:val="auto"/>
                      <w:sz w:val="21"/>
                      <w:szCs w:val="21"/>
                    </w:rPr>
                    <w:t>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8</w:t>
                  </w:r>
                </w:p>
              </w:tc>
              <w:tc>
                <w:tcPr>
                  <w:tcW w:w="2236" w:type="pct"/>
                  <w:vAlign w:val="center"/>
                </w:tcPr>
                <w:p>
                  <w:pPr>
                    <w:bidi w:val="0"/>
                    <w:spacing w:line="240" w:lineRule="auto"/>
                    <w:jc w:val="center"/>
                    <w:rPr>
                      <w:color w:val="auto"/>
                      <w:sz w:val="21"/>
                      <w:szCs w:val="21"/>
                    </w:rPr>
                  </w:pPr>
                  <w:r>
                    <w:rPr>
                      <w:color w:val="auto"/>
                      <w:sz w:val="21"/>
                      <w:szCs w:val="21"/>
                    </w:rPr>
                    <w:t>铁/（mg/L） ≤</w:t>
                  </w:r>
                </w:p>
              </w:tc>
              <w:tc>
                <w:tcPr>
                  <w:tcW w:w="2303" w:type="pct"/>
                  <w:vAlign w:val="center"/>
                </w:tcPr>
                <w:p>
                  <w:pPr>
                    <w:bidi w:val="0"/>
                    <w:spacing w:line="240" w:lineRule="auto"/>
                    <w:jc w:val="center"/>
                    <w:rPr>
                      <w:color w:val="auto"/>
                      <w:sz w:val="21"/>
                      <w:szCs w:val="21"/>
                    </w:rPr>
                  </w:pPr>
                  <w:r>
                    <w:rPr>
                      <w:color w:val="auto"/>
                      <w:sz w:val="21"/>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9</w:t>
                  </w:r>
                </w:p>
              </w:tc>
              <w:tc>
                <w:tcPr>
                  <w:tcW w:w="2236" w:type="pct"/>
                  <w:vAlign w:val="center"/>
                </w:tcPr>
                <w:p>
                  <w:pPr>
                    <w:bidi w:val="0"/>
                    <w:spacing w:line="240" w:lineRule="auto"/>
                    <w:jc w:val="center"/>
                    <w:rPr>
                      <w:color w:val="auto"/>
                      <w:sz w:val="21"/>
                      <w:szCs w:val="21"/>
                    </w:rPr>
                  </w:pPr>
                  <w:r>
                    <w:rPr>
                      <w:color w:val="auto"/>
                      <w:sz w:val="21"/>
                      <w:szCs w:val="21"/>
                    </w:rPr>
                    <w:t>锰/（mg/L） ≤</w:t>
                  </w:r>
                </w:p>
              </w:tc>
              <w:tc>
                <w:tcPr>
                  <w:tcW w:w="2303" w:type="pct"/>
                  <w:vAlign w:val="center"/>
                </w:tcPr>
                <w:p>
                  <w:pPr>
                    <w:bidi w:val="0"/>
                    <w:spacing w:line="240" w:lineRule="auto"/>
                    <w:jc w:val="center"/>
                    <w:rPr>
                      <w:color w:val="auto"/>
                      <w:sz w:val="21"/>
                      <w:szCs w:val="21"/>
                    </w:rPr>
                  </w:pPr>
                  <w:r>
                    <w:rPr>
                      <w:color w:val="auto"/>
                      <w:sz w:val="21"/>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10</w:t>
                  </w:r>
                </w:p>
              </w:tc>
              <w:tc>
                <w:tcPr>
                  <w:tcW w:w="2236" w:type="pct"/>
                  <w:vAlign w:val="center"/>
                </w:tcPr>
                <w:p>
                  <w:pPr>
                    <w:bidi w:val="0"/>
                    <w:spacing w:line="240" w:lineRule="auto"/>
                    <w:jc w:val="center"/>
                    <w:rPr>
                      <w:color w:val="auto"/>
                      <w:sz w:val="21"/>
                      <w:szCs w:val="21"/>
                    </w:rPr>
                  </w:pPr>
                  <w:r>
                    <w:rPr>
                      <w:color w:val="auto"/>
                      <w:sz w:val="21"/>
                      <w:szCs w:val="21"/>
                    </w:rPr>
                    <w:t>溶解性总固体/（mg/L） ≤</w:t>
                  </w:r>
                </w:p>
              </w:tc>
              <w:tc>
                <w:tcPr>
                  <w:tcW w:w="2303" w:type="pct"/>
                  <w:vAlign w:val="center"/>
                </w:tcPr>
                <w:p>
                  <w:pPr>
                    <w:bidi w:val="0"/>
                    <w:spacing w:line="240" w:lineRule="auto"/>
                    <w:jc w:val="center"/>
                    <w:rPr>
                      <w:color w:val="auto"/>
                      <w:sz w:val="21"/>
                      <w:szCs w:val="21"/>
                    </w:rPr>
                  </w:pPr>
                  <w:r>
                    <w:rPr>
                      <w:color w:val="auto"/>
                      <w:sz w:val="21"/>
                      <w:szCs w:val="21"/>
                    </w:rPr>
                    <w:t>1000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11</w:t>
                  </w:r>
                </w:p>
              </w:tc>
              <w:tc>
                <w:tcPr>
                  <w:tcW w:w="2236" w:type="pct"/>
                  <w:vAlign w:val="center"/>
                </w:tcPr>
                <w:p>
                  <w:pPr>
                    <w:bidi w:val="0"/>
                    <w:spacing w:line="240" w:lineRule="auto"/>
                    <w:jc w:val="center"/>
                    <w:rPr>
                      <w:color w:val="auto"/>
                      <w:sz w:val="21"/>
                      <w:szCs w:val="21"/>
                    </w:rPr>
                  </w:pPr>
                  <w:r>
                    <w:rPr>
                      <w:color w:val="auto"/>
                      <w:sz w:val="21"/>
                      <w:szCs w:val="21"/>
                    </w:rPr>
                    <w:t>溶解氧/（mg/L） ≥</w:t>
                  </w:r>
                </w:p>
              </w:tc>
              <w:tc>
                <w:tcPr>
                  <w:tcW w:w="2303" w:type="pct"/>
                  <w:vAlign w:val="center"/>
                </w:tcPr>
                <w:p>
                  <w:pPr>
                    <w:bidi w:val="0"/>
                    <w:spacing w:line="240" w:lineRule="auto"/>
                    <w:jc w:val="center"/>
                    <w:rPr>
                      <w:color w:val="auto"/>
                      <w:sz w:val="21"/>
                      <w:szCs w:val="21"/>
                    </w:rPr>
                  </w:pPr>
                  <w:r>
                    <w:rPr>
                      <w:color w:val="auto"/>
                      <w:sz w:val="21"/>
                      <w:szCs w:val="21"/>
                    </w:rPr>
                    <w:t>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12</w:t>
                  </w:r>
                </w:p>
              </w:tc>
              <w:tc>
                <w:tcPr>
                  <w:tcW w:w="2236" w:type="pct"/>
                  <w:vAlign w:val="center"/>
                </w:tcPr>
                <w:p>
                  <w:pPr>
                    <w:bidi w:val="0"/>
                    <w:spacing w:line="240" w:lineRule="auto"/>
                    <w:jc w:val="center"/>
                    <w:rPr>
                      <w:color w:val="auto"/>
                      <w:sz w:val="21"/>
                      <w:szCs w:val="21"/>
                    </w:rPr>
                  </w:pPr>
                  <w:r>
                    <w:rPr>
                      <w:color w:val="auto"/>
                      <w:sz w:val="21"/>
                      <w:szCs w:val="21"/>
                    </w:rPr>
                    <w:t>总氯/（mg/L） ≥</w:t>
                  </w:r>
                </w:p>
              </w:tc>
              <w:tc>
                <w:tcPr>
                  <w:tcW w:w="2303" w:type="pct"/>
                  <w:vAlign w:val="center"/>
                </w:tcPr>
                <w:p>
                  <w:pPr>
                    <w:bidi w:val="0"/>
                    <w:spacing w:line="240" w:lineRule="auto"/>
                    <w:jc w:val="center"/>
                    <w:rPr>
                      <w:color w:val="auto"/>
                      <w:sz w:val="21"/>
                      <w:szCs w:val="21"/>
                    </w:rPr>
                  </w:pPr>
                  <w:r>
                    <w:rPr>
                      <w:color w:val="auto"/>
                      <w:sz w:val="21"/>
                      <w:szCs w:val="21"/>
                    </w:rPr>
                    <w:t>1.0（出厂），0.5（管道末梢）</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9" w:type="pct"/>
                  <w:vAlign w:val="center"/>
                </w:tcPr>
                <w:p>
                  <w:pPr>
                    <w:bidi w:val="0"/>
                    <w:spacing w:line="240" w:lineRule="auto"/>
                    <w:jc w:val="center"/>
                    <w:rPr>
                      <w:color w:val="auto"/>
                      <w:sz w:val="21"/>
                      <w:szCs w:val="21"/>
                    </w:rPr>
                  </w:pPr>
                  <w:r>
                    <w:rPr>
                      <w:color w:val="auto"/>
                      <w:sz w:val="21"/>
                      <w:szCs w:val="21"/>
                    </w:rPr>
                    <w:t>13</w:t>
                  </w:r>
                </w:p>
              </w:tc>
              <w:tc>
                <w:tcPr>
                  <w:tcW w:w="2236" w:type="pct"/>
                  <w:vAlign w:val="center"/>
                </w:tcPr>
                <w:p>
                  <w:pPr>
                    <w:bidi w:val="0"/>
                    <w:spacing w:line="240" w:lineRule="auto"/>
                    <w:jc w:val="center"/>
                    <w:rPr>
                      <w:color w:val="auto"/>
                      <w:sz w:val="21"/>
                      <w:szCs w:val="21"/>
                    </w:rPr>
                  </w:pPr>
                  <w:r>
                    <w:rPr>
                      <w:color w:val="auto"/>
                      <w:sz w:val="21"/>
                      <w:szCs w:val="21"/>
                    </w:rPr>
                    <w:t>大肠埃希氏菌/（MPN/100mL 或 CFU/100mL）</w:t>
                  </w:r>
                </w:p>
              </w:tc>
              <w:tc>
                <w:tcPr>
                  <w:tcW w:w="2303" w:type="pct"/>
                  <w:vAlign w:val="center"/>
                </w:tcPr>
                <w:p>
                  <w:pPr>
                    <w:bidi w:val="0"/>
                    <w:spacing w:line="240" w:lineRule="auto"/>
                    <w:jc w:val="center"/>
                    <w:rPr>
                      <w:color w:val="auto"/>
                      <w:sz w:val="21"/>
                      <w:szCs w:val="21"/>
                    </w:rPr>
                  </w:pPr>
                  <w:r>
                    <w:rPr>
                      <w:color w:val="auto"/>
                      <w:sz w:val="21"/>
                      <w:szCs w:val="21"/>
                    </w:rPr>
                    <w:t>无</w:t>
                  </w:r>
                </w:p>
              </w:tc>
            </w:tr>
          </w:tbl>
          <w:p>
            <w:pPr>
              <w:bidi w:val="0"/>
              <w:spacing w:line="360" w:lineRule="auto"/>
              <w:ind w:firstLine="482" w:firstLineChars="200"/>
              <w:jc w:val="left"/>
              <w:rPr>
                <w:rFonts w:hint="default"/>
                <w:b/>
                <w:bCs/>
                <w:color w:val="auto"/>
              </w:rPr>
            </w:pPr>
            <w:r>
              <w:rPr>
                <w:rFonts w:hint="eastAsia"/>
                <w:b/>
                <w:bCs/>
                <w:color w:val="auto"/>
                <w:lang w:val="en-US" w:eastAsia="zh-CN"/>
              </w:rPr>
              <w:t>4、</w:t>
            </w:r>
            <w:r>
              <w:rPr>
                <w:rFonts w:hint="default"/>
                <w:b/>
                <w:bCs/>
                <w:color w:val="auto"/>
              </w:rPr>
              <w:t>固体废物</w:t>
            </w:r>
          </w:p>
          <w:p>
            <w:pPr>
              <w:bidi w:val="0"/>
              <w:spacing w:line="360" w:lineRule="auto"/>
              <w:ind w:firstLine="480" w:firstLineChars="200"/>
              <w:jc w:val="left"/>
              <w:rPr>
                <w:rFonts w:hint="default"/>
                <w:color w:val="auto"/>
              </w:rPr>
            </w:pPr>
            <w:r>
              <w:rPr>
                <w:rFonts w:hint="default"/>
                <w:color w:val="auto"/>
              </w:rPr>
              <w:t>施工期一般固废排放执行《一般工业固体废物贮存和填埋污染控制标准》（GB 18599-2020）中有关规定。</w:t>
            </w:r>
          </w:p>
          <w:p>
            <w:pPr>
              <w:bidi w:val="0"/>
              <w:spacing w:line="360" w:lineRule="auto"/>
              <w:ind w:firstLine="480" w:firstLineChars="200"/>
              <w:jc w:val="left"/>
              <w:rPr>
                <w:rFonts w:hint="default"/>
                <w:color w:val="auto"/>
              </w:rPr>
            </w:pPr>
            <w:r>
              <w:rPr>
                <w:rFonts w:hint="default"/>
                <w:color w:val="auto"/>
              </w:rPr>
              <w:t>运营期一般固废排放执行《一般工业固体废物贮存和填埋污染控制标准》（GB18599-2020）中有关规定；危险废物执行</w:t>
            </w:r>
            <w:r>
              <w:rPr>
                <w:color w:val="auto"/>
                <w:spacing w:val="-1"/>
              </w:rPr>
              <w:t>《危险废物贮存污染控制标准》（</w:t>
            </w:r>
            <w:r>
              <w:rPr>
                <w:rFonts w:ascii="Times New Roman" w:hAnsi="Times New Roman" w:eastAsia="Times New Roman" w:cs="Times New Roman"/>
                <w:color w:val="auto"/>
                <w:spacing w:val="-1"/>
              </w:rPr>
              <w:t>GB18597-2023</w:t>
            </w:r>
            <w:r>
              <w:rPr>
                <w:color w:val="auto"/>
                <w:spacing w:val="-1"/>
              </w:rPr>
              <w:t>）</w:t>
            </w:r>
            <w:r>
              <w:rPr>
                <w:rFonts w:hint="default"/>
                <w:color w:val="auto"/>
              </w:rPr>
              <w:t>。</w:t>
            </w:r>
          </w:p>
          <w:p>
            <w:pPr>
              <w:bidi w:val="0"/>
              <w:spacing w:line="360" w:lineRule="auto"/>
              <w:jc w:val="left"/>
              <w:rPr>
                <w:rFonts w:hint="default"/>
                <w:color w:val="auto"/>
              </w:rPr>
            </w:pPr>
          </w:p>
          <w:p>
            <w:pPr>
              <w:bidi w:val="0"/>
              <w:spacing w:line="360" w:lineRule="auto"/>
              <w:jc w:val="center"/>
              <w:rPr>
                <w:rFonts w:hint="default"/>
                <w:color w:val="auto"/>
              </w:rPr>
            </w:pPr>
          </w:p>
          <w:p>
            <w:pPr>
              <w:bidi w:val="0"/>
              <w:spacing w:line="360" w:lineRule="auto"/>
              <w:jc w:val="center"/>
              <w:rPr>
                <w:rFonts w:hint="default"/>
                <w:color w:val="auto"/>
              </w:rPr>
            </w:pPr>
          </w:p>
          <w:p>
            <w:pPr>
              <w:bidi w:val="0"/>
              <w:spacing w:line="360" w:lineRule="auto"/>
              <w:jc w:val="center"/>
              <w:rPr>
                <w:rFonts w:hint="default"/>
                <w:color w:val="auto"/>
              </w:rPr>
            </w:pPr>
          </w:p>
          <w:p>
            <w:pPr>
              <w:bidi w:val="0"/>
              <w:spacing w:line="360" w:lineRule="auto"/>
              <w:jc w:val="center"/>
              <w:rPr>
                <w:rFonts w:hint="default"/>
                <w:color w:val="auto"/>
              </w:rPr>
            </w:pPr>
          </w:p>
          <w:p>
            <w:pPr>
              <w:bidi w:val="0"/>
              <w:spacing w:line="360" w:lineRule="auto"/>
              <w:jc w:val="center"/>
              <w:rPr>
                <w:rFonts w:hint="default"/>
                <w:color w:val="auto"/>
              </w:rPr>
            </w:pPr>
          </w:p>
          <w:p>
            <w:pPr>
              <w:bidi w:val="0"/>
              <w:spacing w:line="240" w:lineRule="auto"/>
              <w:jc w:val="both"/>
              <w:rPr>
                <w:rFonts w:hint="default"/>
                <w:color w:val="auto"/>
              </w:rPr>
            </w:pPr>
          </w:p>
          <w:p>
            <w:pPr>
              <w:bidi w:val="0"/>
              <w:spacing w:line="240" w:lineRule="auto"/>
              <w:jc w:val="center"/>
              <w:rPr>
                <w:color w:val="auto"/>
              </w:rPr>
            </w:pPr>
          </w:p>
        </w:tc>
      </w:tr>
    </w:tbl>
    <w:p>
      <w:pPr>
        <w:bidi w:val="0"/>
        <w:rPr>
          <w:color w:val="auto"/>
        </w:rPr>
        <w:sectPr>
          <w:headerReference r:id="rId9" w:type="default"/>
          <w:footerReference r:id="rId10" w:type="default"/>
          <w:pgSz w:w="11907" w:h="16839"/>
          <w:pgMar w:top="1608" w:right="1130" w:bottom="1358" w:left="1274" w:header="1459" w:footer="1197" w:gutter="0"/>
          <w:pgNumType w:fmt="decimal"/>
          <w:cols w:space="720" w:num="1"/>
        </w:sectPr>
      </w:pPr>
    </w:p>
    <w:p>
      <w:pPr>
        <w:bidi w:val="0"/>
        <w:spacing w:line="360" w:lineRule="auto"/>
        <w:jc w:val="center"/>
        <w:rPr>
          <w:color w:val="auto"/>
        </w:rPr>
      </w:pPr>
      <w:r>
        <w:rPr>
          <w:rFonts w:ascii="Times New Roman" w:hAnsi="Times New Roman" w:eastAsia="宋体"/>
          <w:b/>
          <w:bCs/>
          <w:color w:val="auto"/>
          <w:sz w:val="28"/>
          <w:szCs w:val="28"/>
        </w:rPr>
        <w:t>表 4    建设项目概况</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000" w:type="pct"/>
            <w:vAlign w:val="center"/>
          </w:tcPr>
          <w:p>
            <w:pPr>
              <w:bidi w:val="0"/>
              <w:spacing w:line="360" w:lineRule="auto"/>
              <w:jc w:val="both"/>
              <w:rPr>
                <w:b/>
                <w:bCs/>
                <w:color w:val="auto"/>
              </w:rPr>
            </w:pPr>
            <w:r>
              <w:rPr>
                <w:b/>
                <w:bCs/>
                <w:color w:val="auto"/>
              </w:rPr>
              <w:t>项目建设地点（附地理位置示意图）</w:t>
            </w:r>
          </w:p>
          <w:p>
            <w:pPr>
              <w:bidi w:val="0"/>
              <w:ind w:firstLine="480" w:firstLineChars="200"/>
              <w:rPr>
                <w:rFonts w:hint="eastAsia"/>
                <w:color w:val="auto"/>
                <w:lang w:val="en-US" w:eastAsia="zh-CN"/>
              </w:rPr>
            </w:pPr>
            <w:r>
              <w:rPr>
                <w:rFonts w:hint="default"/>
                <w:color w:val="auto"/>
                <w:lang w:val="en-US" w:eastAsia="zh-CN"/>
              </w:rPr>
              <w:t>本</w:t>
            </w:r>
            <w:r>
              <w:rPr>
                <w:rFonts w:hint="eastAsia"/>
                <w:color w:val="auto"/>
                <w:lang w:val="en-US" w:eastAsia="zh-CN"/>
              </w:rPr>
              <w:t>项目</w:t>
            </w:r>
            <w:r>
              <w:rPr>
                <w:rFonts w:hint="default"/>
                <w:color w:val="auto"/>
                <w:lang w:val="en-US" w:eastAsia="zh-CN"/>
              </w:rPr>
              <w:t>位于</w:t>
            </w:r>
            <w:r>
              <w:rPr>
                <w:rFonts w:hint="eastAsia"/>
                <w:color w:val="auto"/>
                <w:lang w:val="en-US" w:eastAsia="zh-CN"/>
              </w:rPr>
              <w:t>甘肃省张掖市高台县北部滩罗城滩</w:t>
            </w:r>
            <w:r>
              <w:rPr>
                <w:rFonts w:hint="default"/>
                <w:color w:val="auto"/>
                <w:lang w:val="en-US" w:eastAsia="zh-CN"/>
              </w:rPr>
              <w:t>，</w:t>
            </w:r>
            <w:r>
              <w:rPr>
                <w:rFonts w:hint="eastAsia"/>
                <w:color w:val="auto"/>
                <w:lang w:val="en-US" w:eastAsia="zh-CN"/>
              </w:rPr>
              <w:t xml:space="preserve">距离罗城镇约11.3公里，周边有G30连霍高速、G312国道穿境而过。兰新铁路从高台县通过，并设有货运站，交通条件便利。  </w:t>
            </w:r>
          </w:p>
          <w:p>
            <w:pPr>
              <w:bidi w:val="0"/>
              <w:ind w:firstLine="480" w:firstLineChars="200"/>
              <w:rPr>
                <w:color w:val="auto"/>
              </w:rPr>
            </w:pPr>
            <w:r>
              <w:rPr>
                <w:color w:val="auto"/>
              </w:rPr>
              <w:t>高台县北部滩百万千瓦风电基地40万千瓦风电项目110kV升压站及送出线路工程位于甘肃省张掖市高台县北部滩百万千瓦风电基地。</w:t>
            </w:r>
          </w:p>
          <w:p>
            <w:pPr>
              <w:bidi w:val="0"/>
              <w:ind w:firstLine="480" w:firstLineChars="200"/>
              <w:rPr>
                <w:color w:val="auto"/>
              </w:rPr>
            </w:pPr>
            <w:r>
              <w:rPr>
                <w:color w:val="auto"/>
              </w:rPr>
              <w:t>110kV北部滩升压站中心：E99°34' 10.850"，N39°47'33.530"；</w:t>
            </w:r>
          </w:p>
          <w:p>
            <w:pPr>
              <w:bidi w:val="0"/>
              <w:ind w:firstLine="480" w:firstLineChars="200"/>
              <w:rPr>
                <w:color w:val="auto"/>
              </w:rPr>
            </w:pPr>
            <w:r>
              <w:rPr>
                <w:color w:val="auto"/>
              </w:rPr>
              <w:t>110kV输电线路起点：E99°34'7.02"，N39°47'33.460"；</w:t>
            </w:r>
          </w:p>
          <w:p>
            <w:pPr>
              <w:bidi w:val="0"/>
              <w:ind w:firstLine="480" w:firstLineChars="200"/>
              <w:rPr>
                <w:color w:val="auto"/>
              </w:rPr>
            </w:pPr>
            <w:r>
              <w:rPr>
                <w:color w:val="auto"/>
              </w:rPr>
              <w:t>110kV输电线路终点：E99°31' 13.860"，N39°46'30.420"；</w:t>
            </w:r>
          </w:p>
          <w:p>
            <w:pPr>
              <w:bidi w:val="0"/>
              <w:ind w:firstLine="480" w:firstLineChars="200"/>
              <w:rPr>
                <w:color w:val="auto"/>
              </w:rPr>
            </w:pPr>
            <w:r>
              <w:rPr>
                <w:color w:val="auto"/>
              </w:rPr>
              <w:t>地理位置见附图</w:t>
            </w:r>
            <w:r>
              <w:rPr>
                <w:rFonts w:hint="eastAsia"/>
                <w:color w:val="auto"/>
                <w:lang w:val="en-US" w:eastAsia="zh-CN"/>
              </w:rPr>
              <w:t>1</w:t>
            </w:r>
            <w:r>
              <w:rPr>
                <w:color w:val="auto"/>
              </w:rPr>
              <w:t>，线路路径示意图见附图</w:t>
            </w:r>
            <w:r>
              <w:rPr>
                <w:rFonts w:hint="eastAsia"/>
                <w:color w:val="auto"/>
                <w:lang w:val="en-US" w:eastAsia="zh-CN"/>
              </w:rPr>
              <w:t>2</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33" w:hRule="atLeast"/>
          <w:jc w:val="center"/>
        </w:trPr>
        <w:tc>
          <w:tcPr>
            <w:tcW w:w="5000" w:type="pct"/>
            <w:vAlign w:val="center"/>
          </w:tcPr>
          <w:p>
            <w:pPr>
              <w:bidi w:val="0"/>
              <w:spacing w:line="360" w:lineRule="auto"/>
              <w:jc w:val="both"/>
              <w:rPr>
                <w:b/>
                <w:bCs/>
                <w:color w:val="auto"/>
              </w:rPr>
            </w:pPr>
            <w:r>
              <w:rPr>
                <w:b/>
                <w:bCs/>
                <w:color w:val="auto"/>
              </w:rPr>
              <w:t>主要建设内容及规模</w:t>
            </w:r>
          </w:p>
          <w:p>
            <w:pPr>
              <w:bidi w:val="0"/>
              <w:spacing w:line="360" w:lineRule="auto"/>
              <w:ind w:firstLine="482" w:firstLineChars="200"/>
              <w:rPr>
                <w:b/>
                <w:bCs/>
                <w:color w:val="auto"/>
              </w:rPr>
            </w:pPr>
            <w:r>
              <w:rPr>
                <w:b/>
                <w:bCs/>
                <w:color w:val="auto"/>
              </w:rPr>
              <w:t>1</w:t>
            </w:r>
            <w:r>
              <w:rPr>
                <w:rFonts w:hint="eastAsia"/>
                <w:b/>
                <w:bCs/>
                <w:color w:val="auto"/>
                <w:lang w:eastAsia="zh-CN"/>
              </w:rPr>
              <w:t>、</w:t>
            </w:r>
            <w:r>
              <w:rPr>
                <w:b/>
                <w:bCs/>
                <w:color w:val="auto"/>
              </w:rPr>
              <w:t>项目基本情况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eastAsia"/>
                <w:color w:val="auto"/>
                <w:sz w:val="24"/>
                <w:szCs w:val="24"/>
                <w:lang w:val="en-US" w:eastAsia="zh-CN"/>
              </w:rPr>
              <w:t>1）</w:t>
            </w:r>
            <w:r>
              <w:rPr>
                <w:rFonts w:hint="default"/>
                <w:color w:val="auto"/>
                <w:sz w:val="24"/>
                <w:szCs w:val="24"/>
                <w:lang w:val="en-US" w:eastAsia="zh-CN"/>
              </w:rPr>
              <w:t>项目名称：</w:t>
            </w:r>
            <w:r>
              <w:rPr>
                <w:rFonts w:hint="eastAsia" w:cs="Times New Roman"/>
                <w:color w:val="auto"/>
                <w:sz w:val="24"/>
                <w:szCs w:val="24"/>
                <w:lang w:val="en-US" w:eastAsia="zh-CN"/>
              </w:rPr>
              <w:t>高台县北部滩百万千瓦风电基地40万千瓦风电项目110kV升压站及送出线路工程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color w:val="auto"/>
                <w:sz w:val="24"/>
                <w:szCs w:val="24"/>
                <w:lang w:val="en-US" w:eastAsia="zh-CN"/>
              </w:rPr>
            </w:pPr>
            <w:r>
              <w:rPr>
                <w:rFonts w:hint="default"/>
                <w:color w:val="auto"/>
                <w:sz w:val="24"/>
                <w:szCs w:val="24"/>
                <w:lang w:val="en-US" w:eastAsia="zh-CN"/>
              </w:rPr>
              <w:t>（2）建设性质：新建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default"/>
                <w:color w:val="auto"/>
                <w:sz w:val="24"/>
                <w:szCs w:val="24"/>
              </w:rPr>
              <w:t>（3）建设单位：</w:t>
            </w:r>
            <w:r>
              <w:rPr>
                <w:rFonts w:hint="eastAsia" w:cs="Times New Roman"/>
                <w:color w:val="auto"/>
                <w:sz w:val="24"/>
                <w:szCs w:val="24"/>
                <w:lang w:val="en-US" w:eastAsia="zh-CN"/>
              </w:rPr>
              <w:t>张掖市立陇新能源开发有限公司</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color w:val="auto"/>
                <w:sz w:val="24"/>
                <w:szCs w:val="24"/>
              </w:rPr>
            </w:pPr>
            <w:r>
              <w:rPr>
                <w:rFonts w:hint="default"/>
                <w:color w:val="auto"/>
                <w:sz w:val="24"/>
                <w:szCs w:val="24"/>
              </w:rPr>
              <w:t>（4）项目投资：</w:t>
            </w:r>
            <w:r>
              <w:rPr>
                <w:rFonts w:hint="eastAsia"/>
                <w:color w:val="auto"/>
                <w:sz w:val="24"/>
                <w:szCs w:val="24"/>
                <w:lang w:val="en-US" w:eastAsia="zh-CN"/>
              </w:rPr>
              <w:t>35344.43</w:t>
            </w:r>
            <w:r>
              <w:rPr>
                <w:rFonts w:hint="default"/>
                <w:color w:val="auto"/>
                <w:sz w:val="24"/>
                <w:szCs w:val="24"/>
              </w:rPr>
              <w:t>万元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rPr>
            </w:pPr>
            <w:r>
              <w:rPr>
                <w:rFonts w:hint="default"/>
                <w:color w:val="auto"/>
                <w:sz w:val="24"/>
                <w:szCs w:val="24"/>
              </w:rPr>
              <w:t>（5）建设地点：甘肃省张掖市高台县北部滩百万千瓦风电基地</w:t>
            </w:r>
          </w:p>
          <w:p>
            <w:pPr>
              <w:bidi w:val="0"/>
              <w:ind w:firstLine="482" w:firstLineChars="200"/>
              <w:rPr>
                <w:b/>
                <w:bCs/>
                <w:color w:val="auto"/>
              </w:rPr>
            </w:pPr>
            <w:r>
              <w:rPr>
                <w:rFonts w:hint="eastAsia"/>
                <w:b/>
                <w:bCs/>
                <w:color w:val="auto"/>
                <w:lang w:val="en-US" w:eastAsia="zh-CN"/>
              </w:rPr>
              <w:t>2、</w:t>
            </w:r>
            <w:r>
              <w:rPr>
                <w:b/>
                <w:bCs/>
                <w:color w:val="auto"/>
              </w:rPr>
              <w:t>建设内容及规模</w:t>
            </w:r>
          </w:p>
          <w:p>
            <w:pPr>
              <w:bidi w:val="0"/>
              <w:ind w:firstLine="480" w:firstLineChars="200"/>
              <w:rPr>
                <w:rFonts w:hint="eastAsia"/>
                <w:color w:val="auto"/>
                <w:lang w:eastAsia="zh-CN"/>
              </w:rPr>
            </w:pPr>
            <w:r>
              <w:rPr>
                <w:color w:val="auto"/>
              </w:rPr>
              <w:t>本项目建设内容及规模为</w:t>
            </w:r>
            <w:r>
              <w:rPr>
                <w:rFonts w:hint="eastAsia"/>
                <w:color w:val="auto"/>
                <w:lang w:eastAsia="zh-CN"/>
              </w:rPr>
              <w:t>：</w:t>
            </w:r>
          </w:p>
          <w:p>
            <w:pPr>
              <w:bidi w:val="0"/>
              <w:ind w:firstLine="480" w:firstLineChars="200"/>
              <w:rPr>
                <w:rFonts w:hint="eastAsia"/>
                <w:color w:val="auto"/>
                <w:lang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新建110kV北部滩升压站，本期建设4台主变，规模为4× 120MVA，采用户外布置；新建110kV出线2回，储能电站配置在生产区东侧，采用32套2.5MW升压变换舱和64套2.5MWh储能电池集装箱，电化学储能规80MW/160MWh，储能时长为2h</w:t>
            </w:r>
            <w:r>
              <w:rPr>
                <w:rFonts w:hint="eastAsia"/>
                <w:color w:val="auto"/>
                <w:lang w:eastAsia="zh-CN"/>
              </w:rPr>
              <w:t>；</w:t>
            </w:r>
          </w:p>
          <w:p>
            <w:pPr>
              <w:bidi w:val="0"/>
              <w:ind w:firstLine="480" w:firstLineChars="200"/>
              <w:rPr>
                <w:color w:val="auto"/>
                <w:spacing w:val="-2"/>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新建110kV北部滩升压站至330kV罗城滩的输电线路：本工程新建110kV北部滩升压站至330kV罗城滩升压站同塔双回输电线路，双回架空线路长度为2×5.4km，导线型号为2×JL/GIA-300/40型钢芯铝绞线。地线分别采用两根OGPW-24B1-90光纤复合光缆。</w:t>
            </w:r>
          </w:p>
          <w:p>
            <w:pPr>
              <w:bidi w:val="0"/>
              <w:ind w:firstLine="480" w:firstLineChars="200"/>
              <w:rPr>
                <w:b/>
                <w:bCs/>
                <w:color w:val="auto"/>
              </w:rPr>
            </w:pPr>
            <w:r>
              <w:rPr>
                <w:rFonts w:hint="default" w:ascii="Times New Roman" w:hAnsi="Times New Roman" w:eastAsia="宋体" w:cs="Times New Roman"/>
                <w:color w:val="auto"/>
                <w:kern w:val="0"/>
                <w:sz w:val="24"/>
                <w:szCs w:val="24"/>
                <w:highlight w:val="none"/>
                <w:lang w:val="en-US" w:eastAsia="zh-CN"/>
              </w:rPr>
              <w:t>项目主要建设内容见表</w:t>
            </w:r>
            <w:r>
              <w:rPr>
                <w:rFonts w:hint="eastAsia" w:cs="Times New Roman"/>
                <w:color w:val="auto"/>
                <w:kern w:val="0"/>
                <w:sz w:val="24"/>
                <w:szCs w:val="24"/>
                <w:highlight w:val="none"/>
                <w:lang w:val="en-US" w:eastAsia="zh-CN"/>
              </w:rPr>
              <w:t>4-1。</w:t>
            </w:r>
          </w:p>
          <w:p>
            <w:pPr>
              <w:bidi w:val="0"/>
              <w:spacing w:line="240" w:lineRule="auto"/>
              <w:jc w:val="center"/>
              <w:rPr>
                <w:b/>
                <w:bCs/>
                <w:color w:val="auto"/>
              </w:rPr>
            </w:pPr>
          </w:p>
          <w:p>
            <w:pPr>
              <w:bidi w:val="0"/>
              <w:spacing w:line="240" w:lineRule="auto"/>
              <w:jc w:val="center"/>
              <w:rPr>
                <w:b/>
                <w:bCs/>
                <w:color w:val="auto"/>
              </w:rPr>
            </w:pPr>
          </w:p>
          <w:p>
            <w:pPr>
              <w:bidi w:val="0"/>
              <w:spacing w:line="240" w:lineRule="auto"/>
              <w:jc w:val="center"/>
              <w:rPr>
                <w:b/>
                <w:bCs/>
                <w:color w:val="auto"/>
              </w:rPr>
            </w:pPr>
          </w:p>
          <w:p>
            <w:pPr>
              <w:bidi w:val="0"/>
              <w:spacing w:line="240" w:lineRule="auto"/>
              <w:jc w:val="center"/>
              <w:rPr>
                <w:b/>
                <w:bCs/>
                <w:color w:val="auto"/>
              </w:rPr>
            </w:pPr>
          </w:p>
          <w:p>
            <w:pPr>
              <w:bidi w:val="0"/>
              <w:spacing w:line="240" w:lineRule="auto"/>
              <w:jc w:val="center"/>
              <w:rPr>
                <w:b/>
                <w:bCs/>
                <w:color w:val="auto"/>
              </w:rPr>
            </w:pPr>
            <w:r>
              <w:rPr>
                <w:b/>
                <w:bCs/>
                <w:color w:val="auto"/>
              </w:rPr>
              <w:t>表4- 1    建设内容一览表</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16"/>
              <w:gridCol w:w="1065"/>
              <w:gridCol w:w="1130"/>
              <w:gridCol w:w="3129"/>
              <w:gridCol w:w="809"/>
              <w:gridCol w:w="23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Align w:val="center"/>
                </w:tcPr>
                <w:p>
                  <w:pPr>
                    <w:bidi w:val="0"/>
                    <w:spacing w:line="240" w:lineRule="auto"/>
                    <w:jc w:val="center"/>
                    <w:rPr>
                      <w:rFonts w:hint="default"/>
                      <w:b/>
                      <w:bCs/>
                      <w:color w:val="auto"/>
                      <w:sz w:val="21"/>
                      <w:szCs w:val="21"/>
                      <w:lang w:val="en-US" w:eastAsia="zh-CN"/>
                    </w:rPr>
                  </w:pPr>
                  <w:r>
                    <w:rPr>
                      <w:rFonts w:hint="eastAsia"/>
                      <w:b/>
                      <w:bCs/>
                      <w:color w:val="auto"/>
                      <w:sz w:val="21"/>
                      <w:szCs w:val="21"/>
                      <w:lang w:val="en-US" w:eastAsia="zh-CN"/>
                    </w:rPr>
                    <w:t>序号</w:t>
                  </w:r>
                </w:p>
              </w:tc>
              <w:tc>
                <w:tcPr>
                  <w:tcW w:w="325" w:type="pct"/>
                  <w:vAlign w:val="center"/>
                </w:tcPr>
                <w:p>
                  <w:pPr>
                    <w:bidi w:val="0"/>
                    <w:spacing w:line="240" w:lineRule="auto"/>
                    <w:jc w:val="center"/>
                    <w:rPr>
                      <w:rFonts w:hint="default"/>
                      <w:b/>
                      <w:bCs/>
                      <w:color w:val="auto"/>
                      <w:sz w:val="21"/>
                      <w:szCs w:val="21"/>
                      <w:lang w:val="en-US" w:eastAsia="zh-CN"/>
                    </w:rPr>
                  </w:pPr>
                  <w:r>
                    <w:rPr>
                      <w:rFonts w:hint="eastAsia"/>
                      <w:b/>
                      <w:bCs/>
                      <w:color w:val="auto"/>
                      <w:sz w:val="21"/>
                      <w:szCs w:val="21"/>
                      <w:lang w:val="en-US" w:eastAsia="zh-CN"/>
                    </w:rPr>
                    <w:t>类别</w:t>
                  </w:r>
                </w:p>
              </w:tc>
              <w:tc>
                <w:tcPr>
                  <w:tcW w:w="561" w:type="pct"/>
                  <w:vAlign w:val="center"/>
                </w:tcPr>
                <w:p>
                  <w:pPr>
                    <w:bidi w:val="0"/>
                    <w:spacing w:line="240" w:lineRule="auto"/>
                    <w:jc w:val="center"/>
                    <w:rPr>
                      <w:rFonts w:hint="default"/>
                      <w:b/>
                      <w:bCs/>
                      <w:color w:val="auto"/>
                      <w:sz w:val="21"/>
                      <w:szCs w:val="21"/>
                      <w:lang w:val="en-US" w:eastAsia="zh-CN"/>
                    </w:rPr>
                  </w:pPr>
                  <w:r>
                    <w:rPr>
                      <w:rFonts w:hint="eastAsia"/>
                      <w:b/>
                      <w:bCs/>
                      <w:color w:val="auto"/>
                      <w:sz w:val="21"/>
                      <w:szCs w:val="21"/>
                      <w:lang w:val="en-US" w:eastAsia="zh-CN"/>
                    </w:rPr>
                    <w:t>名称</w:t>
                  </w:r>
                </w:p>
              </w:tc>
              <w:tc>
                <w:tcPr>
                  <w:tcW w:w="2243" w:type="pct"/>
                  <w:gridSpan w:val="2"/>
                  <w:vAlign w:val="center"/>
                </w:tcPr>
                <w:p>
                  <w:pPr>
                    <w:bidi w:val="0"/>
                    <w:spacing w:line="240" w:lineRule="auto"/>
                    <w:jc w:val="center"/>
                    <w:rPr>
                      <w:rFonts w:hint="eastAsia"/>
                      <w:b/>
                      <w:bCs/>
                      <w:color w:val="auto"/>
                      <w:sz w:val="21"/>
                      <w:szCs w:val="21"/>
                      <w:lang w:val="en-US" w:eastAsia="zh-CN"/>
                    </w:rPr>
                  </w:pPr>
                  <w:r>
                    <w:rPr>
                      <w:rFonts w:hint="eastAsia"/>
                      <w:b/>
                      <w:bCs/>
                      <w:color w:val="auto"/>
                      <w:sz w:val="21"/>
                      <w:szCs w:val="21"/>
                      <w:lang w:val="en-US" w:eastAsia="zh-CN"/>
                    </w:rPr>
                    <w:t>建设内容及规模</w:t>
                  </w:r>
                </w:p>
              </w:tc>
              <w:tc>
                <w:tcPr>
                  <w:tcW w:w="426" w:type="pct"/>
                  <w:vAlign w:val="center"/>
                </w:tcPr>
                <w:p>
                  <w:pPr>
                    <w:bidi w:val="0"/>
                    <w:spacing w:line="240" w:lineRule="auto"/>
                    <w:jc w:val="center"/>
                    <w:rPr>
                      <w:rFonts w:hint="default"/>
                      <w:b/>
                      <w:bCs/>
                      <w:color w:val="auto"/>
                      <w:sz w:val="21"/>
                      <w:szCs w:val="21"/>
                      <w:lang w:val="en-US" w:eastAsia="zh-CN"/>
                    </w:rPr>
                  </w:pPr>
                  <w:r>
                    <w:rPr>
                      <w:rFonts w:hint="eastAsia"/>
                      <w:b/>
                      <w:bCs/>
                      <w:color w:val="auto"/>
                      <w:sz w:val="21"/>
                      <w:szCs w:val="21"/>
                      <w:lang w:val="en-US" w:eastAsia="zh-CN"/>
                    </w:rPr>
                    <w:t>备注</w:t>
                  </w:r>
                </w:p>
              </w:tc>
              <w:tc>
                <w:tcPr>
                  <w:tcW w:w="1217" w:type="pct"/>
                  <w:vAlign w:val="center"/>
                </w:tcPr>
                <w:p>
                  <w:pPr>
                    <w:bidi w:val="0"/>
                    <w:spacing w:line="240" w:lineRule="auto"/>
                    <w:jc w:val="center"/>
                    <w:rPr>
                      <w:rFonts w:hint="eastAsia"/>
                      <w:b/>
                      <w:bCs/>
                      <w:color w:val="auto"/>
                      <w:sz w:val="21"/>
                      <w:szCs w:val="21"/>
                      <w:lang w:val="en-US" w:eastAsia="zh-CN"/>
                    </w:rPr>
                  </w:pPr>
                  <w:r>
                    <w:rPr>
                      <w:rFonts w:hint="eastAsia"/>
                      <w:b/>
                      <w:bCs/>
                      <w:color w:val="auto"/>
                      <w:sz w:val="21"/>
                      <w:szCs w:val="21"/>
                    </w:rPr>
                    <w:t>与环评一致性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restar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1</w:t>
                  </w:r>
                </w:p>
              </w:tc>
              <w:tc>
                <w:tcPr>
                  <w:tcW w:w="325" w:type="pct"/>
                  <w:vMerge w:val="restar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主体工程</w:t>
                  </w:r>
                </w:p>
              </w:tc>
              <w:tc>
                <w:tcPr>
                  <w:tcW w:w="561" w:type="pct"/>
                  <w:vMerge w:val="restart"/>
                  <w:vAlign w:val="center"/>
                </w:tcPr>
                <w:p>
                  <w:pPr>
                    <w:bidi w:val="0"/>
                    <w:spacing w:line="240" w:lineRule="auto"/>
                    <w:jc w:val="center"/>
                    <w:rPr>
                      <w:rFonts w:hint="eastAsia"/>
                      <w:color w:val="auto"/>
                      <w:sz w:val="21"/>
                      <w:szCs w:val="21"/>
                      <w:lang w:val="en-US" w:eastAsia="zh-CN"/>
                    </w:rPr>
                  </w:pPr>
                  <w:r>
                    <w:rPr>
                      <w:color w:val="auto"/>
                      <w:sz w:val="21"/>
                      <w:szCs w:val="21"/>
                    </w:rPr>
                    <w:t>新建110kV北部滩升压站</w:t>
                  </w:r>
                </w:p>
              </w:tc>
              <w:tc>
                <w:tcPr>
                  <w:tcW w:w="595" w:type="pct"/>
                  <w:vAlign w:val="center"/>
                </w:tcPr>
                <w:p>
                  <w:pPr>
                    <w:bidi w:val="0"/>
                    <w:spacing w:line="240" w:lineRule="auto"/>
                    <w:jc w:val="center"/>
                    <w:rPr>
                      <w:rFonts w:hint="eastAsia"/>
                      <w:color w:val="auto"/>
                      <w:sz w:val="21"/>
                      <w:szCs w:val="21"/>
                      <w:lang w:val="en-US" w:eastAsia="zh-CN"/>
                    </w:rPr>
                  </w:pPr>
                  <w:r>
                    <w:rPr>
                      <w:color w:val="auto"/>
                      <w:sz w:val="21"/>
                      <w:szCs w:val="21"/>
                    </w:rPr>
                    <w:t>主变压器</w:t>
                  </w:r>
                </w:p>
              </w:tc>
              <w:tc>
                <w:tcPr>
                  <w:tcW w:w="1648" w:type="pct"/>
                  <w:vAlign w:val="center"/>
                </w:tcPr>
                <w:p>
                  <w:pPr>
                    <w:bidi w:val="0"/>
                    <w:spacing w:line="240" w:lineRule="auto"/>
                    <w:jc w:val="center"/>
                    <w:rPr>
                      <w:rFonts w:hint="eastAsia"/>
                      <w:color w:val="auto"/>
                      <w:sz w:val="21"/>
                      <w:szCs w:val="21"/>
                      <w:lang w:val="en-US" w:eastAsia="zh-CN"/>
                    </w:rPr>
                  </w:pPr>
                  <w:r>
                    <w:rPr>
                      <w:color w:val="auto"/>
                      <w:sz w:val="21"/>
                      <w:szCs w:val="21"/>
                    </w:rPr>
                    <w:t>4 × 120MVA</w:t>
                  </w:r>
                </w:p>
              </w:tc>
              <w:tc>
                <w:tcPr>
                  <w:tcW w:w="426" w:type="pc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rFonts w:hint="eastAsia"/>
                      <w:color w:val="auto"/>
                      <w:sz w:val="21"/>
                      <w:szCs w:val="21"/>
                      <w:lang w:val="en-US" w:eastAsia="zh-CN"/>
                    </w:rPr>
                  </w:pPr>
                  <w:r>
                    <w:rPr>
                      <w:color w:val="auto"/>
                      <w:sz w:val="21"/>
                      <w:szCs w:val="21"/>
                    </w:rPr>
                    <w:t>110kV进出线</w:t>
                  </w:r>
                </w:p>
              </w:tc>
              <w:tc>
                <w:tcPr>
                  <w:tcW w:w="1648" w:type="pct"/>
                  <w:vAlign w:val="center"/>
                </w:tcPr>
                <w:p>
                  <w:pPr>
                    <w:bidi w:val="0"/>
                    <w:spacing w:line="240" w:lineRule="auto"/>
                    <w:jc w:val="center"/>
                    <w:rPr>
                      <w:rFonts w:hint="eastAsia"/>
                      <w:color w:val="auto"/>
                      <w:sz w:val="21"/>
                      <w:szCs w:val="21"/>
                      <w:lang w:val="en-US" w:eastAsia="zh-CN"/>
                    </w:rPr>
                  </w:pPr>
                  <w:r>
                    <w:rPr>
                      <w:color w:val="auto"/>
                      <w:sz w:val="21"/>
                      <w:szCs w:val="21"/>
                    </w:rPr>
                    <w:t>110kV出线2回，采用架空方式</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rFonts w:hint="eastAsia"/>
                      <w:color w:val="auto"/>
                      <w:sz w:val="21"/>
                      <w:szCs w:val="21"/>
                      <w:lang w:val="en-US" w:eastAsia="zh-CN"/>
                    </w:rPr>
                  </w:pPr>
                  <w:r>
                    <w:rPr>
                      <w:color w:val="auto"/>
                      <w:sz w:val="21"/>
                      <w:szCs w:val="21"/>
                    </w:rPr>
                    <w:t>布置形式</w:t>
                  </w:r>
                </w:p>
              </w:tc>
              <w:tc>
                <w:tcPr>
                  <w:tcW w:w="1648" w:type="pct"/>
                  <w:vAlign w:val="center"/>
                </w:tcPr>
                <w:p>
                  <w:pPr>
                    <w:bidi w:val="0"/>
                    <w:spacing w:line="240" w:lineRule="auto"/>
                    <w:jc w:val="center"/>
                    <w:rPr>
                      <w:rFonts w:hint="eastAsia"/>
                      <w:color w:val="auto"/>
                      <w:sz w:val="21"/>
                      <w:szCs w:val="21"/>
                      <w:lang w:val="en-US" w:eastAsia="zh-CN"/>
                    </w:rPr>
                  </w:pPr>
                  <w:r>
                    <w:rPr>
                      <w:color w:val="auto"/>
                      <w:sz w:val="21"/>
                      <w:szCs w:val="21"/>
                    </w:rPr>
                    <w:t>户外布置</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rFonts w:hint="eastAsia"/>
                      <w:color w:val="auto"/>
                      <w:sz w:val="21"/>
                      <w:szCs w:val="21"/>
                      <w:lang w:val="en-US" w:eastAsia="zh-CN"/>
                    </w:rPr>
                  </w:pPr>
                  <w:r>
                    <w:rPr>
                      <w:color w:val="auto"/>
                      <w:sz w:val="21"/>
                      <w:szCs w:val="21"/>
                    </w:rPr>
                    <w:t>占地面积</w:t>
                  </w:r>
                </w:p>
              </w:tc>
              <w:tc>
                <w:tcPr>
                  <w:tcW w:w="1648" w:type="pct"/>
                  <w:vAlign w:val="center"/>
                </w:tcPr>
                <w:p>
                  <w:pPr>
                    <w:bidi w:val="0"/>
                    <w:spacing w:line="240" w:lineRule="auto"/>
                    <w:jc w:val="center"/>
                    <w:rPr>
                      <w:rFonts w:hint="eastAsia"/>
                      <w:color w:val="auto"/>
                      <w:sz w:val="21"/>
                      <w:szCs w:val="21"/>
                      <w:lang w:val="en-US" w:eastAsia="zh-CN"/>
                    </w:rPr>
                  </w:pPr>
                  <w:r>
                    <w:rPr>
                      <w:color w:val="auto"/>
                      <w:sz w:val="21"/>
                      <w:szCs w:val="21"/>
                    </w:rPr>
                    <w:t>28800m</w:t>
                  </w:r>
                  <w:r>
                    <w:rPr>
                      <w:color w:val="auto"/>
                      <w:sz w:val="21"/>
                      <w:szCs w:val="21"/>
                      <w:vertAlign w:val="superscript"/>
                    </w:rPr>
                    <w:t>2</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rFonts w:hint="eastAsia"/>
                      <w:color w:val="auto"/>
                      <w:sz w:val="21"/>
                      <w:szCs w:val="21"/>
                      <w:lang w:val="en-US" w:eastAsia="zh-CN"/>
                    </w:rPr>
                  </w:pPr>
                  <w:r>
                    <w:rPr>
                      <w:color w:val="auto"/>
                      <w:sz w:val="21"/>
                      <w:szCs w:val="21"/>
                    </w:rPr>
                    <w:t>动态无功补偿</w:t>
                  </w:r>
                </w:p>
              </w:tc>
              <w:tc>
                <w:tcPr>
                  <w:tcW w:w="1648" w:type="pct"/>
                  <w:vAlign w:val="center"/>
                </w:tcPr>
                <w:p>
                  <w:pPr>
                    <w:bidi w:val="0"/>
                    <w:spacing w:line="240" w:lineRule="auto"/>
                    <w:jc w:val="center"/>
                    <w:rPr>
                      <w:rFonts w:hint="eastAsia"/>
                      <w:color w:val="auto"/>
                      <w:sz w:val="21"/>
                      <w:szCs w:val="21"/>
                      <w:lang w:val="en-US" w:eastAsia="zh-CN"/>
                    </w:rPr>
                  </w:pPr>
                  <w:r>
                    <w:rPr>
                      <w:color w:val="auto"/>
                      <w:sz w:val="21"/>
                      <w:szCs w:val="21"/>
                    </w:rPr>
                    <w:t>4套全容量SVG±30Mvar无功补 偿装置</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rFonts w:hint="eastAsia"/>
                      <w:color w:val="auto"/>
                      <w:sz w:val="21"/>
                      <w:szCs w:val="21"/>
                      <w:lang w:val="en-US" w:eastAsia="zh-CN"/>
                    </w:rPr>
                  </w:pPr>
                  <w:r>
                    <w:rPr>
                      <w:color w:val="auto"/>
                      <w:sz w:val="21"/>
                      <w:szCs w:val="21"/>
                    </w:rPr>
                    <w:t>职工人数</w:t>
                  </w:r>
                </w:p>
              </w:tc>
              <w:tc>
                <w:tcPr>
                  <w:tcW w:w="1648" w:type="pct"/>
                  <w:vAlign w:val="center"/>
                </w:tcPr>
                <w:p>
                  <w:pPr>
                    <w:bidi w:val="0"/>
                    <w:spacing w:line="240" w:lineRule="auto"/>
                    <w:jc w:val="center"/>
                    <w:rPr>
                      <w:rFonts w:hint="eastAsia"/>
                      <w:color w:val="auto"/>
                      <w:sz w:val="21"/>
                      <w:szCs w:val="21"/>
                      <w:lang w:val="en-US" w:eastAsia="zh-CN"/>
                    </w:rPr>
                  </w:pPr>
                  <w:r>
                    <w:rPr>
                      <w:color w:val="auto"/>
                      <w:sz w:val="21"/>
                      <w:szCs w:val="21"/>
                    </w:rPr>
                    <w:t>4 人</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rFonts w:hint="eastAsia"/>
                      <w:color w:val="auto"/>
                      <w:sz w:val="21"/>
                      <w:szCs w:val="21"/>
                      <w:lang w:val="en-US" w:eastAsia="zh-CN"/>
                    </w:rPr>
                  </w:pPr>
                  <w:r>
                    <w:rPr>
                      <w:color w:val="auto"/>
                      <w:sz w:val="21"/>
                      <w:szCs w:val="21"/>
                    </w:rPr>
                    <w:t>储能区</w:t>
                  </w:r>
                </w:p>
              </w:tc>
              <w:tc>
                <w:tcPr>
                  <w:tcW w:w="1648" w:type="pct"/>
                  <w:vAlign w:val="center"/>
                </w:tcPr>
                <w:p>
                  <w:pPr>
                    <w:bidi w:val="0"/>
                    <w:spacing w:line="240" w:lineRule="auto"/>
                    <w:jc w:val="center"/>
                    <w:rPr>
                      <w:rFonts w:hint="eastAsia"/>
                      <w:color w:val="auto"/>
                      <w:sz w:val="21"/>
                      <w:szCs w:val="21"/>
                      <w:lang w:val="en-US" w:eastAsia="zh-CN"/>
                    </w:rPr>
                  </w:pPr>
                  <w:r>
                    <w:rPr>
                      <w:color w:val="auto"/>
                      <w:sz w:val="21"/>
                      <w:szCs w:val="21"/>
                    </w:rPr>
                    <w:t>储能电站位于生产区东侧，采用32套2.5MW升压变换舱和64套2.5MWh储能电池集装箱，电化学储能规80MW/160MWh，储能时长为2h，采用磷酸铁锂电池储能。</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restart"/>
                  <w:vAlign w:val="center"/>
                </w:tcPr>
                <w:p>
                  <w:pPr>
                    <w:bidi w:val="0"/>
                    <w:spacing w:line="240" w:lineRule="auto"/>
                    <w:jc w:val="center"/>
                    <w:rPr>
                      <w:rFonts w:hint="eastAsia"/>
                      <w:color w:val="auto"/>
                      <w:sz w:val="21"/>
                      <w:szCs w:val="21"/>
                      <w:lang w:val="en-US" w:eastAsia="zh-CN"/>
                    </w:rPr>
                  </w:pPr>
                  <w:r>
                    <w:rPr>
                      <w:color w:val="auto"/>
                      <w:sz w:val="21"/>
                      <w:szCs w:val="21"/>
                    </w:rPr>
                    <w:t>输电线路</w:t>
                  </w:r>
                </w:p>
              </w:tc>
              <w:tc>
                <w:tcPr>
                  <w:tcW w:w="595" w:type="pct"/>
                  <w:vAlign w:val="center"/>
                </w:tcPr>
                <w:p>
                  <w:pPr>
                    <w:bidi w:val="0"/>
                    <w:spacing w:line="240" w:lineRule="auto"/>
                    <w:jc w:val="center"/>
                    <w:rPr>
                      <w:color w:val="auto"/>
                      <w:sz w:val="21"/>
                      <w:szCs w:val="21"/>
                    </w:rPr>
                  </w:pPr>
                  <w:r>
                    <w:rPr>
                      <w:color w:val="auto"/>
                      <w:sz w:val="21"/>
                      <w:szCs w:val="21"/>
                    </w:rPr>
                    <w:t>电压等级 （kV）</w:t>
                  </w:r>
                </w:p>
              </w:tc>
              <w:tc>
                <w:tcPr>
                  <w:tcW w:w="1648" w:type="pct"/>
                  <w:vAlign w:val="center"/>
                </w:tcPr>
                <w:p>
                  <w:pPr>
                    <w:bidi w:val="0"/>
                    <w:spacing w:line="240" w:lineRule="auto"/>
                    <w:jc w:val="center"/>
                    <w:rPr>
                      <w:color w:val="auto"/>
                      <w:sz w:val="21"/>
                      <w:szCs w:val="21"/>
                    </w:rPr>
                  </w:pPr>
                  <w:r>
                    <w:rPr>
                      <w:color w:val="auto"/>
                      <w:sz w:val="21"/>
                      <w:szCs w:val="21"/>
                    </w:rPr>
                    <w:t>110kV</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color w:val="auto"/>
                      <w:sz w:val="21"/>
                      <w:szCs w:val="21"/>
                    </w:rPr>
                  </w:pPr>
                  <w:r>
                    <w:rPr>
                      <w:color w:val="auto"/>
                      <w:sz w:val="21"/>
                      <w:szCs w:val="21"/>
                    </w:rPr>
                    <w:t>线路长度</w:t>
                  </w:r>
                </w:p>
              </w:tc>
              <w:tc>
                <w:tcPr>
                  <w:tcW w:w="1648" w:type="pct"/>
                  <w:vAlign w:val="center"/>
                </w:tcPr>
                <w:p>
                  <w:pPr>
                    <w:bidi w:val="0"/>
                    <w:spacing w:line="240" w:lineRule="auto"/>
                    <w:jc w:val="center"/>
                    <w:rPr>
                      <w:color w:val="auto"/>
                      <w:sz w:val="21"/>
                      <w:szCs w:val="21"/>
                    </w:rPr>
                  </w:pPr>
                  <w:r>
                    <w:rPr>
                      <w:color w:val="auto"/>
                      <w:sz w:val="21"/>
                      <w:szCs w:val="21"/>
                    </w:rPr>
                    <w:t>2 ×5.4km</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color w:val="auto"/>
                      <w:sz w:val="21"/>
                      <w:szCs w:val="21"/>
                    </w:rPr>
                  </w:pPr>
                  <w:r>
                    <w:rPr>
                      <w:color w:val="auto"/>
                      <w:sz w:val="21"/>
                      <w:szCs w:val="21"/>
                    </w:rPr>
                    <w:t>架设方式</w:t>
                  </w:r>
                </w:p>
              </w:tc>
              <w:tc>
                <w:tcPr>
                  <w:tcW w:w="1648" w:type="pct"/>
                  <w:vAlign w:val="center"/>
                </w:tcPr>
                <w:p>
                  <w:pPr>
                    <w:bidi w:val="0"/>
                    <w:spacing w:line="240" w:lineRule="auto"/>
                    <w:jc w:val="center"/>
                    <w:rPr>
                      <w:color w:val="auto"/>
                      <w:sz w:val="21"/>
                      <w:szCs w:val="21"/>
                    </w:rPr>
                  </w:pPr>
                  <w:r>
                    <w:rPr>
                      <w:color w:val="auto"/>
                      <w:sz w:val="21"/>
                      <w:szCs w:val="21"/>
                    </w:rPr>
                    <w:t>同塔双回路架设</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color w:val="auto"/>
                      <w:sz w:val="21"/>
                      <w:szCs w:val="21"/>
                    </w:rPr>
                  </w:pPr>
                  <w:r>
                    <w:rPr>
                      <w:color w:val="auto"/>
                      <w:sz w:val="21"/>
                      <w:szCs w:val="21"/>
                    </w:rPr>
                    <w:t>涉及行政区</w:t>
                  </w:r>
                </w:p>
              </w:tc>
              <w:tc>
                <w:tcPr>
                  <w:tcW w:w="1648" w:type="pct"/>
                  <w:vAlign w:val="center"/>
                </w:tcPr>
                <w:p>
                  <w:pPr>
                    <w:bidi w:val="0"/>
                    <w:spacing w:line="240" w:lineRule="auto"/>
                    <w:jc w:val="center"/>
                    <w:rPr>
                      <w:color w:val="auto"/>
                      <w:sz w:val="21"/>
                      <w:szCs w:val="21"/>
                    </w:rPr>
                  </w:pPr>
                  <w:r>
                    <w:rPr>
                      <w:color w:val="auto"/>
                      <w:sz w:val="21"/>
                      <w:szCs w:val="21"/>
                    </w:rPr>
                    <w:t>张掖市高台县</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color w:val="auto"/>
                      <w:sz w:val="21"/>
                      <w:szCs w:val="21"/>
                    </w:rPr>
                  </w:pPr>
                  <w:r>
                    <w:rPr>
                      <w:color w:val="auto"/>
                      <w:sz w:val="21"/>
                      <w:szCs w:val="21"/>
                    </w:rPr>
                    <w:t>导线型号</w:t>
                  </w:r>
                </w:p>
              </w:tc>
              <w:tc>
                <w:tcPr>
                  <w:tcW w:w="1648" w:type="pct"/>
                  <w:vAlign w:val="center"/>
                </w:tcPr>
                <w:p>
                  <w:pPr>
                    <w:bidi w:val="0"/>
                    <w:spacing w:line="240" w:lineRule="auto"/>
                    <w:jc w:val="center"/>
                    <w:rPr>
                      <w:color w:val="auto"/>
                      <w:sz w:val="21"/>
                      <w:szCs w:val="21"/>
                    </w:rPr>
                  </w:pPr>
                  <w:r>
                    <w:rPr>
                      <w:color w:val="auto"/>
                      <w:sz w:val="21"/>
                      <w:szCs w:val="21"/>
                    </w:rPr>
                    <w:t>2 ×JL/GIA-300/40</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color w:val="auto"/>
                      <w:sz w:val="21"/>
                      <w:szCs w:val="21"/>
                    </w:rPr>
                  </w:pPr>
                  <w:r>
                    <w:rPr>
                      <w:color w:val="auto"/>
                      <w:sz w:val="21"/>
                      <w:szCs w:val="21"/>
                    </w:rPr>
                    <w:t>地线型号</w:t>
                  </w:r>
                </w:p>
              </w:tc>
              <w:tc>
                <w:tcPr>
                  <w:tcW w:w="1648" w:type="pct"/>
                  <w:vAlign w:val="center"/>
                </w:tcPr>
                <w:p>
                  <w:pPr>
                    <w:bidi w:val="0"/>
                    <w:spacing w:line="240" w:lineRule="auto"/>
                    <w:jc w:val="center"/>
                    <w:rPr>
                      <w:color w:val="auto"/>
                      <w:sz w:val="21"/>
                      <w:szCs w:val="21"/>
                    </w:rPr>
                  </w:pPr>
                  <w:r>
                    <w:rPr>
                      <w:color w:val="auto"/>
                      <w:sz w:val="21"/>
                      <w:szCs w:val="21"/>
                    </w:rPr>
                    <w:t>OGPW-24B1-90</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color w:val="auto"/>
                      <w:sz w:val="21"/>
                      <w:szCs w:val="21"/>
                    </w:rPr>
                  </w:pPr>
                  <w:r>
                    <w:rPr>
                      <w:color w:val="auto"/>
                      <w:sz w:val="21"/>
                      <w:szCs w:val="21"/>
                    </w:rPr>
                    <w:t>杆塔数量(基)</w:t>
                  </w:r>
                </w:p>
              </w:tc>
              <w:tc>
                <w:tcPr>
                  <w:tcW w:w="1648" w:type="pct"/>
                  <w:vAlign w:val="center"/>
                </w:tcPr>
                <w:p>
                  <w:pPr>
                    <w:bidi w:val="0"/>
                    <w:spacing w:line="240" w:lineRule="auto"/>
                    <w:jc w:val="center"/>
                    <w:rPr>
                      <w:color w:val="auto"/>
                      <w:sz w:val="21"/>
                      <w:szCs w:val="21"/>
                    </w:rPr>
                  </w:pPr>
                  <w:r>
                    <w:rPr>
                      <w:color w:val="auto"/>
                      <w:sz w:val="21"/>
                      <w:szCs w:val="21"/>
                    </w:rPr>
                    <w:t>新建双回路角铁塔17基，其中双回路直线塔11基，双回路转角塔6基</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330kV罗城滩升压站接入间隔</w:t>
                  </w:r>
                </w:p>
              </w:tc>
              <w:tc>
                <w:tcPr>
                  <w:tcW w:w="2243" w:type="pct"/>
                  <w:gridSpan w:val="2"/>
                  <w:vAlign w:val="center"/>
                </w:tcPr>
                <w:p>
                  <w:pPr>
                    <w:bidi w:val="0"/>
                    <w:spacing w:line="240" w:lineRule="auto"/>
                    <w:jc w:val="center"/>
                    <w:rPr>
                      <w:color w:val="auto"/>
                      <w:sz w:val="21"/>
                      <w:szCs w:val="21"/>
                    </w:rPr>
                  </w:pPr>
                  <w:r>
                    <w:rPr>
                      <w:color w:val="auto"/>
                      <w:sz w:val="21"/>
                      <w:szCs w:val="21"/>
                    </w:rPr>
                    <w:t>本次新建输电线路接入330kV罗城滩升压站由西向东的第六、第七间隔出线</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Align w:val="center"/>
                </w:tcPr>
                <w:p>
                  <w:pPr>
                    <w:spacing w:before="247" w:line="195" w:lineRule="auto"/>
                    <w:jc w:val="center"/>
                    <w:rPr>
                      <w:rFonts w:hint="eastAsia"/>
                      <w:color w:val="auto"/>
                      <w:sz w:val="21"/>
                      <w:szCs w:val="21"/>
                      <w:lang w:val="en-US" w:eastAsia="zh-CN"/>
                    </w:rPr>
                  </w:pPr>
                  <w:r>
                    <w:rPr>
                      <w:rFonts w:ascii="Times New Roman" w:hAnsi="Times New Roman" w:eastAsia="Times New Roman" w:cs="Times New Roman"/>
                      <w:color w:val="auto"/>
                      <w:sz w:val="20"/>
                      <w:szCs w:val="20"/>
                    </w:rPr>
                    <w:t>2</w:t>
                  </w:r>
                </w:p>
              </w:tc>
              <w:tc>
                <w:tcPr>
                  <w:tcW w:w="325" w:type="pct"/>
                  <w:vAlign w:val="center"/>
                </w:tcPr>
                <w:p>
                  <w:pPr>
                    <w:pStyle w:val="14"/>
                    <w:spacing w:before="74" w:line="274" w:lineRule="exact"/>
                    <w:jc w:val="center"/>
                    <w:rPr>
                      <w:rFonts w:ascii="Times New Roman" w:hAnsi="Times New Roman" w:eastAsia="宋体" w:cstheme="minorBidi"/>
                      <w:color w:val="auto"/>
                      <w:kern w:val="2"/>
                      <w:sz w:val="21"/>
                      <w:szCs w:val="21"/>
                      <w:lang w:val="en-US" w:eastAsia="zh-CN" w:bidi="ar-SA"/>
                    </w:rPr>
                  </w:pPr>
                  <w:r>
                    <w:rPr>
                      <w:rFonts w:ascii="Times New Roman" w:hAnsi="Times New Roman" w:eastAsia="宋体" w:cstheme="minorBidi"/>
                      <w:color w:val="auto"/>
                      <w:kern w:val="2"/>
                      <w:sz w:val="21"/>
                      <w:szCs w:val="21"/>
                      <w:lang w:val="en-US" w:eastAsia="zh-CN" w:bidi="ar-SA"/>
                    </w:rPr>
                    <w:t>辅助</w:t>
                  </w:r>
                </w:p>
                <w:p>
                  <w:pPr>
                    <w:pStyle w:val="14"/>
                    <w:spacing w:line="228" w:lineRule="auto"/>
                    <w:jc w:val="center"/>
                    <w:rPr>
                      <w:rFonts w:hint="eastAsia" w:ascii="Times New Roman" w:hAnsi="Times New Roman" w:eastAsia="宋体" w:cstheme="minorBidi"/>
                      <w:color w:val="auto"/>
                      <w:kern w:val="2"/>
                      <w:sz w:val="21"/>
                      <w:szCs w:val="21"/>
                      <w:lang w:val="en-US" w:eastAsia="zh-CN" w:bidi="ar-SA"/>
                    </w:rPr>
                  </w:pPr>
                  <w:r>
                    <w:rPr>
                      <w:rFonts w:ascii="Times New Roman" w:hAnsi="Times New Roman" w:eastAsia="宋体" w:cstheme="minorBidi"/>
                      <w:color w:val="auto"/>
                      <w:kern w:val="2"/>
                      <w:sz w:val="21"/>
                      <w:szCs w:val="21"/>
                      <w:lang w:val="en-US" w:eastAsia="zh-CN" w:bidi="ar-SA"/>
                    </w:rPr>
                    <w:t>工程</w:t>
                  </w:r>
                </w:p>
              </w:tc>
              <w:tc>
                <w:tcPr>
                  <w:tcW w:w="561" w:type="pct"/>
                  <w:vAlign w:val="center"/>
                </w:tcPr>
                <w:p>
                  <w:pPr>
                    <w:pStyle w:val="14"/>
                    <w:spacing w:before="54" w:line="260" w:lineRule="auto"/>
                    <w:ind w:right="134" w:rightChars="0"/>
                    <w:jc w:val="center"/>
                    <w:rPr>
                      <w:rFonts w:hint="eastAsia" w:ascii="Times New Roman" w:hAnsi="Times New Roman" w:eastAsia="宋体" w:cstheme="minorBidi"/>
                      <w:color w:val="auto"/>
                      <w:kern w:val="2"/>
                      <w:sz w:val="21"/>
                      <w:szCs w:val="21"/>
                      <w:lang w:val="en-US" w:eastAsia="zh-CN" w:bidi="ar-SA"/>
                    </w:rPr>
                  </w:pPr>
                  <w:r>
                    <w:rPr>
                      <w:rFonts w:ascii="Times New Roman" w:hAnsi="Times New Roman" w:eastAsia="宋体" w:cstheme="minorBidi"/>
                      <w:color w:val="auto"/>
                      <w:kern w:val="2"/>
                      <w:sz w:val="21"/>
                      <w:szCs w:val="21"/>
                      <w:lang w:val="en-US" w:eastAsia="zh-CN" w:bidi="ar-SA"/>
                    </w:rPr>
                    <w:t>生活管理区</w:t>
                  </w:r>
                </w:p>
              </w:tc>
              <w:tc>
                <w:tcPr>
                  <w:tcW w:w="2243" w:type="pct"/>
                  <w:gridSpan w:val="2"/>
                  <w:vAlign w:val="center"/>
                </w:tcPr>
                <w:p>
                  <w:pPr>
                    <w:pStyle w:val="14"/>
                    <w:spacing w:before="74"/>
                    <w:ind w:right="31" w:rightChars="0"/>
                    <w:jc w:val="center"/>
                    <w:rPr>
                      <w:rFonts w:ascii="Times New Roman" w:hAnsi="Times New Roman" w:eastAsia="宋体" w:cstheme="minorBidi"/>
                      <w:color w:val="auto"/>
                      <w:kern w:val="2"/>
                      <w:sz w:val="21"/>
                      <w:szCs w:val="21"/>
                      <w:lang w:val="en-US" w:eastAsia="zh-CN" w:bidi="ar-SA"/>
                    </w:rPr>
                  </w:pPr>
                  <w:r>
                    <w:rPr>
                      <w:rFonts w:ascii="Times New Roman" w:hAnsi="Times New Roman" w:eastAsia="宋体" w:cstheme="minorBidi"/>
                      <w:color w:val="auto"/>
                      <w:kern w:val="2"/>
                      <w:sz w:val="21"/>
                      <w:szCs w:val="21"/>
                      <w:lang w:val="en-US" w:eastAsia="zh-CN" w:bidi="ar-SA"/>
                    </w:rPr>
                    <w:t>生活管理区主要包括会议室、办公室、休息室、卫生间及污水处理设施等环保工程。</w:t>
                  </w:r>
                </w:p>
              </w:tc>
              <w:tc>
                <w:tcPr>
                  <w:tcW w:w="426"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restar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3</w:t>
                  </w:r>
                </w:p>
              </w:tc>
              <w:tc>
                <w:tcPr>
                  <w:tcW w:w="325" w:type="pct"/>
                  <w:vMerge w:val="restar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公用工程</w:t>
                  </w: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消防设施</w:t>
                  </w:r>
                </w:p>
              </w:tc>
              <w:tc>
                <w:tcPr>
                  <w:tcW w:w="2243" w:type="pct"/>
                  <w:gridSpan w:val="2"/>
                  <w:vAlign w:val="center"/>
                </w:tcPr>
                <w:p>
                  <w:pPr>
                    <w:bidi w:val="0"/>
                    <w:spacing w:line="240" w:lineRule="auto"/>
                    <w:jc w:val="center"/>
                    <w:rPr>
                      <w:color w:val="auto"/>
                      <w:sz w:val="21"/>
                      <w:szCs w:val="21"/>
                    </w:rPr>
                  </w:pPr>
                  <w:r>
                    <w:rPr>
                      <w:color w:val="auto"/>
                      <w:sz w:val="21"/>
                      <w:szCs w:val="21"/>
                    </w:rPr>
                    <w:t>升压站内配备干粉灭火器、消防沙箱</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给水系统</w:t>
                  </w:r>
                </w:p>
              </w:tc>
              <w:tc>
                <w:tcPr>
                  <w:tcW w:w="2243" w:type="pct"/>
                  <w:gridSpan w:val="2"/>
                  <w:vAlign w:val="center"/>
                </w:tcPr>
                <w:p>
                  <w:pPr>
                    <w:bidi w:val="0"/>
                    <w:spacing w:line="240" w:lineRule="auto"/>
                    <w:jc w:val="center"/>
                    <w:rPr>
                      <w:color w:val="auto"/>
                      <w:sz w:val="21"/>
                      <w:szCs w:val="21"/>
                    </w:rPr>
                  </w:pPr>
                  <w:r>
                    <w:rPr>
                      <w:color w:val="auto"/>
                      <w:sz w:val="21"/>
                      <w:szCs w:val="21"/>
                    </w:rPr>
                    <w:t>从周边场区拉运储存在厂区内。</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供暖</w:t>
                  </w:r>
                </w:p>
              </w:tc>
              <w:tc>
                <w:tcPr>
                  <w:tcW w:w="2243" w:type="pct"/>
                  <w:gridSpan w:val="2"/>
                  <w:vAlign w:val="center"/>
                </w:tcPr>
                <w:p>
                  <w:pPr>
                    <w:bidi w:val="0"/>
                    <w:spacing w:line="240" w:lineRule="auto"/>
                    <w:jc w:val="center"/>
                    <w:rPr>
                      <w:color w:val="auto"/>
                      <w:sz w:val="21"/>
                      <w:szCs w:val="21"/>
                    </w:rPr>
                  </w:pPr>
                  <w:r>
                    <w:rPr>
                      <w:color w:val="auto"/>
                      <w:sz w:val="21"/>
                      <w:szCs w:val="21"/>
                    </w:rPr>
                    <w:t>综合楼冬天采用电暖气供暖</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restar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4</w:t>
                  </w:r>
                </w:p>
              </w:tc>
              <w:tc>
                <w:tcPr>
                  <w:tcW w:w="325" w:type="pct"/>
                  <w:vMerge w:val="restar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环保工程</w:t>
                  </w: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废水</w:t>
                  </w:r>
                </w:p>
              </w:tc>
              <w:tc>
                <w:tcPr>
                  <w:tcW w:w="2243" w:type="pct"/>
                  <w:gridSpan w:val="2"/>
                  <w:vAlign w:val="top"/>
                </w:tcPr>
                <w:p>
                  <w:pPr>
                    <w:bidi w:val="0"/>
                    <w:spacing w:line="240" w:lineRule="auto"/>
                    <w:jc w:val="center"/>
                    <w:rPr>
                      <w:color w:val="auto"/>
                      <w:sz w:val="21"/>
                      <w:szCs w:val="21"/>
                    </w:rPr>
                  </w:pPr>
                  <w:r>
                    <w:rPr>
                      <w:color w:val="auto"/>
                      <w:sz w:val="21"/>
                      <w:szCs w:val="21"/>
                    </w:rPr>
                    <w:t>餐饮废水经隔油池（1.0m</w:t>
                  </w:r>
                  <w:r>
                    <w:rPr>
                      <w:color w:val="auto"/>
                      <w:sz w:val="21"/>
                      <w:szCs w:val="21"/>
                      <w:vertAlign w:val="superscript"/>
                    </w:rPr>
                    <w:t>3</w:t>
                  </w:r>
                  <w:r>
                    <w:rPr>
                      <w:color w:val="auto"/>
                      <w:sz w:val="21"/>
                      <w:szCs w:val="21"/>
                    </w:rPr>
                    <w:t>）处理后，与生活污水经地埋式</w:t>
                  </w:r>
                  <w:bookmarkStart w:id="1" w:name="_GoBack"/>
                  <w:bookmarkEnd w:id="1"/>
                  <w:r>
                    <w:rPr>
                      <w:color w:val="auto"/>
                      <w:sz w:val="21"/>
                      <w:szCs w:val="21"/>
                    </w:rPr>
                    <w:t>一体化污水处理设施（</w:t>
                  </w:r>
                  <w:r>
                    <w:rPr>
                      <w:rFonts w:hint="eastAsia"/>
                      <w:color w:val="auto"/>
                      <w:sz w:val="21"/>
                      <w:szCs w:val="21"/>
                      <w:lang w:val="en-US" w:eastAsia="zh-CN"/>
                    </w:rPr>
                    <w:t>1</w:t>
                  </w:r>
                  <w:r>
                    <w:rPr>
                      <w:color w:val="auto"/>
                      <w:sz w:val="21"/>
                      <w:szCs w:val="21"/>
                    </w:rPr>
                    <w:t>m</w:t>
                  </w:r>
                  <w:r>
                    <w:rPr>
                      <w:color w:val="auto"/>
                      <w:sz w:val="21"/>
                      <w:szCs w:val="21"/>
                      <w:vertAlign w:val="superscript"/>
                    </w:rPr>
                    <w:t>3</w:t>
                  </w:r>
                  <w:r>
                    <w:rPr>
                      <w:color w:val="auto"/>
                      <w:sz w:val="21"/>
                      <w:szCs w:val="21"/>
                    </w:rPr>
                    <w:t>/d）处理后达到《城市污水再生利用 城市杂用水水质》（GB/T 18920-2020）中表1城市绿化、道路清扫、消防、建筑施工限值后用于场区绿化、 洒水降尘。</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color w:val="auto"/>
                      <w:sz w:val="21"/>
                      <w:szCs w:val="21"/>
                    </w:rPr>
                    <w:t>餐饮废水经隔油池（1.0m</w:t>
                  </w:r>
                  <w:r>
                    <w:rPr>
                      <w:color w:val="auto"/>
                      <w:sz w:val="21"/>
                      <w:szCs w:val="21"/>
                      <w:vertAlign w:val="superscript"/>
                    </w:rPr>
                    <w:t>3</w:t>
                  </w:r>
                  <w:r>
                    <w:rPr>
                      <w:color w:val="auto"/>
                      <w:sz w:val="21"/>
                      <w:szCs w:val="21"/>
                    </w:rPr>
                    <w:t>）处理后，与生活污水经地埋式一体化污水处理设施（</w:t>
                  </w:r>
                  <w:r>
                    <w:rPr>
                      <w:rFonts w:hint="eastAsia"/>
                      <w:color w:val="auto"/>
                      <w:sz w:val="21"/>
                      <w:szCs w:val="21"/>
                      <w:lang w:val="en-US" w:eastAsia="zh-CN"/>
                    </w:rPr>
                    <w:t>20</w:t>
                  </w:r>
                  <w:r>
                    <w:rPr>
                      <w:color w:val="auto"/>
                      <w:sz w:val="21"/>
                      <w:szCs w:val="21"/>
                    </w:rPr>
                    <w:t>m</w:t>
                  </w:r>
                  <w:r>
                    <w:rPr>
                      <w:color w:val="auto"/>
                      <w:sz w:val="21"/>
                      <w:szCs w:val="21"/>
                      <w:vertAlign w:val="superscript"/>
                    </w:rPr>
                    <w:t>3</w:t>
                  </w:r>
                  <w:r>
                    <w:rPr>
                      <w:color w:val="auto"/>
                      <w:sz w:val="21"/>
                      <w:szCs w:val="21"/>
                    </w:rPr>
                    <w:t>/d）处理后达到《城市污水再生利用 城市杂用水水质》（GB/T 18920-2020）中表1城市绿化、道路清扫、消防、建筑施工限值后用于场区绿化、 洒水降尘。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restar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固体废物</w:t>
                  </w:r>
                </w:p>
              </w:tc>
              <w:tc>
                <w:tcPr>
                  <w:tcW w:w="595" w:type="pct"/>
                  <w:vAlign w:val="center"/>
                </w:tcPr>
                <w:p>
                  <w:pPr>
                    <w:bidi w:val="0"/>
                    <w:spacing w:line="240" w:lineRule="auto"/>
                    <w:jc w:val="center"/>
                    <w:rPr>
                      <w:color w:val="auto"/>
                      <w:sz w:val="21"/>
                      <w:szCs w:val="21"/>
                    </w:rPr>
                  </w:pPr>
                  <w:r>
                    <w:rPr>
                      <w:color w:val="auto"/>
                      <w:sz w:val="21"/>
                      <w:szCs w:val="21"/>
                    </w:rPr>
                    <w:t>生活垃圾</w:t>
                  </w:r>
                </w:p>
              </w:tc>
              <w:tc>
                <w:tcPr>
                  <w:tcW w:w="1648" w:type="pct"/>
                  <w:vAlign w:val="center"/>
                </w:tcPr>
                <w:p>
                  <w:pPr>
                    <w:bidi w:val="0"/>
                    <w:spacing w:line="240" w:lineRule="auto"/>
                    <w:jc w:val="center"/>
                    <w:rPr>
                      <w:color w:val="auto"/>
                      <w:sz w:val="21"/>
                      <w:szCs w:val="21"/>
                    </w:rPr>
                  </w:pPr>
                  <w:r>
                    <w:rPr>
                      <w:color w:val="auto"/>
                      <w:sz w:val="21"/>
                      <w:szCs w:val="21"/>
                    </w:rPr>
                    <w:t>设置的垃圾箱集中收集后运往环卫部门指定地点处理。</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color w:val="auto"/>
                      <w:sz w:val="21"/>
                      <w:szCs w:val="21"/>
                    </w:rPr>
                  </w:pPr>
                  <w:r>
                    <w:rPr>
                      <w:color w:val="auto"/>
                      <w:sz w:val="21"/>
                      <w:szCs w:val="21"/>
                    </w:rPr>
                    <w:t>废铅蓄电池</w:t>
                  </w:r>
                </w:p>
              </w:tc>
              <w:tc>
                <w:tcPr>
                  <w:tcW w:w="1648" w:type="pct"/>
                  <w:vAlign w:val="center"/>
                </w:tcPr>
                <w:p>
                  <w:pPr>
                    <w:bidi w:val="0"/>
                    <w:spacing w:line="240" w:lineRule="auto"/>
                    <w:jc w:val="center"/>
                    <w:rPr>
                      <w:color w:val="auto"/>
                      <w:sz w:val="21"/>
                      <w:szCs w:val="21"/>
                    </w:rPr>
                  </w:pPr>
                  <w:r>
                    <w:rPr>
                      <w:color w:val="auto"/>
                      <w:sz w:val="21"/>
                      <w:szCs w:val="21"/>
                    </w:rPr>
                    <w:t>暂存于10m</w:t>
                  </w:r>
                  <w:r>
                    <w:rPr>
                      <w:strike w:val="0"/>
                      <w:dstrike w:val="0"/>
                      <w:color w:val="auto"/>
                      <w:sz w:val="21"/>
                      <w:szCs w:val="21"/>
                      <w:vertAlign w:val="superscript"/>
                    </w:rPr>
                    <w:t>2</w:t>
                  </w:r>
                  <w:r>
                    <w:rPr>
                      <w:color w:val="auto"/>
                      <w:sz w:val="21"/>
                      <w:szCs w:val="21"/>
                    </w:rPr>
                    <w:t>的危废暂存间，交由有危废处置资质的单位处置不随意丢弃。</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color w:val="auto"/>
                      <w:sz w:val="21"/>
                      <w:szCs w:val="21"/>
                    </w:rPr>
                  </w:pPr>
                  <w:r>
                    <w:rPr>
                      <w:color w:val="auto"/>
                      <w:sz w:val="21"/>
                      <w:szCs w:val="21"/>
                    </w:rPr>
                    <w:t>事故油</w:t>
                  </w:r>
                </w:p>
              </w:tc>
              <w:tc>
                <w:tcPr>
                  <w:tcW w:w="1648" w:type="pct"/>
                  <w:vAlign w:val="center"/>
                </w:tcPr>
                <w:p>
                  <w:pPr>
                    <w:bidi w:val="0"/>
                    <w:spacing w:line="240" w:lineRule="auto"/>
                    <w:jc w:val="center"/>
                    <w:rPr>
                      <w:color w:val="auto"/>
                      <w:sz w:val="21"/>
                      <w:szCs w:val="21"/>
                    </w:rPr>
                  </w:pPr>
                  <w:r>
                    <w:rPr>
                      <w:color w:val="auto"/>
                      <w:sz w:val="21"/>
                      <w:szCs w:val="21"/>
                    </w:rPr>
                    <w:t>110kV北部滩升压站主变下方设置1座 7m</w:t>
                  </w:r>
                  <w:r>
                    <w:rPr>
                      <w:color w:val="auto"/>
                      <w:sz w:val="21"/>
                      <w:szCs w:val="21"/>
                      <w:vertAlign w:val="superscript"/>
                    </w:rPr>
                    <w:t>3</w:t>
                  </w:r>
                  <w:r>
                    <w:rPr>
                      <w:color w:val="auto"/>
                      <w:sz w:val="21"/>
                      <w:szCs w:val="21"/>
                    </w:rPr>
                    <w:t>的事故油坑，设置1座34m</w:t>
                  </w:r>
                  <w:r>
                    <w:rPr>
                      <w:color w:val="auto"/>
                      <w:sz w:val="21"/>
                      <w:szCs w:val="21"/>
                      <w:vertAlign w:val="superscript"/>
                    </w:rPr>
                    <w:t>3</w:t>
                  </w:r>
                  <w:r>
                    <w:rPr>
                      <w:color w:val="auto"/>
                      <w:sz w:val="21"/>
                      <w:szCs w:val="21"/>
                    </w:rPr>
                    <w:t>的事故油池，收集的事故状态产生的废油，并交由有资质的单位统一处理。</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Merge w:val="continue"/>
                  <w:vAlign w:val="center"/>
                </w:tcPr>
                <w:p>
                  <w:pPr>
                    <w:bidi w:val="0"/>
                    <w:spacing w:line="240" w:lineRule="auto"/>
                    <w:jc w:val="center"/>
                    <w:rPr>
                      <w:rFonts w:hint="eastAsia"/>
                      <w:color w:val="auto"/>
                      <w:sz w:val="21"/>
                      <w:szCs w:val="21"/>
                      <w:lang w:val="en-US" w:eastAsia="zh-CN"/>
                    </w:rPr>
                  </w:pPr>
                </w:p>
              </w:tc>
              <w:tc>
                <w:tcPr>
                  <w:tcW w:w="595" w:type="pct"/>
                  <w:vAlign w:val="center"/>
                </w:tcPr>
                <w:p>
                  <w:pPr>
                    <w:bidi w:val="0"/>
                    <w:spacing w:line="240" w:lineRule="auto"/>
                    <w:jc w:val="center"/>
                    <w:rPr>
                      <w:color w:val="auto"/>
                      <w:sz w:val="21"/>
                      <w:szCs w:val="21"/>
                    </w:rPr>
                  </w:pPr>
                  <w:r>
                    <w:rPr>
                      <w:color w:val="auto"/>
                      <w:sz w:val="21"/>
                      <w:szCs w:val="21"/>
                    </w:rPr>
                    <w:t>废储能电池</w:t>
                  </w:r>
                </w:p>
              </w:tc>
              <w:tc>
                <w:tcPr>
                  <w:tcW w:w="1648" w:type="pct"/>
                  <w:vAlign w:val="center"/>
                </w:tcPr>
                <w:p>
                  <w:pPr>
                    <w:bidi w:val="0"/>
                    <w:spacing w:line="240" w:lineRule="auto"/>
                    <w:jc w:val="center"/>
                    <w:rPr>
                      <w:rFonts w:hint="eastAsia" w:eastAsia="宋体"/>
                      <w:color w:val="auto"/>
                      <w:sz w:val="21"/>
                      <w:szCs w:val="21"/>
                      <w:lang w:eastAsia="zh-CN"/>
                    </w:rPr>
                  </w:pPr>
                  <w:r>
                    <w:rPr>
                      <w:color w:val="auto"/>
                      <w:sz w:val="21"/>
                      <w:szCs w:val="21"/>
                    </w:rPr>
                    <w:t>储能系统使用磷酸铁锂电池，根据《一般工业固体废物分类名录及废物代码》（2021版实施）</w:t>
                  </w:r>
                  <w:r>
                    <w:rPr>
                      <w:rFonts w:hint="eastAsia"/>
                      <w:color w:val="auto"/>
                      <w:sz w:val="21"/>
                      <w:szCs w:val="21"/>
                      <w:lang w:eastAsia="zh-CN"/>
                    </w:rPr>
                    <w:t>，</w:t>
                  </w:r>
                  <w:r>
                    <w:rPr>
                      <w:color w:val="auto"/>
                      <w:sz w:val="21"/>
                      <w:szCs w:val="21"/>
                    </w:rPr>
                    <w:t>储能系统产生的废锂电池固废代码为“废弃资源13（废电池”）</w:t>
                  </w:r>
                  <w:r>
                    <w:rPr>
                      <w:rFonts w:hint="eastAsia"/>
                      <w:color w:val="auto"/>
                      <w:sz w:val="21"/>
                      <w:szCs w:val="21"/>
                      <w:lang w:eastAsia="zh-CN"/>
                    </w:rPr>
                    <w:t>，</w:t>
                  </w:r>
                  <w:r>
                    <w:rPr>
                      <w:color w:val="auto"/>
                      <w:sz w:val="21"/>
                      <w:szCs w:val="21"/>
                    </w:rPr>
                    <w:t>储能系统退役的磷酸铁锂电池由 电力公司物资部门统一回收，站内不储存。</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噪声</w:t>
                  </w:r>
                </w:p>
              </w:tc>
              <w:tc>
                <w:tcPr>
                  <w:tcW w:w="595" w:type="pct"/>
                  <w:vAlign w:val="center"/>
                </w:tcPr>
                <w:p>
                  <w:pPr>
                    <w:bidi w:val="0"/>
                    <w:spacing w:line="240" w:lineRule="auto"/>
                    <w:jc w:val="center"/>
                    <w:rPr>
                      <w:color w:val="auto"/>
                      <w:sz w:val="21"/>
                      <w:szCs w:val="21"/>
                    </w:rPr>
                  </w:pPr>
                  <w:r>
                    <w:rPr>
                      <w:color w:val="auto"/>
                      <w:sz w:val="21"/>
                      <w:szCs w:val="21"/>
                    </w:rPr>
                    <w:t>设备噪声</w:t>
                  </w:r>
                </w:p>
              </w:tc>
              <w:tc>
                <w:tcPr>
                  <w:tcW w:w="1648" w:type="pct"/>
                  <w:vAlign w:val="center"/>
                </w:tcPr>
                <w:p>
                  <w:pPr>
                    <w:bidi w:val="0"/>
                    <w:spacing w:line="240" w:lineRule="auto"/>
                    <w:jc w:val="center"/>
                    <w:rPr>
                      <w:color w:val="auto"/>
                      <w:sz w:val="21"/>
                      <w:szCs w:val="21"/>
                    </w:rPr>
                  </w:pPr>
                  <w:r>
                    <w:rPr>
                      <w:color w:val="auto"/>
                      <w:sz w:val="21"/>
                      <w:szCs w:val="21"/>
                    </w:rPr>
                    <w:t>合理布局，低噪声设备，设备减振、隔声</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生态</w:t>
                  </w:r>
                </w:p>
              </w:tc>
              <w:tc>
                <w:tcPr>
                  <w:tcW w:w="2243" w:type="pct"/>
                  <w:gridSpan w:val="2"/>
                  <w:vAlign w:val="center"/>
                </w:tcPr>
                <w:p>
                  <w:pPr>
                    <w:bidi w:val="0"/>
                    <w:spacing w:line="240" w:lineRule="auto"/>
                    <w:jc w:val="center"/>
                    <w:rPr>
                      <w:color w:val="auto"/>
                      <w:sz w:val="21"/>
                      <w:szCs w:val="21"/>
                    </w:rPr>
                  </w:pPr>
                  <w:r>
                    <w:rPr>
                      <w:color w:val="auto"/>
                      <w:sz w:val="21"/>
                      <w:szCs w:val="21"/>
                    </w:rPr>
                    <w:t>减少占地，表土剥离，表土用于植被恢复，临时占地进行植被恢复</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restar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5</w:t>
                  </w:r>
                </w:p>
              </w:tc>
              <w:tc>
                <w:tcPr>
                  <w:tcW w:w="325" w:type="pct"/>
                  <w:vMerge w:val="restar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临时工程</w:t>
                  </w: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施工便道</w:t>
                  </w:r>
                </w:p>
              </w:tc>
              <w:tc>
                <w:tcPr>
                  <w:tcW w:w="2243" w:type="pct"/>
                  <w:gridSpan w:val="2"/>
                  <w:vAlign w:val="center"/>
                </w:tcPr>
                <w:p>
                  <w:pPr>
                    <w:bidi w:val="0"/>
                    <w:spacing w:line="240" w:lineRule="auto"/>
                    <w:jc w:val="center"/>
                    <w:rPr>
                      <w:color w:val="auto"/>
                      <w:sz w:val="21"/>
                      <w:szCs w:val="21"/>
                    </w:rPr>
                  </w:pPr>
                  <w:r>
                    <w:rPr>
                      <w:color w:val="auto"/>
                      <w:sz w:val="21"/>
                      <w:szCs w:val="21"/>
                    </w:rPr>
                    <w:t>新建施工便道4.4km ，宽度为3.5m，施工结束后进行土地整治。</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牵张场</w:t>
                  </w:r>
                </w:p>
              </w:tc>
              <w:tc>
                <w:tcPr>
                  <w:tcW w:w="2243" w:type="pct"/>
                  <w:gridSpan w:val="2"/>
                  <w:vAlign w:val="center"/>
                </w:tcPr>
                <w:p>
                  <w:pPr>
                    <w:bidi w:val="0"/>
                    <w:spacing w:line="240" w:lineRule="auto"/>
                    <w:jc w:val="center"/>
                    <w:rPr>
                      <w:color w:val="auto"/>
                      <w:sz w:val="21"/>
                      <w:szCs w:val="21"/>
                    </w:rPr>
                  </w:pPr>
                  <w:r>
                    <w:rPr>
                      <w:color w:val="auto"/>
                      <w:sz w:val="21"/>
                      <w:szCs w:val="21"/>
                    </w:rPr>
                    <w:t>设置1处牵张场，面积为200m</w:t>
                  </w:r>
                  <w:r>
                    <w:rPr>
                      <w:color w:val="auto"/>
                      <w:sz w:val="21"/>
                      <w:szCs w:val="21"/>
                      <w:vertAlign w:val="superscript"/>
                    </w:rPr>
                    <w:t>2</w:t>
                  </w:r>
                  <w:r>
                    <w:rPr>
                      <w:color w:val="auto"/>
                      <w:sz w:val="21"/>
                      <w:szCs w:val="21"/>
                    </w:rPr>
                    <w:t>，施工结束后进行土地整治。</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 w:type="pct"/>
                  <w:vMerge w:val="continue"/>
                  <w:vAlign w:val="center"/>
                </w:tcPr>
                <w:p>
                  <w:pPr>
                    <w:bidi w:val="0"/>
                    <w:spacing w:line="240" w:lineRule="auto"/>
                    <w:jc w:val="center"/>
                    <w:rPr>
                      <w:rFonts w:hint="eastAsia"/>
                      <w:color w:val="auto"/>
                      <w:sz w:val="21"/>
                      <w:szCs w:val="21"/>
                      <w:lang w:val="en-US" w:eastAsia="zh-CN"/>
                    </w:rPr>
                  </w:pPr>
                </w:p>
              </w:tc>
              <w:tc>
                <w:tcPr>
                  <w:tcW w:w="325" w:type="pct"/>
                  <w:vMerge w:val="continue"/>
                  <w:vAlign w:val="center"/>
                </w:tcPr>
                <w:p>
                  <w:pPr>
                    <w:bidi w:val="0"/>
                    <w:spacing w:line="240" w:lineRule="auto"/>
                    <w:jc w:val="center"/>
                    <w:rPr>
                      <w:rFonts w:hint="eastAsia"/>
                      <w:color w:val="auto"/>
                      <w:sz w:val="21"/>
                      <w:szCs w:val="21"/>
                      <w:lang w:val="en-US" w:eastAsia="zh-CN"/>
                    </w:rPr>
                  </w:pPr>
                </w:p>
              </w:tc>
              <w:tc>
                <w:tcPr>
                  <w:tcW w:w="561" w:type="pct"/>
                  <w:vAlign w:val="center"/>
                </w:tcPr>
                <w:p>
                  <w:pPr>
                    <w:bidi w:val="0"/>
                    <w:spacing w:line="240" w:lineRule="auto"/>
                    <w:jc w:val="center"/>
                    <w:rPr>
                      <w:rFonts w:hint="eastAsia"/>
                      <w:color w:val="auto"/>
                      <w:sz w:val="21"/>
                      <w:szCs w:val="21"/>
                      <w:lang w:val="en-US" w:eastAsia="zh-CN"/>
                    </w:rPr>
                  </w:pPr>
                  <w:r>
                    <w:rPr>
                      <w:color w:val="auto"/>
                      <w:sz w:val="21"/>
                      <w:szCs w:val="21"/>
                    </w:rPr>
                    <w:t>塔基施工场地</w:t>
                  </w:r>
                </w:p>
              </w:tc>
              <w:tc>
                <w:tcPr>
                  <w:tcW w:w="2243" w:type="pct"/>
                  <w:gridSpan w:val="2"/>
                  <w:vAlign w:val="center"/>
                </w:tcPr>
                <w:p>
                  <w:pPr>
                    <w:bidi w:val="0"/>
                    <w:spacing w:line="240" w:lineRule="auto"/>
                    <w:jc w:val="center"/>
                    <w:rPr>
                      <w:color w:val="auto"/>
                      <w:sz w:val="21"/>
                      <w:szCs w:val="21"/>
                    </w:rPr>
                  </w:pPr>
                  <w:r>
                    <w:rPr>
                      <w:color w:val="auto"/>
                      <w:sz w:val="21"/>
                      <w:szCs w:val="21"/>
                    </w:rPr>
                    <w:t>17台塔基，每台塔基的施工场地面积为50m</w:t>
                  </w:r>
                  <w:r>
                    <w:rPr>
                      <w:color w:val="auto"/>
                      <w:sz w:val="21"/>
                      <w:szCs w:val="21"/>
                      <w:vertAlign w:val="superscript"/>
                    </w:rPr>
                    <w:t>2</w:t>
                  </w:r>
                  <w:r>
                    <w:rPr>
                      <w:color w:val="auto"/>
                      <w:sz w:val="21"/>
                      <w:szCs w:val="21"/>
                    </w:rPr>
                    <w:t>，塔基施工场地总占地面积为850m</w:t>
                  </w:r>
                  <w:r>
                    <w:rPr>
                      <w:color w:val="auto"/>
                      <w:sz w:val="21"/>
                      <w:szCs w:val="21"/>
                      <w:vertAlign w:val="superscript"/>
                    </w:rPr>
                    <w:t>2</w:t>
                  </w:r>
                  <w:r>
                    <w:rPr>
                      <w:color w:val="auto"/>
                      <w:sz w:val="21"/>
                      <w:szCs w:val="21"/>
                    </w:rPr>
                    <w:t>，施工结束后进行土地整治。</w:t>
                  </w:r>
                </w:p>
              </w:tc>
              <w:tc>
                <w:tcPr>
                  <w:tcW w:w="426" w:type="pct"/>
                  <w:vAlign w:val="center"/>
                </w:tcPr>
                <w:p>
                  <w:pPr>
                    <w:bidi w:val="0"/>
                    <w:spacing w:line="240" w:lineRule="auto"/>
                    <w:jc w:val="center"/>
                    <w:rPr>
                      <w:rFonts w:hint="eastAsia"/>
                      <w:color w:val="auto"/>
                      <w:sz w:val="21"/>
                      <w:szCs w:val="21"/>
                      <w:lang w:val="en-US" w:eastAsia="zh-CN"/>
                    </w:rPr>
                  </w:pPr>
                  <w:r>
                    <w:rPr>
                      <w:color w:val="auto"/>
                      <w:sz w:val="21"/>
                      <w:szCs w:val="21"/>
                    </w:rPr>
                    <w:t>新建</w:t>
                  </w:r>
                </w:p>
              </w:tc>
              <w:tc>
                <w:tcPr>
                  <w:tcW w:w="1217" w:type="pct"/>
                  <w:vAlign w:val="center"/>
                </w:tcPr>
                <w:p>
                  <w:pPr>
                    <w:bidi w:val="0"/>
                    <w:spacing w:line="240" w:lineRule="auto"/>
                    <w:jc w:val="center"/>
                    <w:rPr>
                      <w:rFonts w:hint="eastAsia"/>
                      <w:color w:val="auto"/>
                      <w:sz w:val="21"/>
                      <w:szCs w:val="21"/>
                      <w:lang w:val="en-US" w:eastAsia="zh-CN"/>
                    </w:rPr>
                  </w:pPr>
                  <w:r>
                    <w:rPr>
                      <w:rFonts w:hint="eastAsia"/>
                      <w:color w:val="auto"/>
                      <w:sz w:val="21"/>
                      <w:szCs w:val="21"/>
                    </w:rPr>
                    <w:t>与环评阶段一致</w:t>
                  </w:r>
                </w:p>
              </w:tc>
            </w:tr>
          </w:tbl>
          <w:p>
            <w:pPr>
              <w:bidi w:val="0"/>
              <w:ind w:firstLine="482" w:firstLineChars="200"/>
              <w:rPr>
                <w:rFonts w:hint="default" w:ascii="Times New Roman" w:hAnsi="Times New Roman" w:eastAsia="宋体" w:cstheme="minorBidi"/>
                <w:b/>
                <w:bCs/>
                <w:color w:val="auto"/>
                <w:kern w:val="2"/>
                <w:sz w:val="24"/>
                <w:szCs w:val="24"/>
                <w:lang w:val="en-US" w:eastAsia="zh-CN" w:bidi="ar-SA"/>
              </w:rPr>
            </w:pPr>
            <w:r>
              <w:rPr>
                <w:rFonts w:hint="eastAsia" w:ascii="Times New Roman" w:hAnsi="Times New Roman" w:cstheme="minorBidi"/>
                <w:b/>
                <w:bCs/>
                <w:color w:val="auto"/>
                <w:kern w:val="2"/>
                <w:sz w:val="24"/>
                <w:szCs w:val="24"/>
                <w:lang w:val="en-US" w:eastAsia="zh-CN" w:bidi="ar-SA"/>
              </w:rPr>
              <w:t>3、</w:t>
            </w:r>
            <w:r>
              <w:rPr>
                <w:rFonts w:hint="default" w:ascii="Times New Roman" w:hAnsi="Times New Roman" w:eastAsia="宋体" w:cstheme="minorBidi"/>
                <w:b/>
                <w:bCs/>
                <w:color w:val="auto"/>
                <w:kern w:val="2"/>
                <w:sz w:val="24"/>
                <w:szCs w:val="24"/>
                <w:lang w:val="en-US" w:eastAsia="zh-CN" w:bidi="ar-SA"/>
              </w:rPr>
              <w:t>生产设备</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新建110kV北部滩升压站</w:t>
            </w:r>
          </w:p>
          <w:p>
            <w:pPr>
              <w:bidi w:val="0"/>
              <w:ind w:firstLine="482" w:firstLineChars="200"/>
              <w:rPr>
                <w:b/>
                <w:bCs/>
                <w:color w:val="auto"/>
              </w:rPr>
            </w:pPr>
            <w:r>
              <w:rPr>
                <w:rFonts w:hint="eastAsia"/>
                <w:b/>
                <w:bCs/>
                <w:color w:val="auto"/>
              </w:rPr>
              <w:t>①</w:t>
            </w:r>
            <w:r>
              <w:rPr>
                <w:b/>
                <w:bCs/>
                <w:color w:val="auto"/>
              </w:rPr>
              <w:t>建设规模</w:t>
            </w:r>
          </w:p>
          <w:p>
            <w:pPr>
              <w:bidi w:val="0"/>
              <w:ind w:firstLine="480" w:firstLineChars="200"/>
              <w:rPr>
                <w:color w:val="auto"/>
              </w:rPr>
            </w:pPr>
            <w:r>
              <w:rPr>
                <w:color w:val="auto"/>
              </w:rPr>
              <w:t>本期新建110kV北部滩升压站工程，主变压器为4× 120MVA，建设2回出线间隔，建设规模如表</w:t>
            </w:r>
            <w:r>
              <w:rPr>
                <w:rFonts w:hint="eastAsia"/>
                <w:color w:val="auto"/>
                <w:lang w:val="en-US" w:eastAsia="zh-CN"/>
              </w:rPr>
              <w:t>4-2</w:t>
            </w:r>
            <w:r>
              <w:rPr>
                <w:color w:val="auto"/>
              </w:rPr>
              <w:t>。</w:t>
            </w:r>
          </w:p>
          <w:p>
            <w:pPr>
              <w:bidi w:val="0"/>
              <w:spacing w:line="240" w:lineRule="auto"/>
              <w:jc w:val="center"/>
              <w:rPr>
                <w:b/>
                <w:bCs/>
                <w:color w:val="auto"/>
              </w:rPr>
            </w:pPr>
            <w:r>
              <w:rPr>
                <w:b/>
                <w:bCs/>
                <w:color w:val="auto"/>
              </w:rPr>
              <w:t xml:space="preserve">表 </w:t>
            </w:r>
            <w:r>
              <w:rPr>
                <w:rFonts w:hint="eastAsia"/>
                <w:b/>
                <w:bCs/>
                <w:color w:val="auto"/>
                <w:lang w:val="en-US" w:eastAsia="zh-CN"/>
              </w:rPr>
              <w:t xml:space="preserve">4-2  </w:t>
            </w:r>
            <w:r>
              <w:rPr>
                <w:b/>
                <w:bCs/>
                <w:color w:val="auto"/>
              </w:rPr>
              <w:t xml:space="preserve"> 新建 110kV 北部滩升压站建设规模</w:t>
            </w:r>
          </w:p>
          <w:tbl>
            <w:tblPr>
              <w:tblStyle w:val="15"/>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48"/>
              <w:gridCol w:w="3251"/>
              <w:gridCol w:w="2387"/>
              <w:gridCol w:w="300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47" w:type="pct"/>
                  <w:tcBorders>
                    <w:right w:val="single" w:color="000000" w:sz="4" w:space="0"/>
                  </w:tcBorders>
                  <w:vAlign w:val="center"/>
                </w:tcPr>
                <w:p>
                  <w:pPr>
                    <w:bidi w:val="0"/>
                    <w:spacing w:line="240" w:lineRule="auto"/>
                    <w:jc w:val="center"/>
                    <w:rPr>
                      <w:b/>
                      <w:bCs/>
                      <w:color w:val="auto"/>
                      <w:sz w:val="21"/>
                      <w:szCs w:val="21"/>
                    </w:rPr>
                  </w:pPr>
                  <w:r>
                    <w:rPr>
                      <w:b/>
                      <w:bCs/>
                      <w:color w:val="auto"/>
                      <w:sz w:val="21"/>
                      <w:szCs w:val="21"/>
                    </w:rPr>
                    <w:t>序号</w:t>
                  </w:r>
                </w:p>
              </w:tc>
              <w:tc>
                <w:tcPr>
                  <w:tcW w:w="1712" w:type="pct"/>
                  <w:tcBorders>
                    <w:left w:val="single" w:color="000000" w:sz="4" w:space="0"/>
                    <w:right w:val="single" w:color="000000" w:sz="4" w:space="0"/>
                  </w:tcBorders>
                  <w:vAlign w:val="center"/>
                </w:tcPr>
                <w:p>
                  <w:pPr>
                    <w:bidi w:val="0"/>
                    <w:spacing w:line="240" w:lineRule="auto"/>
                    <w:jc w:val="center"/>
                    <w:rPr>
                      <w:b/>
                      <w:bCs/>
                      <w:color w:val="auto"/>
                      <w:sz w:val="21"/>
                      <w:szCs w:val="21"/>
                    </w:rPr>
                  </w:pPr>
                  <w:r>
                    <w:rPr>
                      <w:b/>
                      <w:bCs/>
                      <w:color w:val="auto"/>
                      <w:sz w:val="21"/>
                      <w:szCs w:val="21"/>
                    </w:rPr>
                    <w:t>项目</w:t>
                  </w:r>
                </w:p>
              </w:tc>
              <w:tc>
                <w:tcPr>
                  <w:tcW w:w="1257" w:type="pct"/>
                  <w:tcBorders>
                    <w:left w:val="single" w:color="000000" w:sz="4" w:space="0"/>
                    <w:right w:val="single" w:color="000000" w:sz="4" w:space="0"/>
                  </w:tcBorders>
                  <w:vAlign w:val="center"/>
                </w:tcPr>
                <w:p>
                  <w:pPr>
                    <w:bidi w:val="0"/>
                    <w:spacing w:line="240" w:lineRule="auto"/>
                    <w:jc w:val="center"/>
                    <w:rPr>
                      <w:b/>
                      <w:bCs/>
                      <w:color w:val="auto"/>
                      <w:sz w:val="21"/>
                      <w:szCs w:val="21"/>
                    </w:rPr>
                  </w:pPr>
                  <w:r>
                    <w:rPr>
                      <w:b/>
                      <w:bCs/>
                      <w:color w:val="auto"/>
                      <w:sz w:val="21"/>
                      <w:szCs w:val="21"/>
                    </w:rPr>
                    <w:t>本期</w:t>
                  </w:r>
                </w:p>
              </w:tc>
              <w:tc>
                <w:tcPr>
                  <w:tcW w:w="1581" w:type="pct"/>
                  <w:tcBorders>
                    <w:left w:val="single" w:color="000000" w:sz="4" w:space="0"/>
                  </w:tcBorders>
                  <w:vAlign w:val="center"/>
                </w:tcPr>
                <w:p>
                  <w:pPr>
                    <w:bidi w:val="0"/>
                    <w:spacing w:line="240" w:lineRule="auto"/>
                    <w:jc w:val="center"/>
                    <w:rPr>
                      <w:b/>
                      <w:bCs/>
                      <w:color w:val="auto"/>
                      <w:sz w:val="21"/>
                      <w:szCs w:val="21"/>
                    </w:rPr>
                  </w:pPr>
                  <w:r>
                    <w:rPr>
                      <w:rFonts w:hint="default"/>
                      <w:b/>
                      <w:bCs/>
                      <w:color w:val="auto"/>
                      <w:sz w:val="21"/>
                      <w:szCs w:val="21"/>
                    </w:rPr>
                    <w:t>验收阶段实际情况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47" w:type="pct"/>
                  <w:tcBorders>
                    <w:right w:val="single" w:color="000000" w:sz="4" w:space="0"/>
                  </w:tcBorders>
                  <w:vAlign w:val="center"/>
                </w:tcPr>
                <w:p>
                  <w:pPr>
                    <w:bidi w:val="0"/>
                    <w:spacing w:line="240" w:lineRule="auto"/>
                    <w:jc w:val="center"/>
                    <w:rPr>
                      <w:color w:val="auto"/>
                      <w:sz w:val="21"/>
                      <w:szCs w:val="21"/>
                    </w:rPr>
                  </w:pPr>
                  <w:r>
                    <w:rPr>
                      <w:color w:val="auto"/>
                      <w:sz w:val="21"/>
                      <w:szCs w:val="21"/>
                    </w:rPr>
                    <w:t>1</w:t>
                  </w:r>
                </w:p>
              </w:tc>
              <w:tc>
                <w:tcPr>
                  <w:tcW w:w="1712" w:type="pct"/>
                  <w:tcBorders>
                    <w:left w:val="single" w:color="000000" w:sz="4" w:space="0"/>
                    <w:right w:val="single" w:color="000000" w:sz="4" w:space="0"/>
                  </w:tcBorders>
                  <w:vAlign w:val="center"/>
                </w:tcPr>
                <w:p>
                  <w:pPr>
                    <w:bidi w:val="0"/>
                    <w:spacing w:line="240" w:lineRule="auto"/>
                    <w:jc w:val="center"/>
                    <w:rPr>
                      <w:color w:val="auto"/>
                      <w:sz w:val="21"/>
                      <w:szCs w:val="21"/>
                    </w:rPr>
                  </w:pPr>
                  <w:r>
                    <w:rPr>
                      <w:color w:val="auto"/>
                      <w:sz w:val="21"/>
                      <w:szCs w:val="21"/>
                    </w:rPr>
                    <w:t>主变压器</w:t>
                  </w:r>
                </w:p>
              </w:tc>
              <w:tc>
                <w:tcPr>
                  <w:tcW w:w="1257" w:type="pct"/>
                  <w:tcBorders>
                    <w:left w:val="single" w:color="000000" w:sz="4" w:space="0"/>
                    <w:right w:val="single" w:color="000000" w:sz="4" w:space="0"/>
                  </w:tcBorders>
                  <w:vAlign w:val="center"/>
                </w:tcPr>
                <w:p>
                  <w:pPr>
                    <w:bidi w:val="0"/>
                    <w:spacing w:line="240" w:lineRule="auto"/>
                    <w:jc w:val="center"/>
                    <w:rPr>
                      <w:color w:val="auto"/>
                      <w:sz w:val="21"/>
                      <w:szCs w:val="21"/>
                    </w:rPr>
                  </w:pPr>
                  <w:r>
                    <w:rPr>
                      <w:color w:val="auto"/>
                      <w:sz w:val="21"/>
                      <w:szCs w:val="21"/>
                    </w:rPr>
                    <w:t>4 × 120MVA</w:t>
                  </w:r>
                </w:p>
              </w:tc>
              <w:tc>
                <w:tcPr>
                  <w:tcW w:w="1581" w:type="pct"/>
                  <w:tcBorders>
                    <w:left w:val="single" w:color="000000" w:sz="4" w:space="0"/>
                  </w:tcBorders>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47" w:type="pct"/>
                  <w:tcBorders>
                    <w:right w:val="single" w:color="000000" w:sz="4" w:space="0"/>
                  </w:tcBorders>
                  <w:vAlign w:val="center"/>
                </w:tcPr>
                <w:p>
                  <w:pPr>
                    <w:bidi w:val="0"/>
                    <w:spacing w:line="240" w:lineRule="auto"/>
                    <w:jc w:val="center"/>
                    <w:rPr>
                      <w:color w:val="auto"/>
                      <w:sz w:val="21"/>
                      <w:szCs w:val="21"/>
                    </w:rPr>
                  </w:pPr>
                  <w:r>
                    <w:rPr>
                      <w:color w:val="auto"/>
                      <w:sz w:val="21"/>
                      <w:szCs w:val="21"/>
                    </w:rPr>
                    <w:t>2</w:t>
                  </w:r>
                </w:p>
              </w:tc>
              <w:tc>
                <w:tcPr>
                  <w:tcW w:w="1712" w:type="pct"/>
                  <w:tcBorders>
                    <w:left w:val="single" w:color="000000" w:sz="4" w:space="0"/>
                    <w:right w:val="single" w:color="000000" w:sz="4" w:space="0"/>
                  </w:tcBorders>
                  <w:vAlign w:val="center"/>
                </w:tcPr>
                <w:p>
                  <w:pPr>
                    <w:bidi w:val="0"/>
                    <w:spacing w:line="240" w:lineRule="auto"/>
                    <w:jc w:val="center"/>
                    <w:rPr>
                      <w:color w:val="auto"/>
                      <w:sz w:val="21"/>
                      <w:szCs w:val="21"/>
                    </w:rPr>
                  </w:pPr>
                  <w:r>
                    <w:rPr>
                      <w:color w:val="auto"/>
                      <w:sz w:val="21"/>
                      <w:szCs w:val="21"/>
                    </w:rPr>
                    <w:t>110kV 进出线(回)</w:t>
                  </w:r>
                </w:p>
              </w:tc>
              <w:tc>
                <w:tcPr>
                  <w:tcW w:w="1257" w:type="pct"/>
                  <w:tcBorders>
                    <w:left w:val="single" w:color="000000" w:sz="4" w:space="0"/>
                    <w:right w:val="single" w:color="000000" w:sz="4" w:space="0"/>
                  </w:tcBorders>
                  <w:vAlign w:val="center"/>
                </w:tcPr>
                <w:p>
                  <w:pPr>
                    <w:bidi w:val="0"/>
                    <w:spacing w:line="240" w:lineRule="auto"/>
                    <w:jc w:val="center"/>
                    <w:rPr>
                      <w:color w:val="auto"/>
                      <w:sz w:val="21"/>
                      <w:szCs w:val="21"/>
                    </w:rPr>
                  </w:pPr>
                  <w:r>
                    <w:rPr>
                      <w:color w:val="auto"/>
                      <w:sz w:val="21"/>
                      <w:szCs w:val="21"/>
                    </w:rPr>
                    <w:t>2回</w:t>
                  </w:r>
                </w:p>
              </w:tc>
              <w:tc>
                <w:tcPr>
                  <w:tcW w:w="1581" w:type="pct"/>
                  <w:tcBorders>
                    <w:left w:val="single" w:color="000000" w:sz="4" w:space="0"/>
                  </w:tcBorders>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bl>
          <w:p>
            <w:pPr>
              <w:bidi w:val="0"/>
              <w:ind w:firstLine="482" w:firstLineChars="200"/>
              <w:rPr>
                <w:b/>
                <w:bCs/>
                <w:color w:val="auto"/>
              </w:rPr>
            </w:pPr>
            <w:r>
              <w:rPr>
                <w:rFonts w:hint="eastAsia"/>
                <w:b/>
                <w:bCs/>
                <w:color w:val="auto"/>
              </w:rPr>
              <w:t>②</w:t>
            </w:r>
            <w:r>
              <w:rPr>
                <w:b/>
                <w:bCs/>
                <w:color w:val="auto"/>
              </w:rPr>
              <w:t>主要电气设备选型</w:t>
            </w:r>
          </w:p>
          <w:p>
            <w:pPr>
              <w:bidi w:val="0"/>
              <w:ind w:firstLine="482" w:firstLineChars="200"/>
              <w:rPr>
                <w:b/>
                <w:bCs/>
                <w:color w:val="auto"/>
              </w:rPr>
            </w:pPr>
            <w:r>
              <w:rPr>
                <w:rFonts w:hint="eastAsia"/>
                <w:b/>
                <w:bCs/>
                <w:color w:val="auto"/>
              </w:rPr>
              <w:t>❶</w:t>
            </w:r>
            <w:r>
              <w:rPr>
                <w:b/>
                <w:bCs/>
                <w:color w:val="auto"/>
              </w:rPr>
              <w:t>主变压器</w:t>
            </w:r>
          </w:p>
          <w:p>
            <w:pPr>
              <w:bidi w:val="0"/>
              <w:ind w:firstLine="480" w:firstLineChars="200"/>
              <w:rPr>
                <w:color w:val="auto"/>
              </w:rPr>
            </w:pPr>
            <w:r>
              <w:rPr>
                <w:color w:val="auto"/>
              </w:rPr>
              <w:t>本期建设4台主变，规模为4× 120MVA，采用户外布置，主变采用三相双绕组有载调压变压器。</w:t>
            </w:r>
          </w:p>
          <w:p>
            <w:pPr>
              <w:bidi w:val="0"/>
              <w:ind w:firstLine="480" w:firstLineChars="200"/>
              <w:rPr>
                <w:color w:val="auto"/>
              </w:rPr>
            </w:pPr>
            <w:r>
              <w:rPr>
                <w:color w:val="auto"/>
              </w:rPr>
              <w:t>型号：SZ11-120000/110</w:t>
            </w:r>
          </w:p>
          <w:p>
            <w:pPr>
              <w:bidi w:val="0"/>
              <w:ind w:firstLine="480" w:firstLineChars="200"/>
              <w:rPr>
                <w:color w:val="auto"/>
              </w:rPr>
            </w:pPr>
            <w:r>
              <w:rPr>
                <w:color w:val="auto"/>
              </w:rPr>
              <w:t>额定容量：120MVA</w:t>
            </w:r>
          </w:p>
          <w:p>
            <w:pPr>
              <w:bidi w:val="0"/>
              <w:ind w:firstLine="480" w:firstLineChars="200"/>
              <w:rPr>
                <w:color w:val="auto"/>
              </w:rPr>
            </w:pPr>
            <w:r>
              <w:rPr>
                <w:color w:val="auto"/>
              </w:rPr>
              <w:t>额定电压：115±8×1.25%/37kV</w:t>
            </w:r>
          </w:p>
          <w:p>
            <w:pPr>
              <w:bidi w:val="0"/>
              <w:ind w:firstLine="480" w:firstLineChars="200"/>
              <w:rPr>
                <w:color w:val="auto"/>
              </w:rPr>
            </w:pPr>
            <w:r>
              <w:rPr>
                <w:color w:val="auto"/>
              </w:rPr>
              <w:t>冷却方式：ONAN</w:t>
            </w:r>
          </w:p>
          <w:p>
            <w:pPr>
              <w:bidi w:val="0"/>
              <w:ind w:firstLine="480" w:firstLineChars="200"/>
              <w:rPr>
                <w:color w:val="auto"/>
              </w:rPr>
            </w:pPr>
            <w:r>
              <w:rPr>
                <w:color w:val="auto"/>
              </w:rPr>
              <w:t>接线组别：高压侧有载调压</w:t>
            </w:r>
          </w:p>
          <w:p>
            <w:pPr>
              <w:bidi w:val="0"/>
              <w:ind w:firstLine="480" w:firstLineChars="200"/>
              <w:rPr>
                <w:color w:val="auto"/>
              </w:rPr>
            </w:pPr>
            <w:r>
              <w:rPr>
                <w:color w:val="auto"/>
              </w:rPr>
              <w:t>阻抗电压：Uk＝12%</w:t>
            </w:r>
          </w:p>
          <w:p>
            <w:pPr>
              <w:bidi w:val="0"/>
              <w:ind w:firstLine="482" w:firstLineChars="200"/>
              <w:rPr>
                <w:b/>
                <w:bCs/>
                <w:color w:val="auto"/>
              </w:rPr>
            </w:pPr>
            <w:r>
              <w:rPr>
                <w:rFonts w:hint="eastAsia"/>
                <w:b/>
                <w:bCs/>
                <w:color w:val="auto"/>
              </w:rPr>
              <w:t>❷</w:t>
            </w:r>
            <w:r>
              <w:rPr>
                <w:b/>
                <w:bCs/>
                <w:color w:val="auto"/>
              </w:rPr>
              <w:t>进出线间隔规模</w:t>
            </w:r>
          </w:p>
          <w:p>
            <w:pPr>
              <w:bidi w:val="0"/>
              <w:ind w:firstLine="480" w:firstLineChars="200"/>
              <w:rPr>
                <w:color w:val="auto"/>
              </w:rPr>
            </w:pPr>
            <w:r>
              <w:rPr>
                <w:color w:val="auto"/>
              </w:rPr>
              <w:t>本期建设110kV进出线间隔2回，110kV配电装置采用单母线接线，采用架空方式，110kV 配电装置采用AIS户外敞开式开关设备。</w:t>
            </w:r>
          </w:p>
          <w:p>
            <w:pPr>
              <w:bidi w:val="0"/>
              <w:ind w:firstLine="482" w:firstLineChars="200"/>
              <w:rPr>
                <w:b/>
                <w:bCs/>
                <w:color w:val="auto"/>
              </w:rPr>
            </w:pPr>
            <w:r>
              <w:rPr>
                <w:rFonts w:hint="eastAsia"/>
                <w:b/>
                <w:bCs/>
                <w:color w:val="auto"/>
              </w:rPr>
              <w:t>❸</w:t>
            </w:r>
            <w:r>
              <w:rPr>
                <w:b/>
                <w:bCs/>
                <w:color w:val="auto"/>
              </w:rPr>
              <w:t>无功补偿装置</w:t>
            </w:r>
          </w:p>
          <w:p>
            <w:pPr>
              <w:bidi w:val="0"/>
              <w:ind w:firstLine="480" w:firstLineChars="200"/>
              <w:rPr>
                <w:color w:val="auto"/>
              </w:rPr>
            </w:pPr>
            <w:r>
              <w:rPr>
                <w:color w:val="auto"/>
              </w:rPr>
              <w:t>本工程安装4套-30MVar～+30MVar全容量SVG无功补偿装置。</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新建110kV北部滩升压站至330kV罗城滩升压站的输电线路</w:t>
            </w:r>
          </w:p>
          <w:p>
            <w:pPr>
              <w:bidi w:val="0"/>
              <w:ind w:firstLine="482" w:firstLineChars="200"/>
              <w:rPr>
                <w:b/>
                <w:bCs/>
                <w:color w:val="auto"/>
              </w:rPr>
            </w:pPr>
            <w:r>
              <w:rPr>
                <w:rFonts w:hint="eastAsia"/>
                <w:b/>
                <w:bCs/>
                <w:color w:val="auto"/>
              </w:rPr>
              <w:t>①</w:t>
            </w:r>
            <w:r>
              <w:rPr>
                <w:b/>
                <w:bCs/>
                <w:color w:val="auto"/>
              </w:rPr>
              <w:t>工程概况</w:t>
            </w:r>
          </w:p>
          <w:p>
            <w:pPr>
              <w:bidi w:val="0"/>
              <w:ind w:firstLine="480" w:firstLineChars="200"/>
              <w:jc w:val="left"/>
              <w:rPr>
                <w:color w:val="auto"/>
              </w:rPr>
            </w:pPr>
            <w:r>
              <w:rPr>
                <w:color w:val="auto"/>
              </w:rPr>
              <w:t>本工程新建110kV北部滩升压站330kV罗城滩升压站同塔双回输电线路，双回架空线路长度为2×5.4km，导线型号为2×JL/GIA-300/40型钢芯铝绞线。地线分别采用两根 OGPW-24B1-90光纤复合光缆。</w:t>
            </w:r>
          </w:p>
          <w:p>
            <w:pPr>
              <w:bidi w:val="0"/>
              <w:ind w:firstLine="482" w:firstLineChars="200"/>
              <w:rPr>
                <w:b/>
                <w:bCs/>
                <w:color w:val="auto"/>
              </w:rPr>
            </w:pPr>
            <w:r>
              <w:rPr>
                <w:rFonts w:hint="eastAsia"/>
                <w:b/>
                <w:bCs/>
                <w:color w:val="auto"/>
              </w:rPr>
              <w:t>②</w:t>
            </w:r>
            <w:r>
              <w:rPr>
                <w:b/>
                <w:bCs/>
                <w:color w:val="auto"/>
              </w:rPr>
              <w:t>塔杆数量及型号</w:t>
            </w:r>
          </w:p>
          <w:p>
            <w:pPr>
              <w:bidi w:val="0"/>
              <w:ind w:firstLine="480" w:firstLineChars="200"/>
              <w:rPr>
                <w:color w:val="auto"/>
              </w:rPr>
            </w:pPr>
            <w:r>
              <w:rPr>
                <w:color w:val="auto"/>
              </w:rPr>
              <w:t>本工程新建双回路角铁塔17基，其中双回路直线塔11基，双回路转角塔6基。塔型使用情况见表</w:t>
            </w:r>
            <w:r>
              <w:rPr>
                <w:rFonts w:hint="eastAsia"/>
                <w:color w:val="auto"/>
                <w:lang w:val="en-US" w:eastAsia="zh-CN"/>
              </w:rPr>
              <w:t>4-3</w:t>
            </w:r>
            <w:r>
              <w:rPr>
                <w:color w:val="auto"/>
              </w:rPr>
              <w:t>。</w:t>
            </w:r>
          </w:p>
          <w:p>
            <w:pPr>
              <w:bidi w:val="0"/>
              <w:spacing w:line="240" w:lineRule="auto"/>
              <w:jc w:val="center"/>
              <w:rPr>
                <w:b/>
                <w:bCs/>
                <w:color w:val="auto"/>
              </w:rPr>
            </w:pPr>
            <w:r>
              <w:rPr>
                <w:b/>
                <w:bCs/>
                <w:color w:val="auto"/>
              </w:rPr>
              <w:t xml:space="preserve">表 </w:t>
            </w:r>
            <w:r>
              <w:rPr>
                <w:rFonts w:hint="eastAsia"/>
                <w:b/>
                <w:bCs/>
                <w:color w:val="auto"/>
                <w:lang w:val="en-US" w:eastAsia="zh-CN"/>
              </w:rPr>
              <w:t xml:space="preserve">4-3  </w:t>
            </w:r>
            <w:r>
              <w:rPr>
                <w:b/>
                <w:bCs/>
                <w:color w:val="auto"/>
              </w:rPr>
              <w:t xml:space="preserve"> 塔杆使用情况表</w:t>
            </w:r>
          </w:p>
          <w:tbl>
            <w:tblPr>
              <w:tblStyle w:val="15"/>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2"/>
              <w:gridCol w:w="438"/>
              <w:gridCol w:w="869"/>
              <w:gridCol w:w="916"/>
              <w:gridCol w:w="969"/>
              <w:gridCol w:w="639"/>
              <w:gridCol w:w="649"/>
              <w:gridCol w:w="1096"/>
              <w:gridCol w:w="1214"/>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b/>
                      <w:bCs/>
                      <w:color w:val="auto"/>
                      <w:sz w:val="21"/>
                      <w:szCs w:val="21"/>
                    </w:rPr>
                  </w:pPr>
                  <w:r>
                    <w:rPr>
                      <w:b/>
                      <w:bCs/>
                      <w:color w:val="auto"/>
                      <w:sz w:val="21"/>
                      <w:szCs w:val="21"/>
                    </w:rPr>
                    <w:t>序号</w:t>
                  </w:r>
                </w:p>
              </w:tc>
              <w:tc>
                <w:tcPr>
                  <w:tcW w:w="689" w:type="pct"/>
                  <w:gridSpan w:val="2"/>
                  <w:vAlign w:val="center"/>
                </w:tcPr>
                <w:p>
                  <w:pPr>
                    <w:bidi w:val="0"/>
                    <w:spacing w:line="240" w:lineRule="auto"/>
                    <w:jc w:val="center"/>
                    <w:rPr>
                      <w:b/>
                      <w:bCs/>
                      <w:color w:val="auto"/>
                      <w:sz w:val="21"/>
                      <w:szCs w:val="21"/>
                    </w:rPr>
                  </w:pPr>
                  <w:r>
                    <w:rPr>
                      <w:b/>
                      <w:bCs/>
                      <w:color w:val="auto"/>
                      <w:sz w:val="21"/>
                      <w:szCs w:val="21"/>
                    </w:rPr>
                    <w:t>塔类</w:t>
                  </w:r>
                </w:p>
              </w:tc>
              <w:tc>
                <w:tcPr>
                  <w:tcW w:w="483" w:type="pct"/>
                  <w:vAlign w:val="center"/>
                </w:tcPr>
                <w:p>
                  <w:pPr>
                    <w:bidi w:val="0"/>
                    <w:spacing w:line="240" w:lineRule="auto"/>
                    <w:jc w:val="center"/>
                    <w:rPr>
                      <w:b/>
                      <w:bCs/>
                      <w:color w:val="auto"/>
                      <w:sz w:val="21"/>
                      <w:szCs w:val="21"/>
                    </w:rPr>
                  </w:pPr>
                  <w:r>
                    <w:rPr>
                      <w:b/>
                      <w:bCs/>
                      <w:color w:val="auto"/>
                      <w:sz w:val="21"/>
                      <w:szCs w:val="21"/>
                    </w:rPr>
                    <w:t>塔形</w:t>
                  </w:r>
                </w:p>
              </w:tc>
              <w:tc>
                <w:tcPr>
                  <w:tcW w:w="511" w:type="pct"/>
                  <w:vAlign w:val="center"/>
                </w:tcPr>
                <w:p>
                  <w:pPr>
                    <w:bidi w:val="0"/>
                    <w:spacing w:line="240" w:lineRule="auto"/>
                    <w:jc w:val="center"/>
                    <w:rPr>
                      <w:b/>
                      <w:bCs/>
                      <w:color w:val="auto"/>
                      <w:sz w:val="21"/>
                      <w:szCs w:val="21"/>
                    </w:rPr>
                  </w:pPr>
                  <w:r>
                    <w:rPr>
                      <w:b/>
                      <w:bCs/>
                      <w:color w:val="auto"/>
                      <w:sz w:val="21"/>
                      <w:szCs w:val="21"/>
                    </w:rPr>
                    <w:t>呼高（m）</w:t>
                  </w:r>
                </w:p>
              </w:tc>
              <w:tc>
                <w:tcPr>
                  <w:tcW w:w="678" w:type="pct"/>
                  <w:gridSpan w:val="2"/>
                  <w:vAlign w:val="center"/>
                </w:tcPr>
                <w:p>
                  <w:pPr>
                    <w:bidi w:val="0"/>
                    <w:spacing w:line="240" w:lineRule="auto"/>
                    <w:jc w:val="center"/>
                    <w:rPr>
                      <w:b/>
                      <w:bCs/>
                      <w:color w:val="auto"/>
                      <w:sz w:val="21"/>
                      <w:szCs w:val="21"/>
                    </w:rPr>
                  </w:pPr>
                  <w:r>
                    <w:rPr>
                      <w:b/>
                      <w:bCs/>
                      <w:color w:val="auto"/>
                      <w:sz w:val="21"/>
                      <w:szCs w:val="21"/>
                    </w:rPr>
                    <w:t>使用基数</w:t>
                  </w:r>
                </w:p>
              </w:tc>
              <w:tc>
                <w:tcPr>
                  <w:tcW w:w="578" w:type="pct"/>
                  <w:vAlign w:val="center"/>
                </w:tcPr>
                <w:p>
                  <w:pPr>
                    <w:bidi w:val="0"/>
                    <w:spacing w:line="240" w:lineRule="auto"/>
                    <w:jc w:val="center"/>
                    <w:rPr>
                      <w:b/>
                      <w:bCs/>
                      <w:color w:val="auto"/>
                      <w:sz w:val="21"/>
                      <w:szCs w:val="21"/>
                    </w:rPr>
                  </w:pPr>
                  <w:r>
                    <w:rPr>
                      <w:b/>
                      <w:bCs/>
                      <w:color w:val="auto"/>
                      <w:sz w:val="21"/>
                      <w:szCs w:val="21"/>
                    </w:rPr>
                    <w:t>水平档距</w:t>
                  </w:r>
                </w:p>
                <w:p>
                  <w:pPr>
                    <w:bidi w:val="0"/>
                    <w:spacing w:line="240" w:lineRule="auto"/>
                    <w:jc w:val="center"/>
                    <w:rPr>
                      <w:b/>
                      <w:bCs/>
                      <w:color w:val="auto"/>
                      <w:sz w:val="21"/>
                      <w:szCs w:val="21"/>
                    </w:rPr>
                  </w:pPr>
                  <w:r>
                    <w:rPr>
                      <w:b/>
                      <w:bCs/>
                      <w:color w:val="auto"/>
                      <w:sz w:val="21"/>
                      <w:szCs w:val="21"/>
                    </w:rPr>
                    <w:t>（m）</w:t>
                  </w:r>
                </w:p>
              </w:tc>
              <w:tc>
                <w:tcPr>
                  <w:tcW w:w="640" w:type="pct"/>
                  <w:vAlign w:val="center"/>
                </w:tcPr>
                <w:p>
                  <w:pPr>
                    <w:bidi w:val="0"/>
                    <w:spacing w:line="240" w:lineRule="auto"/>
                    <w:jc w:val="center"/>
                    <w:rPr>
                      <w:b/>
                      <w:bCs/>
                      <w:color w:val="auto"/>
                      <w:sz w:val="21"/>
                      <w:szCs w:val="21"/>
                    </w:rPr>
                  </w:pPr>
                  <w:r>
                    <w:rPr>
                      <w:b/>
                      <w:bCs/>
                      <w:color w:val="auto"/>
                      <w:sz w:val="21"/>
                      <w:szCs w:val="21"/>
                    </w:rPr>
                    <w:t>垂直档距</w:t>
                  </w:r>
                </w:p>
                <w:p>
                  <w:pPr>
                    <w:bidi w:val="0"/>
                    <w:spacing w:line="240" w:lineRule="auto"/>
                    <w:jc w:val="center"/>
                    <w:rPr>
                      <w:b/>
                      <w:bCs/>
                      <w:color w:val="auto"/>
                      <w:sz w:val="21"/>
                      <w:szCs w:val="21"/>
                    </w:rPr>
                  </w:pPr>
                  <w:r>
                    <w:rPr>
                      <w:b/>
                      <w:bCs/>
                      <w:color w:val="auto"/>
                      <w:sz w:val="21"/>
                      <w:szCs w:val="21"/>
                    </w:rPr>
                    <w:t>（m）</w:t>
                  </w:r>
                </w:p>
              </w:tc>
              <w:tc>
                <w:tcPr>
                  <w:tcW w:w="1115" w:type="pct"/>
                  <w:vAlign w:val="center"/>
                </w:tcPr>
                <w:p>
                  <w:pPr>
                    <w:bidi w:val="0"/>
                    <w:spacing w:line="240" w:lineRule="auto"/>
                    <w:jc w:val="center"/>
                    <w:rPr>
                      <w:b/>
                      <w:bCs/>
                      <w:color w:val="auto"/>
                      <w:sz w:val="21"/>
                      <w:szCs w:val="21"/>
                    </w:rPr>
                  </w:pPr>
                  <w:r>
                    <w:rPr>
                      <w:rFonts w:hint="default"/>
                      <w:b/>
                      <w:bCs/>
                      <w:color w:val="auto"/>
                      <w:sz w:val="21"/>
                      <w:szCs w:val="21"/>
                    </w:rPr>
                    <w:t>验收阶段实际情况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1</w:t>
                  </w:r>
                </w:p>
              </w:tc>
              <w:tc>
                <w:tcPr>
                  <w:tcW w:w="231" w:type="pct"/>
                  <w:vMerge w:val="restart"/>
                  <w:textDirection w:val="tbRlV"/>
                  <w:vAlign w:val="center"/>
                </w:tcPr>
                <w:p>
                  <w:pPr>
                    <w:bidi w:val="0"/>
                    <w:spacing w:line="240" w:lineRule="auto"/>
                    <w:jc w:val="center"/>
                    <w:rPr>
                      <w:color w:val="auto"/>
                      <w:sz w:val="21"/>
                      <w:szCs w:val="21"/>
                    </w:rPr>
                  </w:pPr>
                  <w:r>
                    <w:rPr>
                      <w:color w:val="auto"/>
                      <w:sz w:val="21"/>
                      <w:szCs w:val="21"/>
                    </w:rPr>
                    <w:t>同 塔 双 回 路</w:t>
                  </w:r>
                </w:p>
              </w:tc>
              <w:tc>
                <w:tcPr>
                  <w:tcW w:w="458" w:type="pct"/>
                  <w:vAlign w:val="center"/>
                </w:tcPr>
                <w:p>
                  <w:pPr>
                    <w:bidi w:val="0"/>
                    <w:spacing w:line="240" w:lineRule="auto"/>
                    <w:jc w:val="center"/>
                    <w:rPr>
                      <w:color w:val="auto"/>
                      <w:sz w:val="21"/>
                      <w:szCs w:val="21"/>
                    </w:rPr>
                  </w:pPr>
                  <w:r>
                    <w:rPr>
                      <w:color w:val="auto"/>
                      <w:sz w:val="21"/>
                      <w:szCs w:val="21"/>
                    </w:rPr>
                    <w:t>直线塔</w:t>
                  </w:r>
                </w:p>
              </w:tc>
              <w:tc>
                <w:tcPr>
                  <w:tcW w:w="483" w:type="pct"/>
                  <w:vMerge w:val="restart"/>
                  <w:vAlign w:val="center"/>
                </w:tcPr>
                <w:p>
                  <w:pPr>
                    <w:bidi w:val="0"/>
                    <w:spacing w:line="240" w:lineRule="auto"/>
                    <w:jc w:val="center"/>
                    <w:rPr>
                      <w:color w:val="auto"/>
                      <w:sz w:val="21"/>
                      <w:szCs w:val="21"/>
                    </w:rPr>
                  </w:pPr>
                </w:p>
                <w:p>
                  <w:pPr>
                    <w:bidi w:val="0"/>
                    <w:spacing w:line="240" w:lineRule="auto"/>
                    <w:jc w:val="center"/>
                    <w:rPr>
                      <w:color w:val="auto"/>
                      <w:sz w:val="21"/>
                      <w:szCs w:val="21"/>
                    </w:rPr>
                  </w:pPr>
                  <w:r>
                    <w:rPr>
                      <w:color w:val="auto"/>
                      <w:sz w:val="21"/>
                      <w:szCs w:val="21"/>
                    </w:rPr>
                    <w:t>IF4-SZ1</w:t>
                  </w:r>
                </w:p>
              </w:tc>
              <w:tc>
                <w:tcPr>
                  <w:tcW w:w="511" w:type="pct"/>
                  <w:vAlign w:val="center"/>
                </w:tcPr>
                <w:p>
                  <w:pPr>
                    <w:bidi w:val="0"/>
                    <w:spacing w:line="240" w:lineRule="auto"/>
                    <w:jc w:val="center"/>
                    <w:rPr>
                      <w:color w:val="auto"/>
                      <w:sz w:val="21"/>
                      <w:szCs w:val="21"/>
                    </w:rPr>
                  </w:pPr>
                  <w:r>
                    <w:rPr>
                      <w:color w:val="auto"/>
                      <w:sz w:val="21"/>
                      <w:szCs w:val="21"/>
                    </w:rPr>
                    <w:t>18</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restart"/>
                  <w:vAlign w:val="center"/>
                </w:tcPr>
                <w:p>
                  <w:pPr>
                    <w:bidi w:val="0"/>
                    <w:spacing w:line="240" w:lineRule="auto"/>
                    <w:jc w:val="center"/>
                    <w:rPr>
                      <w:color w:val="auto"/>
                      <w:sz w:val="21"/>
                      <w:szCs w:val="21"/>
                    </w:rPr>
                  </w:pPr>
                  <w:r>
                    <w:rPr>
                      <w:color w:val="auto"/>
                      <w:sz w:val="21"/>
                      <w:szCs w:val="21"/>
                    </w:rPr>
                    <w:t>3</w:t>
                  </w:r>
                </w:p>
              </w:tc>
              <w:tc>
                <w:tcPr>
                  <w:tcW w:w="578" w:type="pct"/>
                  <w:vAlign w:val="center"/>
                </w:tcPr>
                <w:p>
                  <w:pPr>
                    <w:bidi w:val="0"/>
                    <w:spacing w:line="240" w:lineRule="auto"/>
                    <w:jc w:val="center"/>
                    <w:rPr>
                      <w:color w:val="auto"/>
                      <w:sz w:val="21"/>
                      <w:szCs w:val="21"/>
                    </w:rPr>
                  </w:pPr>
                  <w:r>
                    <w:rPr>
                      <w:color w:val="auto"/>
                      <w:sz w:val="21"/>
                      <w:szCs w:val="21"/>
                    </w:rPr>
                    <w:t>350</w:t>
                  </w:r>
                </w:p>
              </w:tc>
              <w:tc>
                <w:tcPr>
                  <w:tcW w:w="640" w:type="pct"/>
                  <w:vAlign w:val="center"/>
                </w:tcPr>
                <w:p>
                  <w:pPr>
                    <w:bidi w:val="0"/>
                    <w:spacing w:line="240" w:lineRule="auto"/>
                    <w:jc w:val="center"/>
                    <w:rPr>
                      <w:color w:val="auto"/>
                      <w:sz w:val="21"/>
                      <w:szCs w:val="21"/>
                    </w:rPr>
                  </w:pPr>
                  <w:r>
                    <w:rPr>
                      <w:color w:val="auto"/>
                      <w:sz w:val="21"/>
                      <w:szCs w:val="21"/>
                    </w:rPr>
                    <w:t>450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2</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直线塔</w:t>
                  </w:r>
                </w:p>
              </w:tc>
              <w:tc>
                <w:tcPr>
                  <w:tcW w:w="483" w:type="pct"/>
                  <w:vMerge w:val="continue"/>
                  <w:vAlign w:val="center"/>
                </w:tcPr>
                <w:p>
                  <w:pPr>
                    <w:bidi w:val="0"/>
                    <w:spacing w:line="240" w:lineRule="auto"/>
                    <w:jc w:val="center"/>
                    <w:rPr>
                      <w:color w:val="auto"/>
                      <w:sz w:val="21"/>
                      <w:szCs w:val="21"/>
                    </w:rPr>
                  </w:pPr>
                </w:p>
              </w:tc>
              <w:tc>
                <w:tcPr>
                  <w:tcW w:w="511" w:type="pct"/>
                  <w:vAlign w:val="center"/>
                </w:tcPr>
                <w:p>
                  <w:pPr>
                    <w:bidi w:val="0"/>
                    <w:spacing w:line="240" w:lineRule="auto"/>
                    <w:jc w:val="center"/>
                    <w:rPr>
                      <w:color w:val="auto"/>
                      <w:sz w:val="21"/>
                      <w:szCs w:val="21"/>
                    </w:rPr>
                  </w:pPr>
                  <w:r>
                    <w:rPr>
                      <w:color w:val="auto"/>
                      <w:sz w:val="21"/>
                      <w:szCs w:val="21"/>
                    </w:rPr>
                    <w:t>21</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continue"/>
                  <w:vAlign w:val="center"/>
                </w:tcPr>
                <w:p>
                  <w:pPr>
                    <w:bidi w:val="0"/>
                    <w:spacing w:line="240" w:lineRule="auto"/>
                    <w:jc w:val="center"/>
                    <w:rPr>
                      <w:color w:val="auto"/>
                      <w:sz w:val="21"/>
                      <w:szCs w:val="21"/>
                    </w:rPr>
                  </w:pPr>
                </w:p>
              </w:tc>
              <w:tc>
                <w:tcPr>
                  <w:tcW w:w="578" w:type="pct"/>
                  <w:vAlign w:val="center"/>
                </w:tcPr>
                <w:p>
                  <w:pPr>
                    <w:bidi w:val="0"/>
                    <w:spacing w:line="240" w:lineRule="auto"/>
                    <w:jc w:val="center"/>
                    <w:rPr>
                      <w:color w:val="auto"/>
                      <w:sz w:val="21"/>
                      <w:szCs w:val="21"/>
                    </w:rPr>
                  </w:pPr>
                  <w:r>
                    <w:rPr>
                      <w:color w:val="auto"/>
                      <w:sz w:val="21"/>
                      <w:szCs w:val="21"/>
                    </w:rPr>
                    <w:t>350</w:t>
                  </w:r>
                </w:p>
              </w:tc>
              <w:tc>
                <w:tcPr>
                  <w:tcW w:w="640" w:type="pct"/>
                  <w:vAlign w:val="center"/>
                </w:tcPr>
                <w:p>
                  <w:pPr>
                    <w:bidi w:val="0"/>
                    <w:spacing w:line="240" w:lineRule="auto"/>
                    <w:jc w:val="center"/>
                    <w:rPr>
                      <w:color w:val="auto"/>
                      <w:sz w:val="21"/>
                      <w:szCs w:val="21"/>
                    </w:rPr>
                  </w:pPr>
                  <w:r>
                    <w:rPr>
                      <w:color w:val="auto"/>
                      <w:sz w:val="21"/>
                      <w:szCs w:val="21"/>
                    </w:rPr>
                    <w:t>450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3</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直线塔</w:t>
                  </w:r>
                </w:p>
              </w:tc>
              <w:tc>
                <w:tcPr>
                  <w:tcW w:w="483" w:type="pct"/>
                  <w:vMerge w:val="continue"/>
                  <w:vAlign w:val="center"/>
                </w:tcPr>
                <w:p>
                  <w:pPr>
                    <w:bidi w:val="0"/>
                    <w:spacing w:line="240" w:lineRule="auto"/>
                    <w:jc w:val="center"/>
                    <w:rPr>
                      <w:color w:val="auto"/>
                      <w:sz w:val="21"/>
                      <w:szCs w:val="21"/>
                    </w:rPr>
                  </w:pPr>
                </w:p>
              </w:tc>
              <w:tc>
                <w:tcPr>
                  <w:tcW w:w="511" w:type="pct"/>
                  <w:vAlign w:val="center"/>
                </w:tcPr>
                <w:p>
                  <w:pPr>
                    <w:bidi w:val="0"/>
                    <w:spacing w:line="240" w:lineRule="auto"/>
                    <w:jc w:val="center"/>
                    <w:rPr>
                      <w:color w:val="auto"/>
                      <w:sz w:val="21"/>
                      <w:szCs w:val="21"/>
                    </w:rPr>
                  </w:pPr>
                  <w:r>
                    <w:rPr>
                      <w:color w:val="auto"/>
                      <w:sz w:val="21"/>
                      <w:szCs w:val="21"/>
                    </w:rPr>
                    <w:t>24</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continue"/>
                  <w:vAlign w:val="center"/>
                </w:tcPr>
                <w:p>
                  <w:pPr>
                    <w:bidi w:val="0"/>
                    <w:spacing w:line="240" w:lineRule="auto"/>
                    <w:jc w:val="center"/>
                    <w:rPr>
                      <w:color w:val="auto"/>
                      <w:sz w:val="21"/>
                      <w:szCs w:val="21"/>
                    </w:rPr>
                  </w:pPr>
                </w:p>
              </w:tc>
              <w:tc>
                <w:tcPr>
                  <w:tcW w:w="578" w:type="pct"/>
                  <w:vAlign w:val="center"/>
                </w:tcPr>
                <w:p>
                  <w:pPr>
                    <w:bidi w:val="0"/>
                    <w:spacing w:line="240" w:lineRule="auto"/>
                    <w:jc w:val="center"/>
                    <w:rPr>
                      <w:color w:val="auto"/>
                      <w:sz w:val="21"/>
                      <w:szCs w:val="21"/>
                    </w:rPr>
                  </w:pPr>
                  <w:r>
                    <w:rPr>
                      <w:color w:val="auto"/>
                      <w:sz w:val="21"/>
                      <w:szCs w:val="21"/>
                    </w:rPr>
                    <w:t>350</w:t>
                  </w:r>
                </w:p>
              </w:tc>
              <w:tc>
                <w:tcPr>
                  <w:tcW w:w="640" w:type="pct"/>
                  <w:vAlign w:val="center"/>
                </w:tcPr>
                <w:p>
                  <w:pPr>
                    <w:bidi w:val="0"/>
                    <w:spacing w:line="240" w:lineRule="auto"/>
                    <w:jc w:val="center"/>
                    <w:rPr>
                      <w:color w:val="auto"/>
                      <w:sz w:val="21"/>
                      <w:szCs w:val="21"/>
                    </w:rPr>
                  </w:pPr>
                  <w:r>
                    <w:rPr>
                      <w:color w:val="auto"/>
                      <w:sz w:val="21"/>
                      <w:szCs w:val="21"/>
                    </w:rPr>
                    <w:t>450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4</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直线塔</w:t>
                  </w:r>
                </w:p>
              </w:tc>
              <w:tc>
                <w:tcPr>
                  <w:tcW w:w="483" w:type="pct"/>
                  <w:vMerge w:val="restart"/>
                  <w:vAlign w:val="center"/>
                </w:tcPr>
                <w:p>
                  <w:pPr>
                    <w:bidi w:val="0"/>
                    <w:spacing w:line="240" w:lineRule="auto"/>
                    <w:jc w:val="center"/>
                    <w:rPr>
                      <w:color w:val="auto"/>
                      <w:sz w:val="21"/>
                      <w:szCs w:val="21"/>
                    </w:rPr>
                  </w:pPr>
                </w:p>
                <w:p>
                  <w:pPr>
                    <w:bidi w:val="0"/>
                    <w:spacing w:line="240" w:lineRule="auto"/>
                    <w:jc w:val="center"/>
                    <w:rPr>
                      <w:color w:val="auto"/>
                      <w:sz w:val="21"/>
                      <w:szCs w:val="21"/>
                    </w:rPr>
                  </w:pPr>
                </w:p>
                <w:p>
                  <w:pPr>
                    <w:bidi w:val="0"/>
                    <w:spacing w:line="240" w:lineRule="auto"/>
                    <w:jc w:val="center"/>
                    <w:rPr>
                      <w:color w:val="auto"/>
                      <w:sz w:val="21"/>
                      <w:szCs w:val="21"/>
                    </w:rPr>
                  </w:pPr>
                  <w:r>
                    <w:rPr>
                      <w:color w:val="auto"/>
                      <w:sz w:val="21"/>
                      <w:szCs w:val="21"/>
                    </w:rPr>
                    <w:t>IF4-SZ2</w:t>
                  </w:r>
                </w:p>
              </w:tc>
              <w:tc>
                <w:tcPr>
                  <w:tcW w:w="511" w:type="pct"/>
                  <w:vAlign w:val="center"/>
                </w:tcPr>
                <w:p>
                  <w:pPr>
                    <w:bidi w:val="0"/>
                    <w:spacing w:line="240" w:lineRule="auto"/>
                    <w:jc w:val="center"/>
                    <w:rPr>
                      <w:color w:val="auto"/>
                      <w:sz w:val="21"/>
                      <w:szCs w:val="21"/>
                    </w:rPr>
                  </w:pPr>
                  <w:r>
                    <w:rPr>
                      <w:color w:val="auto"/>
                      <w:sz w:val="21"/>
                      <w:szCs w:val="21"/>
                    </w:rPr>
                    <w:t>21</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restart"/>
                  <w:vAlign w:val="center"/>
                </w:tcPr>
                <w:p>
                  <w:pPr>
                    <w:bidi w:val="0"/>
                    <w:spacing w:line="240" w:lineRule="auto"/>
                    <w:jc w:val="center"/>
                    <w:rPr>
                      <w:color w:val="auto"/>
                      <w:sz w:val="21"/>
                      <w:szCs w:val="21"/>
                    </w:rPr>
                  </w:pPr>
                  <w:r>
                    <w:rPr>
                      <w:color w:val="auto"/>
                      <w:sz w:val="21"/>
                      <w:szCs w:val="21"/>
                    </w:rPr>
                    <w:t>6</w:t>
                  </w:r>
                </w:p>
              </w:tc>
              <w:tc>
                <w:tcPr>
                  <w:tcW w:w="578" w:type="pct"/>
                  <w:vAlign w:val="center"/>
                </w:tcPr>
                <w:p>
                  <w:pPr>
                    <w:bidi w:val="0"/>
                    <w:spacing w:line="240" w:lineRule="auto"/>
                    <w:jc w:val="center"/>
                    <w:rPr>
                      <w:color w:val="auto"/>
                      <w:sz w:val="21"/>
                      <w:szCs w:val="21"/>
                    </w:rPr>
                  </w:pPr>
                  <w:r>
                    <w:rPr>
                      <w:color w:val="auto"/>
                      <w:sz w:val="21"/>
                      <w:szCs w:val="21"/>
                    </w:rPr>
                    <w:t>350</w:t>
                  </w:r>
                </w:p>
              </w:tc>
              <w:tc>
                <w:tcPr>
                  <w:tcW w:w="640" w:type="pct"/>
                  <w:vAlign w:val="center"/>
                </w:tcPr>
                <w:p>
                  <w:pPr>
                    <w:bidi w:val="0"/>
                    <w:spacing w:line="240" w:lineRule="auto"/>
                    <w:jc w:val="center"/>
                    <w:rPr>
                      <w:color w:val="auto"/>
                      <w:sz w:val="21"/>
                      <w:szCs w:val="21"/>
                    </w:rPr>
                  </w:pPr>
                  <w:r>
                    <w:rPr>
                      <w:color w:val="auto"/>
                      <w:sz w:val="21"/>
                      <w:szCs w:val="21"/>
                    </w:rPr>
                    <w:t>450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5</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直线塔</w:t>
                  </w:r>
                </w:p>
              </w:tc>
              <w:tc>
                <w:tcPr>
                  <w:tcW w:w="483" w:type="pct"/>
                  <w:vMerge w:val="continue"/>
                  <w:vAlign w:val="center"/>
                </w:tcPr>
                <w:p>
                  <w:pPr>
                    <w:bidi w:val="0"/>
                    <w:spacing w:line="240" w:lineRule="auto"/>
                    <w:jc w:val="center"/>
                    <w:rPr>
                      <w:color w:val="auto"/>
                      <w:sz w:val="21"/>
                      <w:szCs w:val="21"/>
                    </w:rPr>
                  </w:pPr>
                </w:p>
              </w:tc>
              <w:tc>
                <w:tcPr>
                  <w:tcW w:w="511" w:type="pct"/>
                  <w:vAlign w:val="center"/>
                </w:tcPr>
                <w:p>
                  <w:pPr>
                    <w:bidi w:val="0"/>
                    <w:spacing w:line="240" w:lineRule="auto"/>
                    <w:jc w:val="center"/>
                    <w:rPr>
                      <w:color w:val="auto"/>
                      <w:sz w:val="21"/>
                      <w:szCs w:val="21"/>
                    </w:rPr>
                  </w:pPr>
                  <w:r>
                    <w:rPr>
                      <w:color w:val="auto"/>
                      <w:sz w:val="21"/>
                      <w:szCs w:val="21"/>
                    </w:rPr>
                    <w:t>27</w:t>
                  </w:r>
                </w:p>
              </w:tc>
              <w:tc>
                <w:tcPr>
                  <w:tcW w:w="335" w:type="pct"/>
                  <w:vAlign w:val="center"/>
                </w:tcPr>
                <w:p>
                  <w:pPr>
                    <w:bidi w:val="0"/>
                    <w:spacing w:line="240" w:lineRule="auto"/>
                    <w:jc w:val="center"/>
                    <w:rPr>
                      <w:color w:val="auto"/>
                      <w:sz w:val="21"/>
                      <w:szCs w:val="21"/>
                    </w:rPr>
                  </w:pPr>
                  <w:r>
                    <w:rPr>
                      <w:color w:val="auto"/>
                      <w:sz w:val="21"/>
                      <w:szCs w:val="21"/>
                    </w:rPr>
                    <w:t>3</w:t>
                  </w:r>
                </w:p>
              </w:tc>
              <w:tc>
                <w:tcPr>
                  <w:tcW w:w="342" w:type="pct"/>
                  <w:vMerge w:val="continue"/>
                  <w:vAlign w:val="center"/>
                </w:tcPr>
                <w:p>
                  <w:pPr>
                    <w:bidi w:val="0"/>
                    <w:spacing w:line="240" w:lineRule="auto"/>
                    <w:jc w:val="center"/>
                    <w:rPr>
                      <w:color w:val="auto"/>
                      <w:sz w:val="21"/>
                      <w:szCs w:val="21"/>
                    </w:rPr>
                  </w:pPr>
                </w:p>
              </w:tc>
              <w:tc>
                <w:tcPr>
                  <w:tcW w:w="578" w:type="pct"/>
                  <w:vAlign w:val="center"/>
                </w:tcPr>
                <w:p>
                  <w:pPr>
                    <w:bidi w:val="0"/>
                    <w:spacing w:line="240" w:lineRule="auto"/>
                    <w:jc w:val="center"/>
                    <w:rPr>
                      <w:color w:val="auto"/>
                      <w:sz w:val="21"/>
                      <w:szCs w:val="21"/>
                    </w:rPr>
                  </w:pPr>
                  <w:r>
                    <w:rPr>
                      <w:color w:val="auto"/>
                      <w:sz w:val="21"/>
                      <w:szCs w:val="21"/>
                    </w:rPr>
                    <w:t>350</w:t>
                  </w:r>
                </w:p>
              </w:tc>
              <w:tc>
                <w:tcPr>
                  <w:tcW w:w="640" w:type="pct"/>
                  <w:vAlign w:val="center"/>
                </w:tcPr>
                <w:p>
                  <w:pPr>
                    <w:bidi w:val="0"/>
                    <w:spacing w:line="240" w:lineRule="auto"/>
                    <w:jc w:val="center"/>
                    <w:rPr>
                      <w:color w:val="auto"/>
                      <w:sz w:val="21"/>
                      <w:szCs w:val="21"/>
                    </w:rPr>
                  </w:pPr>
                  <w:r>
                    <w:rPr>
                      <w:color w:val="auto"/>
                      <w:sz w:val="21"/>
                      <w:szCs w:val="21"/>
                    </w:rPr>
                    <w:t>450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6</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直线塔</w:t>
                  </w:r>
                </w:p>
              </w:tc>
              <w:tc>
                <w:tcPr>
                  <w:tcW w:w="483" w:type="pct"/>
                  <w:vMerge w:val="continue"/>
                  <w:vAlign w:val="center"/>
                </w:tcPr>
                <w:p>
                  <w:pPr>
                    <w:bidi w:val="0"/>
                    <w:spacing w:line="240" w:lineRule="auto"/>
                    <w:jc w:val="center"/>
                    <w:rPr>
                      <w:color w:val="auto"/>
                      <w:sz w:val="21"/>
                      <w:szCs w:val="21"/>
                    </w:rPr>
                  </w:pPr>
                </w:p>
              </w:tc>
              <w:tc>
                <w:tcPr>
                  <w:tcW w:w="511" w:type="pct"/>
                  <w:vAlign w:val="center"/>
                </w:tcPr>
                <w:p>
                  <w:pPr>
                    <w:bidi w:val="0"/>
                    <w:spacing w:line="240" w:lineRule="auto"/>
                    <w:jc w:val="center"/>
                    <w:rPr>
                      <w:color w:val="auto"/>
                      <w:sz w:val="21"/>
                      <w:szCs w:val="21"/>
                    </w:rPr>
                  </w:pPr>
                  <w:r>
                    <w:rPr>
                      <w:color w:val="auto"/>
                      <w:sz w:val="21"/>
                      <w:szCs w:val="21"/>
                    </w:rPr>
                    <w:t>15</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continue"/>
                  <w:vAlign w:val="center"/>
                </w:tcPr>
                <w:p>
                  <w:pPr>
                    <w:bidi w:val="0"/>
                    <w:spacing w:line="240" w:lineRule="auto"/>
                    <w:jc w:val="center"/>
                    <w:rPr>
                      <w:color w:val="auto"/>
                      <w:sz w:val="21"/>
                      <w:szCs w:val="21"/>
                    </w:rPr>
                  </w:pPr>
                </w:p>
              </w:tc>
              <w:tc>
                <w:tcPr>
                  <w:tcW w:w="578" w:type="pct"/>
                  <w:vAlign w:val="center"/>
                </w:tcPr>
                <w:p>
                  <w:pPr>
                    <w:bidi w:val="0"/>
                    <w:spacing w:line="240" w:lineRule="auto"/>
                    <w:jc w:val="center"/>
                    <w:rPr>
                      <w:color w:val="auto"/>
                      <w:sz w:val="21"/>
                      <w:szCs w:val="21"/>
                    </w:rPr>
                  </w:pPr>
                  <w:r>
                    <w:rPr>
                      <w:color w:val="auto"/>
                      <w:sz w:val="21"/>
                      <w:szCs w:val="21"/>
                    </w:rPr>
                    <w:t>350</w:t>
                  </w:r>
                </w:p>
              </w:tc>
              <w:tc>
                <w:tcPr>
                  <w:tcW w:w="640" w:type="pct"/>
                  <w:vAlign w:val="center"/>
                </w:tcPr>
                <w:p>
                  <w:pPr>
                    <w:bidi w:val="0"/>
                    <w:spacing w:line="240" w:lineRule="auto"/>
                    <w:jc w:val="center"/>
                    <w:rPr>
                      <w:color w:val="auto"/>
                      <w:sz w:val="21"/>
                      <w:szCs w:val="21"/>
                    </w:rPr>
                  </w:pPr>
                  <w:r>
                    <w:rPr>
                      <w:color w:val="auto"/>
                      <w:sz w:val="21"/>
                      <w:szCs w:val="21"/>
                    </w:rPr>
                    <w:t>450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7</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直线塔</w:t>
                  </w:r>
                </w:p>
              </w:tc>
              <w:tc>
                <w:tcPr>
                  <w:tcW w:w="483" w:type="pct"/>
                  <w:vMerge w:val="continue"/>
                  <w:vAlign w:val="center"/>
                </w:tcPr>
                <w:p>
                  <w:pPr>
                    <w:bidi w:val="0"/>
                    <w:spacing w:line="240" w:lineRule="auto"/>
                    <w:jc w:val="center"/>
                    <w:rPr>
                      <w:color w:val="auto"/>
                      <w:sz w:val="21"/>
                      <w:szCs w:val="21"/>
                    </w:rPr>
                  </w:pPr>
                </w:p>
              </w:tc>
              <w:tc>
                <w:tcPr>
                  <w:tcW w:w="511" w:type="pct"/>
                  <w:vAlign w:val="center"/>
                </w:tcPr>
                <w:p>
                  <w:pPr>
                    <w:bidi w:val="0"/>
                    <w:spacing w:line="240" w:lineRule="auto"/>
                    <w:jc w:val="center"/>
                    <w:rPr>
                      <w:color w:val="auto"/>
                      <w:sz w:val="21"/>
                      <w:szCs w:val="21"/>
                    </w:rPr>
                  </w:pPr>
                  <w:r>
                    <w:rPr>
                      <w:color w:val="auto"/>
                      <w:sz w:val="21"/>
                      <w:szCs w:val="21"/>
                    </w:rPr>
                    <w:t>24</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continue"/>
                  <w:vAlign w:val="center"/>
                </w:tcPr>
                <w:p>
                  <w:pPr>
                    <w:bidi w:val="0"/>
                    <w:spacing w:line="240" w:lineRule="auto"/>
                    <w:jc w:val="center"/>
                    <w:rPr>
                      <w:color w:val="auto"/>
                      <w:sz w:val="21"/>
                      <w:szCs w:val="21"/>
                    </w:rPr>
                  </w:pPr>
                </w:p>
              </w:tc>
              <w:tc>
                <w:tcPr>
                  <w:tcW w:w="578" w:type="pct"/>
                  <w:vAlign w:val="center"/>
                </w:tcPr>
                <w:p>
                  <w:pPr>
                    <w:bidi w:val="0"/>
                    <w:spacing w:line="240" w:lineRule="auto"/>
                    <w:jc w:val="center"/>
                    <w:rPr>
                      <w:color w:val="auto"/>
                      <w:sz w:val="21"/>
                      <w:szCs w:val="21"/>
                    </w:rPr>
                  </w:pPr>
                  <w:r>
                    <w:rPr>
                      <w:color w:val="auto"/>
                      <w:sz w:val="21"/>
                      <w:szCs w:val="21"/>
                    </w:rPr>
                    <w:t>350</w:t>
                  </w:r>
                </w:p>
              </w:tc>
              <w:tc>
                <w:tcPr>
                  <w:tcW w:w="640" w:type="pct"/>
                  <w:vAlign w:val="center"/>
                </w:tcPr>
                <w:p>
                  <w:pPr>
                    <w:bidi w:val="0"/>
                    <w:spacing w:line="240" w:lineRule="auto"/>
                    <w:jc w:val="center"/>
                    <w:rPr>
                      <w:color w:val="auto"/>
                      <w:sz w:val="21"/>
                      <w:szCs w:val="21"/>
                    </w:rPr>
                  </w:pPr>
                  <w:r>
                    <w:rPr>
                      <w:color w:val="auto"/>
                      <w:sz w:val="21"/>
                      <w:szCs w:val="21"/>
                    </w:rPr>
                    <w:t>450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8</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直线塔</w:t>
                  </w:r>
                </w:p>
              </w:tc>
              <w:tc>
                <w:tcPr>
                  <w:tcW w:w="483" w:type="pct"/>
                  <w:vAlign w:val="center"/>
                </w:tcPr>
                <w:p>
                  <w:pPr>
                    <w:bidi w:val="0"/>
                    <w:spacing w:line="240" w:lineRule="auto"/>
                    <w:jc w:val="center"/>
                    <w:rPr>
                      <w:color w:val="auto"/>
                      <w:sz w:val="21"/>
                      <w:szCs w:val="21"/>
                    </w:rPr>
                  </w:pPr>
                  <w:r>
                    <w:rPr>
                      <w:color w:val="auto"/>
                      <w:sz w:val="21"/>
                      <w:szCs w:val="21"/>
                    </w:rPr>
                    <w:t>IF4-SZ3</w:t>
                  </w:r>
                </w:p>
              </w:tc>
              <w:tc>
                <w:tcPr>
                  <w:tcW w:w="511" w:type="pct"/>
                  <w:vAlign w:val="center"/>
                </w:tcPr>
                <w:p>
                  <w:pPr>
                    <w:bidi w:val="0"/>
                    <w:spacing w:line="240" w:lineRule="auto"/>
                    <w:jc w:val="center"/>
                    <w:rPr>
                      <w:color w:val="auto"/>
                      <w:sz w:val="21"/>
                      <w:szCs w:val="21"/>
                    </w:rPr>
                  </w:pPr>
                  <w:r>
                    <w:rPr>
                      <w:color w:val="auto"/>
                      <w:sz w:val="21"/>
                      <w:szCs w:val="21"/>
                    </w:rPr>
                    <w:t>36</w:t>
                  </w:r>
                </w:p>
              </w:tc>
              <w:tc>
                <w:tcPr>
                  <w:tcW w:w="335" w:type="pct"/>
                  <w:vAlign w:val="center"/>
                </w:tcPr>
                <w:p>
                  <w:pPr>
                    <w:bidi w:val="0"/>
                    <w:spacing w:line="240" w:lineRule="auto"/>
                    <w:jc w:val="center"/>
                    <w:rPr>
                      <w:color w:val="auto"/>
                      <w:sz w:val="21"/>
                      <w:szCs w:val="21"/>
                    </w:rPr>
                  </w:pPr>
                  <w:r>
                    <w:rPr>
                      <w:color w:val="auto"/>
                      <w:sz w:val="21"/>
                      <w:szCs w:val="21"/>
                    </w:rPr>
                    <w:t>2</w:t>
                  </w:r>
                </w:p>
              </w:tc>
              <w:tc>
                <w:tcPr>
                  <w:tcW w:w="342" w:type="pct"/>
                  <w:vAlign w:val="center"/>
                </w:tcPr>
                <w:p>
                  <w:pPr>
                    <w:bidi w:val="0"/>
                    <w:spacing w:line="240" w:lineRule="auto"/>
                    <w:jc w:val="center"/>
                    <w:rPr>
                      <w:color w:val="auto"/>
                      <w:sz w:val="21"/>
                      <w:szCs w:val="21"/>
                    </w:rPr>
                  </w:pPr>
                  <w:r>
                    <w:rPr>
                      <w:color w:val="auto"/>
                      <w:sz w:val="21"/>
                      <w:szCs w:val="21"/>
                    </w:rPr>
                    <w:t>2</w:t>
                  </w:r>
                </w:p>
              </w:tc>
              <w:tc>
                <w:tcPr>
                  <w:tcW w:w="578" w:type="pct"/>
                  <w:vAlign w:val="center"/>
                </w:tcPr>
                <w:p>
                  <w:pPr>
                    <w:bidi w:val="0"/>
                    <w:spacing w:line="240" w:lineRule="auto"/>
                    <w:jc w:val="center"/>
                    <w:rPr>
                      <w:color w:val="auto"/>
                      <w:sz w:val="21"/>
                      <w:szCs w:val="21"/>
                    </w:rPr>
                  </w:pPr>
                  <w:r>
                    <w:rPr>
                      <w:color w:val="auto"/>
                      <w:sz w:val="21"/>
                      <w:szCs w:val="21"/>
                    </w:rPr>
                    <w:t>500</w:t>
                  </w:r>
                </w:p>
              </w:tc>
              <w:tc>
                <w:tcPr>
                  <w:tcW w:w="640" w:type="pct"/>
                  <w:vAlign w:val="center"/>
                </w:tcPr>
                <w:p>
                  <w:pPr>
                    <w:bidi w:val="0"/>
                    <w:spacing w:line="240" w:lineRule="auto"/>
                    <w:jc w:val="center"/>
                    <w:rPr>
                      <w:color w:val="auto"/>
                      <w:sz w:val="21"/>
                      <w:szCs w:val="21"/>
                    </w:rPr>
                  </w:pPr>
                  <w:r>
                    <w:rPr>
                      <w:color w:val="auto"/>
                      <w:sz w:val="21"/>
                      <w:szCs w:val="21"/>
                    </w:rPr>
                    <w:t>700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9</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转角塔</w:t>
                  </w:r>
                </w:p>
              </w:tc>
              <w:tc>
                <w:tcPr>
                  <w:tcW w:w="483" w:type="pct"/>
                  <w:vMerge w:val="restart"/>
                  <w:vAlign w:val="center"/>
                </w:tcPr>
                <w:p>
                  <w:pPr>
                    <w:bidi w:val="0"/>
                    <w:spacing w:line="240" w:lineRule="auto"/>
                    <w:jc w:val="center"/>
                    <w:rPr>
                      <w:color w:val="auto"/>
                      <w:sz w:val="21"/>
                      <w:szCs w:val="21"/>
                    </w:rPr>
                  </w:pPr>
                  <w:r>
                    <w:rPr>
                      <w:color w:val="auto"/>
                      <w:sz w:val="21"/>
                      <w:szCs w:val="21"/>
                    </w:rPr>
                    <w:t>IF4-SJ2</w:t>
                  </w:r>
                </w:p>
              </w:tc>
              <w:tc>
                <w:tcPr>
                  <w:tcW w:w="511" w:type="pct"/>
                  <w:vAlign w:val="center"/>
                </w:tcPr>
                <w:p>
                  <w:pPr>
                    <w:bidi w:val="0"/>
                    <w:spacing w:line="240" w:lineRule="auto"/>
                    <w:jc w:val="center"/>
                    <w:rPr>
                      <w:color w:val="auto"/>
                      <w:sz w:val="21"/>
                      <w:szCs w:val="21"/>
                    </w:rPr>
                  </w:pPr>
                  <w:r>
                    <w:rPr>
                      <w:color w:val="auto"/>
                      <w:sz w:val="21"/>
                      <w:szCs w:val="21"/>
                    </w:rPr>
                    <w:t>15</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restart"/>
                  <w:vAlign w:val="center"/>
                </w:tcPr>
                <w:p>
                  <w:pPr>
                    <w:bidi w:val="0"/>
                    <w:spacing w:line="240" w:lineRule="auto"/>
                    <w:jc w:val="center"/>
                    <w:rPr>
                      <w:color w:val="auto"/>
                      <w:sz w:val="21"/>
                      <w:szCs w:val="21"/>
                    </w:rPr>
                  </w:pPr>
                  <w:r>
                    <w:rPr>
                      <w:color w:val="auto"/>
                      <w:sz w:val="21"/>
                      <w:szCs w:val="21"/>
                    </w:rPr>
                    <w:t>2</w:t>
                  </w:r>
                </w:p>
              </w:tc>
              <w:tc>
                <w:tcPr>
                  <w:tcW w:w="578" w:type="pct"/>
                  <w:vAlign w:val="center"/>
                </w:tcPr>
                <w:p>
                  <w:pPr>
                    <w:bidi w:val="0"/>
                    <w:spacing w:line="240" w:lineRule="auto"/>
                    <w:jc w:val="center"/>
                    <w:rPr>
                      <w:color w:val="auto"/>
                      <w:sz w:val="21"/>
                      <w:szCs w:val="21"/>
                    </w:rPr>
                  </w:pPr>
                  <w:r>
                    <w:rPr>
                      <w:color w:val="auto"/>
                      <w:sz w:val="21"/>
                      <w:szCs w:val="21"/>
                    </w:rPr>
                    <w:t>400</w:t>
                  </w:r>
                </w:p>
              </w:tc>
              <w:tc>
                <w:tcPr>
                  <w:tcW w:w="640" w:type="pct"/>
                  <w:vAlign w:val="center"/>
                </w:tcPr>
                <w:p>
                  <w:pPr>
                    <w:bidi w:val="0"/>
                    <w:spacing w:line="240" w:lineRule="auto"/>
                    <w:jc w:val="center"/>
                    <w:rPr>
                      <w:color w:val="auto"/>
                      <w:sz w:val="21"/>
                      <w:szCs w:val="21"/>
                    </w:rPr>
                  </w:pPr>
                  <w:r>
                    <w:rPr>
                      <w:color w:val="auto"/>
                      <w:sz w:val="21"/>
                      <w:szCs w:val="21"/>
                    </w:rPr>
                    <w:t>500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10</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转角塔</w:t>
                  </w:r>
                </w:p>
              </w:tc>
              <w:tc>
                <w:tcPr>
                  <w:tcW w:w="483" w:type="pct"/>
                  <w:vMerge w:val="continue"/>
                  <w:vAlign w:val="center"/>
                </w:tcPr>
                <w:p>
                  <w:pPr>
                    <w:bidi w:val="0"/>
                    <w:spacing w:line="240" w:lineRule="auto"/>
                    <w:jc w:val="center"/>
                    <w:rPr>
                      <w:color w:val="auto"/>
                      <w:sz w:val="21"/>
                      <w:szCs w:val="21"/>
                    </w:rPr>
                  </w:pPr>
                </w:p>
              </w:tc>
              <w:tc>
                <w:tcPr>
                  <w:tcW w:w="511" w:type="pct"/>
                  <w:vAlign w:val="center"/>
                </w:tcPr>
                <w:p>
                  <w:pPr>
                    <w:bidi w:val="0"/>
                    <w:spacing w:line="240" w:lineRule="auto"/>
                    <w:jc w:val="center"/>
                    <w:rPr>
                      <w:color w:val="auto"/>
                      <w:sz w:val="21"/>
                      <w:szCs w:val="21"/>
                    </w:rPr>
                  </w:pPr>
                  <w:r>
                    <w:rPr>
                      <w:color w:val="auto"/>
                      <w:sz w:val="21"/>
                      <w:szCs w:val="21"/>
                    </w:rPr>
                    <w:t>24</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continue"/>
                  <w:vAlign w:val="center"/>
                </w:tcPr>
                <w:p>
                  <w:pPr>
                    <w:bidi w:val="0"/>
                    <w:spacing w:line="240" w:lineRule="auto"/>
                    <w:jc w:val="center"/>
                    <w:rPr>
                      <w:color w:val="auto"/>
                      <w:sz w:val="21"/>
                      <w:szCs w:val="21"/>
                    </w:rPr>
                  </w:pPr>
                </w:p>
              </w:tc>
              <w:tc>
                <w:tcPr>
                  <w:tcW w:w="578" w:type="pct"/>
                  <w:vAlign w:val="center"/>
                </w:tcPr>
                <w:p>
                  <w:pPr>
                    <w:bidi w:val="0"/>
                    <w:spacing w:line="240" w:lineRule="auto"/>
                    <w:jc w:val="center"/>
                    <w:rPr>
                      <w:color w:val="auto"/>
                      <w:sz w:val="21"/>
                      <w:szCs w:val="21"/>
                    </w:rPr>
                  </w:pPr>
                  <w:r>
                    <w:rPr>
                      <w:color w:val="auto"/>
                      <w:sz w:val="21"/>
                      <w:szCs w:val="21"/>
                    </w:rPr>
                    <w:t>400</w:t>
                  </w:r>
                </w:p>
              </w:tc>
              <w:tc>
                <w:tcPr>
                  <w:tcW w:w="640" w:type="pct"/>
                  <w:vAlign w:val="center"/>
                </w:tcPr>
                <w:p>
                  <w:pPr>
                    <w:bidi w:val="0"/>
                    <w:spacing w:line="240" w:lineRule="auto"/>
                    <w:jc w:val="center"/>
                    <w:rPr>
                      <w:color w:val="auto"/>
                      <w:sz w:val="21"/>
                      <w:szCs w:val="21"/>
                    </w:rPr>
                  </w:pPr>
                  <w:r>
                    <w:rPr>
                      <w:color w:val="auto"/>
                      <w:sz w:val="21"/>
                      <w:szCs w:val="21"/>
                    </w:rPr>
                    <w:t>500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11</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转角塔</w:t>
                  </w:r>
                </w:p>
              </w:tc>
              <w:tc>
                <w:tcPr>
                  <w:tcW w:w="483" w:type="pct"/>
                  <w:vAlign w:val="center"/>
                </w:tcPr>
                <w:p>
                  <w:pPr>
                    <w:bidi w:val="0"/>
                    <w:spacing w:line="240" w:lineRule="auto"/>
                    <w:jc w:val="center"/>
                    <w:rPr>
                      <w:color w:val="auto"/>
                      <w:sz w:val="21"/>
                      <w:szCs w:val="21"/>
                    </w:rPr>
                  </w:pPr>
                  <w:r>
                    <w:rPr>
                      <w:color w:val="auto"/>
                      <w:sz w:val="21"/>
                      <w:szCs w:val="21"/>
                    </w:rPr>
                    <w:t>IF4-SJ3</w:t>
                  </w:r>
                </w:p>
              </w:tc>
              <w:tc>
                <w:tcPr>
                  <w:tcW w:w="511" w:type="pct"/>
                  <w:vAlign w:val="center"/>
                </w:tcPr>
                <w:p>
                  <w:pPr>
                    <w:bidi w:val="0"/>
                    <w:spacing w:line="240" w:lineRule="auto"/>
                    <w:jc w:val="center"/>
                    <w:rPr>
                      <w:color w:val="auto"/>
                      <w:sz w:val="21"/>
                      <w:szCs w:val="21"/>
                    </w:rPr>
                  </w:pPr>
                  <w:r>
                    <w:rPr>
                      <w:color w:val="auto"/>
                      <w:sz w:val="21"/>
                      <w:szCs w:val="21"/>
                    </w:rPr>
                    <w:t>21</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Align w:val="center"/>
                </w:tcPr>
                <w:p>
                  <w:pPr>
                    <w:bidi w:val="0"/>
                    <w:spacing w:line="240" w:lineRule="auto"/>
                    <w:jc w:val="center"/>
                    <w:rPr>
                      <w:color w:val="auto"/>
                      <w:sz w:val="21"/>
                      <w:szCs w:val="21"/>
                    </w:rPr>
                  </w:pPr>
                  <w:r>
                    <w:rPr>
                      <w:color w:val="auto"/>
                      <w:sz w:val="21"/>
                      <w:szCs w:val="21"/>
                    </w:rPr>
                    <w:t>1</w:t>
                  </w:r>
                </w:p>
              </w:tc>
              <w:tc>
                <w:tcPr>
                  <w:tcW w:w="578" w:type="pct"/>
                  <w:vAlign w:val="center"/>
                </w:tcPr>
                <w:p>
                  <w:pPr>
                    <w:bidi w:val="0"/>
                    <w:spacing w:line="240" w:lineRule="auto"/>
                    <w:jc w:val="center"/>
                    <w:rPr>
                      <w:color w:val="auto"/>
                      <w:sz w:val="21"/>
                      <w:szCs w:val="21"/>
                    </w:rPr>
                  </w:pPr>
                  <w:r>
                    <w:rPr>
                      <w:color w:val="auto"/>
                      <w:sz w:val="21"/>
                      <w:szCs w:val="21"/>
                    </w:rPr>
                    <w:t>400</w:t>
                  </w:r>
                </w:p>
              </w:tc>
              <w:tc>
                <w:tcPr>
                  <w:tcW w:w="640" w:type="pct"/>
                  <w:vAlign w:val="center"/>
                </w:tcPr>
                <w:p>
                  <w:pPr>
                    <w:bidi w:val="0"/>
                    <w:spacing w:line="240" w:lineRule="auto"/>
                    <w:jc w:val="center"/>
                    <w:rPr>
                      <w:color w:val="auto"/>
                      <w:sz w:val="21"/>
                      <w:szCs w:val="21"/>
                    </w:rPr>
                  </w:pPr>
                  <w:r>
                    <w:rPr>
                      <w:color w:val="auto"/>
                      <w:sz w:val="21"/>
                      <w:szCs w:val="21"/>
                    </w:rPr>
                    <w:t>400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12</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转角塔</w:t>
                  </w:r>
                </w:p>
              </w:tc>
              <w:tc>
                <w:tcPr>
                  <w:tcW w:w="483" w:type="pct"/>
                  <w:vAlign w:val="center"/>
                </w:tcPr>
                <w:p>
                  <w:pPr>
                    <w:bidi w:val="0"/>
                    <w:spacing w:line="240" w:lineRule="auto"/>
                    <w:jc w:val="center"/>
                    <w:rPr>
                      <w:color w:val="auto"/>
                      <w:sz w:val="21"/>
                      <w:szCs w:val="21"/>
                    </w:rPr>
                  </w:pPr>
                  <w:r>
                    <w:rPr>
                      <w:color w:val="auto"/>
                      <w:sz w:val="21"/>
                      <w:szCs w:val="21"/>
                    </w:rPr>
                    <w:t>IF4-SJ4</w:t>
                  </w:r>
                </w:p>
              </w:tc>
              <w:tc>
                <w:tcPr>
                  <w:tcW w:w="511" w:type="pct"/>
                  <w:vAlign w:val="center"/>
                </w:tcPr>
                <w:p>
                  <w:pPr>
                    <w:bidi w:val="0"/>
                    <w:spacing w:line="240" w:lineRule="auto"/>
                    <w:jc w:val="center"/>
                    <w:rPr>
                      <w:color w:val="auto"/>
                      <w:sz w:val="21"/>
                      <w:szCs w:val="21"/>
                    </w:rPr>
                  </w:pPr>
                  <w:r>
                    <w:rPr>
                      <w:color w:val="auto"/>
                      <w:sz w:val="21"/>
                      <w:szCs w:val="21"/>
                    </w:rPr>
                    <w:t>18</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Align w:val="center"/>
                </w:tcPr>
                <w:p>
                  <w:pPr>
                    <w:bidi w:val="0"/>
                    <w:spacing w:line="240" w:lineRule="auto"/>
                    <w:jc w:val="center"/>
                    <w:rPr>
                      <w:color w:val="auto"/>
                      <w:sz w:val="21"/>
                      <w:szCs w:val="21"/>
                    </w:rPr>
                  </w:pPr>
                  <w:r>
                    <w:rPr>
                      <w:color w:val="auto"/>
                      <w:sz w:val="21"/>
                      <w:szCs w:val="21"/>
                    </w:rPr>
                    <w:t>1</w:t>
                  </w:r>
                </w:p>
              </w:tc>
              <w:tc>
                <w:tcPr>
                  <w:tcW w:w="578" w:type="pct"/>
                  <w:vAlign w:val="center"/>
                </w:tcPr>
                <w:p>
                  <w:pPr>
                    <w:bidi w:val="0"/>
                    <w:spacing w:line="240" w:lineRule="auto"/>
                    <w:jc w:val="center"/>
                    <w:rPr>
                      <w:color w:val="auto"/>
                      <w:sz w:val="21"/>
                      <w:szCs w:val="21"/>
                    </w:rPr>
                  </w:pPr>
                  <w:r>
                    <w:rPr>
                      <w:color w:val="auto"/>
                      <w:sz w:val="21"/>
                      <w:szCs w:val="21"/>
                    </w:rPr>
                    <w:t>400</w:t>
                  </w:r>
                </w:p>
              </w:tc>
              <w:tc>
                <w:tcPr>
                  <w:tcW w:w="640" w:type="pct"/>
                  <w:vAlign w:val="center"/>
                </w:tcPr>
                <w:p>
                  <w:pPr>
                    <w:bidi w:val="0"/>
                    <w:spacing w:line="240" w:lineRule="auto"/>
                    <w:jc w:val="center"/>
                    <w:rPr>
                      <w:color w:val="auto"/>
                      <w:sz w:val="21"/>
                      <w:szCs w:val="21"/>
                    </w:rPr>
                  </w:pPr>
                  <w:r>
                    <w:rPr>
                      <w:color w:val="auto"/>
                      <w:sz w:val="21"/>
                      <w:szCs w:val="21"/>
                    </w:rPr>
                    <w:t>400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13</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转角塔</w:t>
                  </w:r>
                </w:p>
              </w:tc>
              <w:tc>
                <w:tcPr>
                  <w:tcW w:w="483" w:type="pct"/>
                  <w:vMerge w:val="restart"/>
                  <w:vAlign w:val="center"/>
                </w:tcPr>
                <w:p>
                  <w:pPr>
                    <w:bidi w:val="0"/>
                    <w:spacing w:line="240" w:lineRule="auto"/>
                    <w:jc w:val="center"/>
                    <w:rPr>
                      <w:color w:val="auto"/>
                      <w:sz w:val="21"/>
                      <w:szCs w:val="21"/>
                    </w:rPr>
                  </w:pPr>
                  <w:r>
                    <w:rPr>
                      <w:color w:val="auto"/>
                      <w:sz w:val="21"/>
                      <w:szCs w:val="21"/>
                    </w:rPr>
                    <w:t>IF4-SDJ</w:t>
                  </w:r>
                </w:p>
              </w:tc>
              <w:tc>
                <w:tcPr>
                  <w:tcW w:w="511" w:type="pct"/>
                  <w:vAlign w:val="center"/>
                </w:tcPr>
                <w:p>
                  <w:pPr>
                    <w:bidi w:val="0"/>
                    <w:spacing w:line="240" w:lineRule="auto"/>
                    <w:jc w:val="center"/>
                    <w:rPr>
                      <w:color w:val="auto"/>
                      <w:sz w:val="21"/>
                      <w:szCs w:val="21"/>
                    </w:rPr>
                  </w:pPr>
                  <w:r>
                    <w:rPr>
                      <w:color w:val="auto"/>
                      <w:sz w:val="21"/>
                      <w:szCs w:val="21"/>
                    </w:rPr>
                    <w:t>18</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restart"/>
                  <w:vAlign w:val="center"/>
                </w:tcPr>
                <w:p>
                  <w:pPr>
                    <w:bidi w:val="0"/>
                    <w:spacing w:line="240" w:lineRule="auto"/>
                    <w:jc w:val="center"/>
                    <w:rPr>
                      <w:color w:val="auto"/>
                      <w:sz w:val="21"/>
                      <w:szCs w:val="21"/>
                    </w:rPr>
                  </w:pPr>
                  <w:r>
                    <w:rPr>
                      <w:color w:val="auto"/>
                      <w:sz w:val="21"/>
                      <w:szCs w:val="21"/>
                    </w:rPr>
                    <w:t>2</w:t>
                  </w:r>
                </w:p>
              </w:tc>
              <w:tc>
                <w:tcPr>
                  <w:tcW w:w="578" w:type="pct"/>
                  <w:vAlign w:val="center"/>
                </w:tcPr>
                <w:p>
                  <w:pPr>
                    <w:bidi w:val="0"/>
                    <w:spacing w:line="240" w:lineRule="auto"/>
                    <w:jc w:val="center"/>
                    <w:rPr>
                      <w:color w:val="auto"/>
                      <w:sz w:val="21"/>
                      <w:szCs w:val="21"/>
                    </w:rPr>
                  </w:pPr>
                  <w:r>
                    <w:rPr>
                      <w:color w:val="auto"/>
                      <w:sz w:val="21"/>
                      <w:szCs w:val="21"/>
                    </w:rPr>
                    <w:t>400</w:t>
                  </w:r>
                </w:p>
              </w:tc>
              <w:tc>
                <w:tcPr>
                  <w:tcW w:w="640" w:type="pct"/>
                  <w:vAlign w:val="center"/>
                </w:tcPr>
                <w:p>
                  <w:pPr>
                    <w:bidi w:val="0"/>
                    <w:spacing w:line="240" w:lineRule="auto"/>
                    <w:jc w:val="center"/>
                    <w:rPr>
                      <w:color w:val="auto"/>
                      <w:sz w:val="21"/>
                      <w:szCs w:val="21"/>
                    </w:rPr>
                  </w:pPr>
                  <w:r>
                    <w:rPr>
                      <w:color w:val="auto"/>
                      <w:sz w:val="21"/>
                      <w:szCs w:val="21"/>
                    </w:rPr>
                    <w:t>500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2" w:type="pct"/>
                  <w:vAlign w:val="center"/>
                </w:tcPr>
                <w:p>
                  <w:pPr>
                    <w:bidi w:val="0"/>
                    <w:spacing w:line="240" w:lineRule="auto"/>
                    <w:jc w:val="center"/>
                    <w:rPr>
                      <w:color w:val="auto"/>
                      <w:sz w:val="21"/>
                      <w:szCs w:val="21"/>
                    </w:rPr>
                  </w:pPr>
                  <w:r>
                    <w:rPr>
                      <w:color w:val="auto"/>
                      <w:sz w:val="21"/>
                      <w:szCs w:val="21"/>
                    </w:rPr>
                    <w:t>14</w:t>
                  </w:r>
                </w:p>
              </w:tc>
              <w:tc>
                <w:tcPr>
                  <w:tcW w:w="231" w:type="pct"/>
                  <w:vMerge w:val="continue"/>
                  <w:textDirection w:val="tbRlV"/>
                  <w:vAlign w:val="center"/>
                </w:tcPr>
                <w:p>
                  <w:pPr>
                    <w:bidi w:val="0"/>
                    <w:spacing w:line="240" w:lineRule="auto"/>
                    <w:jc w:val="center"/>
                    <w:rPr>
                      <w:color w:val="auto"/>
                      <w:sz w:val="21"/>
                      <w:szCs w:val="21"/>
                    </w:rPr>
                  </w:pPr>
                </w:p>
              </w:tc>
              <w:tc>
                <w:tcPr>
                  <w:tcW w:w="458" w:type="pct"/>
                  <w:vAlign w:val="center"/>
                </w:tcPr>
                <w:p>
                  <w:pPr>
                    <w:bidi w:val="0"/>
                    <w:spacing w:line="240" w:lineRule="auto"/>
                    <w:jc w:val="center"/>
                    <w:rPr>
                      <w:color w:val="auto"/>
                      <w:sz w:val="21"/>
                      <w:szCs w:val="21"/>
                    </w:rPr>
                  </w:pPr>
                  <w:r>
                    <w:rPr>
                      <w:color w:val="auto"/>
                      <w:sz w:val="21"/>
                      <w:szCs w:val="21"/>
                    </w:rPr>
                    <w:t>转角塔</w:t>
                  </w:r>
                </w:p>
              </w:tc>
              <w:tc>
                <w:tcPr>
                  <w:tcW w:w="483" w:type="pct"/>
                  <w:vMerge w:val="continue"/>
                  <w:vAlign w:val="center"/>
                </w:tcPr>
                <w:p>
                  <w:pPr>
                    <w:bidi w:val="0"/>
                    <w:spacing w:line="240" w:lineRule="auto"/>
                    <w:jc w:val="center"/>
                    <w:rPr>
                      <w:color w:val="auto"/>
                      <w:sz w:val="21"/>
                      <w:szCs w:val="21"/>
                    </w:rPr>
                  </w:pPr>
                </w:p>
              </w:tc>
              <w:tc>
                <w:tcPr>
                  <w:tcW w:w="511" w:type="pct"/>
                  <w:vAlign w:val="center"/>
                </w:tcPr>
                <w:p>
                  <w:pPr>
                    <w:bidi w:val="0"/>
                    <w:spacing w:line="240" w:lineRule="auto"/>
                    <w:jc w:val="center"/>
                    <w:rPr>
                      <w:color w:val="auto"/>
                      <w:sz w:val="21"/>
                      <w:szCs w:val="21"/>
                    </w:rPr>
                  </w:pPr>
                  <w:r>
                    <w:rPr>
                      <w:color w:val="auto"/>
                      <w:sz w:val="21"/>
                      <w:szCs w:val="21"/>
                    </w:rPr>
                    <w:t>21</w:t>
                  </w:r>
                </w:p>
              </w:tc>
              <w:tc>
                <w:tcPr>
                  <w:tcW w:w="335" w:type="pct"/>
                  <w:vAlign w:val="center"/>
                </w:tcPr>
                <w:p>
                  <w:pPr>
                    <w:bidi w:val="0"/>
                    <w:spacing w:line="240" w:lineRule="auto"/>
                    <w:jc w:val="center"/>
                    <w:rPr>
                      <w:color w:val="auto"/>
                      <w:sz w:val="21"/>
                      <w:szCs w:val="21"/>
                    </w:rPr>
                  </w:pPr>
                  <w:r>
                    <w:rPr>
                      <w:color w:val="auto"/>
                      <w:sz w:val="21"/>
                      <w:szCs w:val="21"/>
                    </w:rPr>
                    <w:t>1</w:t>
                  </w:r>
                </w:p>
              </w:tc>
              <w:tc>
                <w:tcPr>
                  <w:tcW w:w="342" w:type="pct"/>
                  <w:vMerge w:val="continue"/>
                  <w:vAlign w:val="center"/>
                </w:tcPr>
                <w:p>
                  <w:pPr>
                    <w:bidi w:val="0"/>
                    <w:spacing w:line="240" w:lineRule="auto"/>
                    <w:jc w:val="center"/>
                    <w:rPr>
                      <w:color w:val="auto"/>
                      <w:sz w:val="21"/>
                      <w:szCs w:val="21"/>
                    </w:rPr>
                  </w:pPr>
                </w:p>
              </w:tc>
              <w:tc>
                <w:tcPr>
                  <w:tcW w:w="578" w:type="pct"/>
                  <w:vAlign w:val="center"/>
                </w:tcPr>
                <w:p>
                  <w:pPr>
                    <w:bidi w:val="0"/>
                    <w:spacing w:line="240" w:lineRule="auto"/>
                    <w:jc w:val="center"/>
                    <w:rPr>
                      <w:color w:val="auto"/>
                      <w:sz w:val="21"/>
                      <w:szCs w:val="21"/>
                    </w:rPr>
                  </w:pPr>
                  <w:r>
                    <w:rPr>
                      <w:color w:val="auto"/>
                      <w:sz w:val="21"/>
                      <w:szCs w:val="21"/>
                    </w:rPr>
                    <w:t>400</w:t>
                  </w:r>
                </w:p>
              </w:tc>
              <w:tc>
                <w:tcPr>
                  <w:tcW w:w="640" w:type="pct"/>
                  <w:vAlign w:val="center"/>
                </w:tcPr>
                <w:p>
                  <w:pPr>
                    <w:bidi w:val="0"/>
                    <w:spacing w:line="240" w:lineRule="auto"/>
                    <w:jc w:val="center"/>
                    <w:rPr>
                      <w:color w:val="auto"/>
                      <w:sz w:val="21"/>
                      <w:szCs w:val="21"/>
                    </w:rPr>
                  </w:pPr>
                  <w:r>
                    <w:rPr>
                      <w:color w:val="auto"/>
                      <w:sz w:val="21"/>
                      <w:szCs w:val="21"/>
                    </w:rPr>
                    <w:t>500</w:t>
                  </w:r>
                </w:p>
              </w:tc>
              <w:tc>
                <w:tcPr>
                  <w:tcW w:w="1115"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22" w:type="pct"/>
                  <w:gridSpan w:val="6"/>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合计</w:t>
                  </w:r>
                </w:p>
              </w:tc>
              <w:tc>
                <w:tcPr>
                  <w:tcW w:w="342" w:type="pct"/>
                  <w:vAlign w:val="center"/>
                </w:tcPr>
                <w:p>
                  <w:pPr>
                    <w:bidi w:val="0"/>
                    <w:spacing w:line="240" w:lineRule="auto"/>
                    <w:jc w:val="center"/>
                    <w:rPr>
                      <w:color w:val="auto"/>
                      <w:sz w:val="21"/>
                      <w:szCs w:val="21"/>
                    </w:rPr>
                  </w:pPr>
                  <w:r>
                    <w:rPr>
                      <w:rFonts w:hint="eastAsia"/>
                      <w:color w:val="auto"/>
                      <w:sz w:val="21"/>
                      <w:szCs w:val="21"/>
                      <w:lang w:val="en-US" w:eastAsia="zh-CN"/>
                    </w:rPr>
                    <w:t>17</w:t>
                  </w:r>
                </w:p>
              </w:tc>
              <w:tc>
                <w:tcPr>
                  <w:tcW w:w="578"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w:t>
                  </w:r>
                </w:p>
              </w:tc>
              <w:tc>
                <w:tcPr>
                  <w:tcW w:w="640"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w:t>
                  </w:r>
                </w:p>
              </w:tc>
              <w:tc>
                <w:tcPr>
                  <w:tcW w:w="1115" w:type="pct"/>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与环评阶段建设一致</w:t>
                  </w:r>
                </w:p>
              </w:tc>
            </w:tr>
          </w:tbl>
          <w:p>
            <w:pPr>
              <w:bidi w:val="0"/>
              <w:ind w:firstLine="482" w:firstLineChars="200"/>
              <w:rPr>
                <w:b/>
                <w:bCs/>
                <w:color w:val="auto"/>
              </w:rPr>
            </w:pPr>
            <w:r>
              <w:rPr>
                <w:rFonts w:hint="eastAsia"/>
                <w:b/>
                <w:bCs/>
                <w:color w:val="auto"/>
              </w:rPr>
              <w:t>③</w:t>
            </w:r>
            <w:r>
              <w:rPr>
                <w:b/>
                <w:bCs/>
                <w:color w:val="auto"/>
              </w:rPr>
              <w:t>交叉跨越情况</w:t>
            </w:r>
          </w:p>
          <w:p>
            <w:pPr>
              <w:bidi w:val="0"/>
              <w:ind w:firstLine="480" w:firstLineChars="200"/>
              <w:rPr>
                <w:color w:val="auto"/>
              </w:rPr>
            </w:pPr>
            <w:r>
              <w:rPr>
                <w:color w:val="auto"/>
              </w:rPr>
              <w:t>本工程输电线路沿途钻越1100kV吉泉线、钻越800kV哈郑线、钻越800kV酒湖线，电力线等公用设施情况，具体见表</w:t>
            </w:r>
            <w:r>
              <w:rPr>
                <w:rFonts w:hint="eastAsia"/>
                <w:color w:val="auto"/>
                <w:lang w:val="en-US" w:eastAsia="zh-CN"/>
              </w:rPr>
              <w:t>4-4</w:t>
            </w:r>
            <w:r>
              <w:rPr>
                <w:color w:val="auto"/>
              </w:rPr>
              <w:t>。</w:t>
            </w:r>
          </w:p>
          <w:p>
            <w:pPr>
              <w:bidi w:val="0"/>
              <w:spacing w:line="240" w:lineRule="auto"/>
              <w:jc w:val="center"/>
              <w:rPr>
                <w:b/>
                <w:bCs/>
                <w:color w:val="auto"/>
              </w:rPr>
            </w:pPr>
            <w:r>
              <w:rPr>
                <w:b/>
                <w:bCs/>
                <w:color w:val="auto"/>
              </w:rPr>
              <w:t xml:space="preserve">表 </w:t>
            </w:r>
            <w:r>
              <w:rPr>
                <w:rFonts w:hint="eastAsia"/>
                <w:b/>
                <w:bCs/>
                <w:color w:val="auto"/>
                <w:lang w:val="en-US" w:eastAsia="zh-CN"/>
              </w:rPr>
              <w:t>4-4</w:t>
            </w:r>
            <w:r>
              <w:rPr>
                <w:b/>
                <w:bCs/>
                <w:color w:val="auto"/>
              </w:rPr>
              <w:t xml:space="preserve"> 工程导线对地和交叉跨越控制距离表</w:t>
            </w:r>
          </w:p>
          <w:tbl>
            <w:tblPr>
              <w:tblStyle w:val="15"/>
              <w:tblW w:w="499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13"/>
              <w:gridCol w:w="2430"/>
              <w:gridCol w:w="1643"/>
              <w:gridCol w:w="1882"/>
              <w:gridCol w:w="281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76" w:type="pct"/>
                  <w:vAlign w:val="center"/>
                </w:tcPr>
                <w:p>
                  <w:pPr>
                    <w:bidi w:val="0"/>
                    <w:spacing w:line="240" w:lineRule="auto"/>
                    <w:jc w:val="center"/>
                    <w:rPr>
                      <w:b/>
                      <w:bCs/>
                      <w:color w:val="auto"/>
                      <w:sz w:val="21"/>
                      <w:szCs w:val="21"/>
                    </w:rPr>
                  </w:pPr>
                  <w:r>
                    <w:rPr>
                      <w:b/>
                      <w:bCs/>
                      <w:color w:val="auto"/>
                      <w:sz w:val="21"/>
                      <w:szCs w:val="21"/>
                    </w:rPr>
                    <w:t>序号</w:t>
                  </w:r>
                </w:p>
              </w:tc>
              <w:tc>
                <w:tcPr>
                  <w:tcW w:w="1281" w:type="pct"/>
                  <w:vAlign w:val="center"/>
                </w:tcPr>
                <w:p>
                  <w:pPr>
                    <w:bidi w:val="0"/>
                    <w:spacing w:line="240" w:lineRule="auto"/>
                    <w:jc w:val="center"/>
                    <w:rPr>
                      <w:b/>
                      <w:bCs/>
                      <w:color w:val="auto"/>
                      <w:sz w:val="21"/>
                      <w:szCs w:val="21"/>
                    </w:rPr>
                  </w:pPr>
                  <w:r>
                    <w:rPr>
                      <w:b/>
                      <w:bCs/>
                      <w:color w:val="auto"/>
                      <w:sz w:val="21"/>
                      <w:szCs w:val="21"/>
                    </w:rPr>
                    <w:t>交叉跨越物</w:t>
                  </w:r>
                </w:p>
              </w:tc>
              <w:tc>
                <w:tcPr>
                  <w:tcW w:w="866" w:type="pct"/>
                  <w:vAlign w:val="center"/>
                </w:tcPr>
                <w:p>
                  <w:pPr>
                    <w:bidi w:val="0"/>
                    <w:spacing w:line="240" w:lineRule="auto"/>
                    <w:jc w:val="center"/>
                    <w:rPr>
                      <w:b/>
                      <w:bCs/>
                      <w:color w:val="auto"/>
                      <w:sz w:val="21"/>
                      <w:szCs w:val="21"/>
                    </w:rPr>
                  </w:pPr>
                  <w:r>
                    <w:rPr>
                      <w:b/>
                      <w:bCs/>
                      <w:color w:val="auto"/>
                      <w:sz w:val="21"/>
                      <w:szCs w:val="21"/>
                    </w:rPr>
                    <w:t>数量</w:t>
                  </w:r>
                </w:p>
              </w:tc>
              <w:tc>
                <w:tcPr>
                  <w:tcW w:w="992" w:type="pct"/>
                  <w:vAlign w:val="center"/>
                </w:tcPr>
                <w:p>
                  <w:pPr>
                    <w:bidi w:val="0"/>
                    <w:spacing w:line="240" w:lineRule="auto"/>
                    <w:jc w:val="center"/>
                    <w:rPr>
                      <w:b/>
                      <w:bCs/>
                      <w:color w:val="auto"/>
                      <w:sz w:val="21"/>
                      <w:szCs w:val="21"/>
                    </w:rPr>
                  </w:pPr>
                  <w:r>
                    <w:rPr>
                      <w:b/>
                      <w:bCs/>
                      <w:color w:val="auto"/>
                      <w:sz w:val="21"/>
                      <w:szCs w:val="21"/>
                    </w:rPr>
                    <w:t>备注</w:t>
                  </w:r>
                </w:p>
              </w:tc>
              <w:tc>
                <w:tcPr>
                  <w:tcW w:w="1482" w:type="pct"/>
                  <w:vAlign w:val="center"/>
                </w:tcPr>
                <w:p>
                  <w:pPr>
                    <w:bidi w:val="0"/>
                    <w:spacing w:line="240" w:lineRule="auto"/>
                    <w:jc w:val="center"/>
                    <w:rPr>
                      <w:b/>
                      <w:bCs/>
                      <w:color w:val="auto"/>
                      <w:sz w:val="21"/>
                      <w:szCs w:val="21"/>
                    </w:rPr>
                  </w:pPr>
                  <w:r>
                    <w:rPr>
                      <w:rFonts w:hint="default"/>
                      <w:b/>
                      <w:bCs/>
                      <w:color w:val="auto"/>
                      <w:sz w:val="21"/>
                      <w:szCs w:val="21"/>
                    </w:rPr>
                    <w:t>验收阶段实际情况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76" w:type="pct"/>
                  <w:vAlign w:val="center"/>
                </w:tcPr>
                <w:p>
                  <w:pPr>
                    <w:bidi w:val="0"/>
                    <w:spacing w:line="240" w:lineRule="auto"/>
                    <w:jc w:val="center"/>
                    <w:rPr>
                      <w:color w:val="auto"/>
                      <w:sz w:val="21"/>
                      <w:szCs w:val="21"/>
                    </w:rPr>
                  </w:pPr>
                  <w:r>
                    <w:rPr>
                      <w:color w:val="auto"/>
                      <w:sz w:val="21"/>
                      <w:szCs w:val="21"/>
                    </w:rPr>
                    <w:t>1</w:t>
                  </w:r>
                </w:p>
              </w:tc>
              <w:tc>
                <w:tcPr>
                  <w:tcW w:w="1281" w:type="pct"/>
                  <w:vAlign w:val="center"/>
                </w:tcPr>
                <w:p>
                  <w:pPr>
                    <w:bidi w:val="0"/>
                    <w:spacing w:line="240" w:lineRule="auto"/>
                    <w:jc w:val="center"/>
                    <w:rPr>
                      <w:color w:val="auto"/>
                      <w:sz w:val="21"/>
                      <w:szCs w:val="21"/>
                    </w:rPr>
                  </w:pPr>
                  <w:r>
                    <w:rPr>
                      <w:color w:val="auto"/>
                      <w:sz w:val="21"/>
                      <w:szCs w:val="21"/>
                    </w:rPr>
                    <w:t>1100kV吉泉线</w:t>
                  </w:r>
                </w:p>
              </w:tc>
              <w:tc>
                <w:tcPr>
                  <w:tcW w:w="866" w:type="pct"/>
                  <w:vAlign w:val="center"/>
                </w:tcPr>
                <w:p>
                  <w:pPr>
                    <w:bidi w:val="0"/>
                    <w:spacing w:line="240" w:lineRule="auto"/>
                    <w:jc w:val="center"/>
                    <w:rPr>
                      <w:color w:val="auto"/>
                      <w:sz w:val="21"/>
                      <w:szCs w:val="21"/>
                    </w:rPr>
                  </w:pPr>
                  <w:r>
                    <w:rPr>
                      <w:color w:val="auto"/>
                      <w:sz w:val="21"/>
                      <w:szCs w:val="21"/>
                    </w:rPr>
                    <w:t>1</w:t>
                  </w:r>
                </w:p>
              </w:tc>
              <w:tc>
                <w:tcPr>
                  <w:tcW w:w="992" w:type="pct"/>
                  <w:vAlign w:val="center"/>
                </w:tcPr>
                <w:p>
                  <w:pPr>
                    <w:bidi w:val="0"/>
                    <w:spacing w:line="240" w:lineRule="auto"/>
                    <w:jc w:val="center"/>
                    <w:rPr>
                      <w:color w:val="auto"/>
                      <w:sz w:val="21"/>
                      <w:szCs w:val="21"/>
                    </w:rPr>
                  </w:pPr>
                  <w:r>
                    <w:rPr>
                      <w:color w:val="auto"/>
                      <w:sz w:val="21"/>
                      <w:szCs w:val="21"/>
                    </w:rPr>
                    <w:t>钻越</w:t>
                  </w:r>
                </w:p>
              </w:tc>
              <w:tc>
                <w:tcPr>
                  <w:tcW w:w="1482"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76" w:type="pct"/>
                  <w:vAlign w:val="center"/>
                </w:tcPr>
                <w:p>
                  <w:pPr>
                    <w:bidi w:val="0"/>
                    <w:spacing w:line="240" w:lineRule="auto"/>
                    <w:jc w:val="center"/>
                    <w:rPr>
                      <w:color w:val="auto"/>
                      <w:sz w:val="21"/>
                      <w:szCs w:val="21"/>
                    </w:rPr>
                  </w:pPr>
                  <w:r>
                    <w:rPr>
                      <w:color w:val="auto"/>
                      <w:sz w:val="21"/>
                      <w:szCs w:val="21"/>
                    </w:rPr>
                    <w:t>2</w:t>
                  </w:r>
                </w:p>
              </w:tc>
              <w:tc>
                <w:tcPr>
                  <w:tcW w:w="1281" w:type="pct"/>
                  <w:vAlign w:val="center"/>
                </w:tcPr>
                <w:p>
                  <w:pPr>
                    <w:bidi w:val="0"/>
                    <w:spacing w:line="240" w:lineRule="auto"/>
                    <w:jc w:val="center"/>
                    <w:rPr>
                      <w:color w:val="auto"/>
                      <w:sz w:val="21"/>
                      <w:szCs w:val="21"/>
                    </w:rPr>
                  </w:pPr>
                  <w:r>
                    <w:rPr>
                      <w:color w:val="auto"/>
                      <w:sz w:val="21"/>
                      <w:szCs w:val="21"/>
                    </w:rPr>
                    <w:t>800kV哈郑线</w:t>
                  </w:r>
                </w:p>
              </w:tc>
              <w:tc>
                <w:tcPr>
                  <w:tcW w:w="866" w:type="pct"/>
                  <w:vAlign w:val="center"/>
                </w:tcPr>
                <w:p>
                  <w:pPr>
                    <w:bidi w:val="0"/>
                    <w:spacing w:line="240" w:lineRule="auto"/>
                    <w:jc w:val="center"/>
                    <w:rPr>
                      <w:color w:val="auto"/>
                      <w:sz w:val="21"/>
                      <w:szCs w:val="21"/>
                    </w:rPr>
                  </w:pPr>
                  <w:r>
                    <w:rPr>
                      <w:color w:val="auto"/>
                      <w:sz w:val="21"/>
                      <w:szCs w:val="21"/>
                    </w:rPr>
                    <w:t>1</w:t>
                  </w:r>
                </w:p>
              </w:tc>
              <w:tc>
                <w:tcPr>
                  <w:tcW w:w="992" w:type="pct"/>
                  <w:vAlign w:val="center"/>
                </w:tcPr>
                <w:p>
                  <w:pPr>
                    <w:bidi w:val="0"/>
                    <w:spacing w:line="240" w:lineRule="auto"/>
                    <w:jc w:val="center"/>
                    <w:rPr>
                      <w:color w:val="auto"/>
                      <w:sz w:val="21"/>
                      <w:szCs w:val="21"/>
                    </w:rPr>
                  </w:pPr>
                  <w:r>
                    <w:rPr>
                      <w:color w:val="auto"/>
                      <w:sz w:val="21"/>
                      <w:szCs w:val="21"/>
                    </w:rPr>
                    <w:t>钻越</w:t>
                  </w:r>
                </w:p>
              </w:tc>
              <w:tc>
                <w:tcPr>
                  <w:tcW w:w="1482"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76" w:type="pct"/>
                  <w:vAlign w:val="center"/>
                </w:tcPr>
                <w:p>
                  <w:pPr>
                    <w:bidi w:val="0"/>
                    <w:spacing w:line="240" w:lineRule="auto"/>
                    <w:jc w:val="center"/>
                    <w:rPr>
                      <w:color w:val="auto"/>
                      <w:sz w:val="21"/>
                      <w:szCs w:val="21"/>
                    </w:rPr>
                  </w:pPr>
                  <w:r>
                    <w:rPr>
                      <w:color w:val="auto"/>
                      <w:sz w:val="21"/>
                      <w:szCs w:val="21"/>
                    </w:rPr>
                    <w:t>3</w:t>
                  </w:r>
                </w:p>
              </w:tc>
              <w:tc>
                <w:tcPr>
                  <w:tcW w:w="1281" w:type="pct"/>
                  <w:vAlign w:val="center"/>
                </w:tcPr>
                <w:p>
                  <w:pPr>
                    <w:bidi w:val="0"/>
                    <w:spacing w:line="240" w:lineRule="auto"/>
                    <w:jc w:val="center"/>
                    <w:rPr>
                      <w:color w:val="auto"/>
                      <w:sz w:val="21"/>
                      <w:szCs w:val="21"/>
                    </w:rPr>
                  </w:pPr>
                  <w:r>
                    <w:rPr>
                      <w:color w:val="auto"/>
                      <w:sz w:val="21"/>
                      <w:szCs w:val="21"/>
                    </w:rPr>
                    <w:t>800kV酒湖线</w:t>
                  </w:r>
                </w:p>
              </w:tc>
              <w:tc>
                <w:tcPr>
                  <w:tcW w:w="866" w:type="pct"/>
                  <w:vAlign w:val="center"/>
                </w:tcPr>
                <w:p>
                  <w:pPr>
                    <w:bidi w:val="0"/>
                    <w:spacing w:line="240" w:lineRule="auto"/>
                    <w:jc w:val="center"/>
                    <w:rPr>
                      <w:color w:val="auto"/>
                      <w:sz w:val="21"/>
                      <w:szCs w:val="21"/>
                    </w:rPr>
                  </w:pPr>
                  <w:r>
                    <w:rPr>
                      <w:color w:val="auto"/>
                      <w:sz w:val="21"/>
                      <w:szCs w:val="21"/>
                    </w:rPr>
                    <w:t>1</w:t>
                  </w:r>
                </w:p>
              </w:tc>
              <w:tc>
                <w:tcPr>
                  <w:tcW w:w="992" w:type="pct"/>
                  <w:vAlign w:val="center"/>
                </w:tcPr>
                <w:p>
                  <w:pPr>
                    <w:bidi w:val="0"/>
                    <w:spacing w:line="240" w:lineRule="auto"/>
                    <w:jc w:val="center"/>
                    <w:rPr>
                      <w:color w:val="auto"/>
                      <w:sz w:val="21"/>
                      <w:szCs w:val="21"/>
                    </w:rPr>
                  </w:pPr>
                  <w:r>
                    <w:rPr>
                      <w:color w:val="auto"/>
                      <w:sz w:val="21"/>
                      <w:szCs w:val="21"/>
                    </w:rPr>
                    <w:t>钻越</w:t>
                  </w:r>
                </w:p>
              </w:tc>
              <w:tc>
                <w:tcPr>
                  <w:tcW w:w="1482"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76" w:type="pct"/>
                  <w:vAlign w:val="center"/>
                </w:tcPr>
                <w:p>
                  <w:pPr>
                    <w:bidi w:val="0"/>
                    <w:spacing w:line="240" w:lineRule="auto"/>
                    <w:jc w:val="center"/>
                    <w:rPr>
                      <w:color w:val="auto"/>
                      <w:sz w:val="21"/>
                      <w:szCs w:val="21"/>
                    </w:rPr>
                  </w:pPr>
                  <w:r>
                    <w:rPr>
                      <w:color w:val="auto"/>
                      <w:sz w:val="21"/>
                      <w:szCs w:val="21"/>
                    </w:rPr>
                    <w:t>4</w:t>
                  </w:r>
                </w:p>
              </w:tc>
              <w:tc>
                <w:tcPr>
                  <w:tcW w:w="1281" w:type="pct"/>
                  <w:vAlign w:val="center"/>
                </w:tcPr>
                <w:p>
                  <w:pPr>
                    <w:bidi w:val="0"/>
                    <w:spacing w:line="240" w:lineRule="auto"/>
                    <w:jc w:val="center"/>
                    <w:rPr>
                      <w:color w:val="auto"/>
                      <w:sz w:val="21"/>
                      <w:szCs w:val="21"/>
                    </w:rPr>
                  </w:pPr>
                  <w:r>
                    <w:rPr>
                      <w:color w:val="auto"/>
                      <w:sz w:val="21"/>
                      <w:szCs w:val="21"/>
                    </w:rPr>
                    <w:t>35kV电力线</w:t>
                  </w:r>
                </w:p>
              </w:tc>
              <w:tc>
                <w:tcPr>
                  <w:tcW w:w="866" w:type="pct"/>
                  <w:vAlign w:val="center"/>
                </w:tcPr>
                <w:p>
                  <w:pPr>
                    <w:bidi w:val="0"/>
                    <w:spacing w:line="240" w:lineRule="auto"/>
                    <w:jc w:val="center"/>
                    <w:rPr>
                      <w:color w:val="auto"/>
                      <w:sz w:val="21"/>
                      <w:szCs w:val="21"/>
                    </w:rPr>
                  </w:pPr>
                  <w:r>
                    <w:rPr>
                      <w:color w:val="auto"/>
                      <w:sz w:val="21"/>
                      <w:szCs w:val="21"/>
                    </w:rPr>
                    <w:t>1</w:t>
                  </w:r>
                </w:p>
              </w:tc>
              <w:tc>
                <w:tcPr>
                  <w:tcW w:w="992" w:type="pct"/>
                  <w:vAlign w:val="center"/>
                </w:tcPr>
                <w:p>
                  <w:pPr>
                    <w:bidi w:val="0"/>
                    <w:spacing w:line="240" w:lineRule="auto"/>
                    <w:jc w:val="center"/>
                    <w:rPr>
                      <w:color w:val="auto"/>
                      <w:sz w:val="21"/>
                      <w:szCs w:val="21"/>
                    </w:rPr>
                  </w:pPr>
                  <w:r>
                    <w:rPr>
                      <w:color w:val="auto"/>
                      <w:sz w:val="21"/>
                      <w:szCs w:val="21"/>
                    </w:rPr>
                    <w:t>/</w:t>
                  </w:r>
                </w:p>
              </w:tc>
              <w:tc>
                <w:tcPr>
                  <w:tcW w:w="1482"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76" w:type="pct"/>
                  <w:vAlign w:val="center"/>
                </w:tcPr>
                <w:p>
                  <w:pPr>
                    <w:bidi w:val="0"/>
                    <w:spacing w:line="240" w:lineRule="auto"/>
                    <w:jc w:val="center"/>
                    <w:rPr>
                      <w:color w:val="auto"/>
                      <w:sz w:val="21"/>
                      <w:szCs w:val="21"/>
                    </w:rPr>
                  </w:pPr>
                  <w:r>
                    <w:rPr>
                      <w:color w:val="auto"/>
                      <w:sz w:val="21"/>
                      <w:szCs w:val="21"/>
                    </w:rPr>
                    <w:t>5</w:t>
                  </w:r>
                </w:p>
              </w:tc>
              <w:tc>
                <w:tcPr>
                  <w:tcW w:w="1281" w:type="pct"/>
                  <w:vAlign w:val="center"/>
                </w:tcPr>
                <w:p>
                  <w:pPr>
                    <w:bidi w:val="0"/>
                    <w:spacing w:line="240" w:lineRule="auto"/>
                    <w:jc w:val="center"/>
                    <w:rPr>
                      <w:color w:val="auto"/>
                      <w:sz w:val="21"/>
                      <w:szCs w:val="21"/>
                    </w:rPr>
                  </w:pPr>
                  <w:r>
                    <w:rPr>
                      <w:color w:val="auto"/>
                      <w:sz w:val="21"/>
                      <w:szCs w:val="21"/>
                    </w:rPr>
                    <w:t>10kV电力线</w:t>
                  </w:r>
                </w:p>
              </w:tc>
              <w:tc>
                <w:tcPr>
                  <w:tcW w:w="866" w:type="pct"/>
                  <w:vAlign w:val="center"/>
                </w:tcPr>
                <w:p>
                  <w:pPr>
                    <w:bidi w:val="0"/>
                    <w:spacing w:line="240" w:lineRule="auto"/>
                    <w:jc w:val="center"/>
                    <w:rPr>
                      <w:color w:val="auto"/>
                      <w:sz w:val="21"/>
                      <w:szCs w:val="21"/>
                    </w:rPr>
                  </w:pPr>
                  <w:r>
                    <w:rPr>
                      <w:color w:val="auto"/>
                      <w:sz w:val="21"/>
                      <w:szCs w:val="21"/>
                    </w:rPr>
                    <w:t>1</w:t>
                  </w:r>
                </w:p>
              </w:tc>
              <w:tc>
                <w:tcPr>
                  <w:tcW w:w="992" w:type="pct"/>
                  <w:vAlign w:val="center"/>
                </w:tcPr>
                <w:p>
                  <w:pPr>
                    <w:bidi w:val="0"/>
                    <w:spacing w:line="240" w:lineRule="auto"/>
                    <w:jc w:val="center"/>
                    <w:rPr>
                      <w:color w:val="auto"/>
                      <w:sz w:val="21"/>
                      <w:szCs w:val="21"/>
                    </w:rPr>
                  </w:pPr>
                  <w:r>
                    <w:rPr>
                      <w:color w:val="auto"/>
                      <w:sz w:val="21"/>
                      <w:szCs w:val="21"/>
                    </w:rPr>
                    <w:t>/</w:t>
                  </w:r>
                </w:p>
              </w:tc>
              <w:tc>
                <w:tcPr>
                  <w:tcW w:w="1482"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76" w:type="pct"/>
                  <w:vAlign w:val="center"/>
                </w:tcPr>
                <w:p>
                  <w:pPr>
                    <w:bidi w:val="0"/>
                    <w:spacing w:line="240" w:lineRule="auto"/>
                    <w:jc w:val="center"/>
                    <w:rPr>
                      <w:color w:val="auto"/>
                      <w:sz w:val="21"/>
                      <w:szCs w:val="21"/>
                    </w:rPr>
                  </w:pPr>
                  <w:r>
                    <w:rPr>
                      <w:color w:val="auto"/>
                      <w:sz w:val="21"/>
                      <w:szCs w:val="21"/>
                    </w:rPr>
                    <w:t>6</w:t>
                  </w:r>
                </w:p>
              </w:tc>
              <w:tc>
                <w:tcPr>
                  <w:tcW w:w="1281" w:type="pct"/>
                  <w:vAlign w:val="center"/>
                </w:tcPr>
                <w:p>
                  <w:pPr>
                    <w:bidi w:val="0"/>
                    <w:spacing w:line="240" w:lineRule="auto"/>
                    <w:jc w:val="center"/>
                    <w:rPr>
                      <w:color w:val="auto"/>
                      <w:sz w:val="21"/>
                      <w:szCs w:val="21"/>
                    </w:rPr>
                  </w:pPr>
                  <w:r>
                    <w:rPr>
                      <w:color w:val="auto"/>
                      <w:sz w:val="21"/>
                      <w:szCs w:val="21"/>
                    </w:rPr>
                    <w:t>大车路</w:t>
                  </w:r>
                </w:p>
              </w:tc>
              <w:tc>
                <w:tcPr>
                  <w:tcW w:w="866" w:type="pct"/>
                  <w:vAlign w:val="center"/>
                </w:tcPr>
                <w:p>
                  <w:pPr>
                    <w:bidi w:val="0"/>
                    <w:spacing w:line="240" w:lineRule="auto"/>
                    <w:jc w:val="center"/>
                    <w:rPr>
                      <w:color w:val="auto"/>
                      <w:sz w:val="21"/>
                      <w:szCs w:val="21"/>
                    </w:rPr>
                  </w:pPr>
                  <w:r>
                    <w:rPr>
                      <w:color w:val="auto"/>
                      <w:sz w:val="21"/>
                      <w:szCs w:val="21"/>
                    </w:rPr>
                    <w:t>3</w:t>
                  </w:r>
                </w:p>
              </w:tc>
              <w:tc>
                <w:tcPr>
                  <w:tcW w:w="992" w:type="pct"/>
                  <w:vAlign w:val="center"/>
                </w:tcPr>
                <w:p>
                  <w:pPr>
                    <w:bidi w:val="0"/>
                    <w:spacing w:line="240" w:lineRule="auto"/>
                    <w:jc w:val="center"/>
                    <w:rPr>
                      <w:color w:val="auto"/>
                      <w:sz w:val="21"/>
                      <w:szCs w:val="21"/>
                    </w:rPr>
                  </w:pPr>
                  <w:r>
                    <w:rPr>
                      <w:color w:val="auto"/>
                      <w:sz w:val="21"/>
                      <w:szCs w:val="21"/>
                    </w:rPr>
                    <w:t>场内道路</w:t>
                  </w:r>
                </w:p>
              </w:tc>
              <w:tc>
                <w:tcPr>
                  <w:tcW w:w="1482"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76" w:type="pct"/>
                  <w:vAlign w:val="center"/>
                </w:tcPr>
                <w:p>
                  <w:pPr>
                    <w:bidi w:val="0"/>
                    <w:spacing w:line="240" w:lineRule="auto"/>
                    <w:jc w:val="center"/>
                    <w:rPr>
                      <w:color w:val="auto"/>
                      <w:sz w:val="21"/>
                      <w:szCs w:val="21"/>
                    </w:rPr>
                  </w:pPr>
                  <w:r>
                    <w:rPr>
                      <w:color w:val="auto"/>
                      <w:sz w:val="21"/>
                      <w:szCs w:val="21"/>
                    </w:rPr>
                    <w:t>7</w:t>
                  </w:r>
                </w:p>
              </w:tc>
              <w:tc>
                <w:tcPr>
                  <w:tcW w:w="1281" w:type="pct"/>
                  <w:vAlign w:val="center"/>
                </w:tcPr>
                <w:p>
                  <w:pPr>
                    <w:bidi w:val="0"/>
                    <w:spacing w:line="240" w:lineRule="auto"/>
                    <w:jc w:val="center"/>
                    <w:rPr>
                      <w:color w:val="auto"/>
                      <w:sz w:val="21"/>
                      <w:szCs w:val="21"/>
                    </w:rPr>
                  </w:pPr>
                  <w:r>
                    <w:rPr>
                      <w:color w:val="auto"/>
                      <w:sz w:val="21"/>
                      <w:szCs w:val="21"/>
                    </w:rPr>
                    <w:t>低压、通信路</w:t>
                  </w:r>
                </w:p>
              </w:tc>
              <w:tc>
                <w:tcPr>
                  <w:tcW w:w="866" w:type="pct"/>
                  <w:vAlign w:val="center"/>
                </w:tcPr>
                <w:p>
                  <w:pPr>
                    <w:bidi w:val="0"/>
                    <w:spacing w:line="240" w:lineRule="auto"/>
                    <w:jc w:val="center"/>
                    <w:rPr>
                      <w:color w:val="auto"/>
                      <w:sz w:val="21"/>
                      <w:szCs w:val="21"/>
                    </w:rPr>
                  </w:pPr>
                  <w:r>
                    <w:rPr>
                      <w:color w:val="auto"/>
                      <w:sz w:val="21"/>
                      <w:szCs w:val="21"/>
                    </w:rPr>
                    <w:t>1</w:t>
                  </w:r>
                </w:p>
              </w:tc>
              <w:tc>
                <w:tcPr>
                  <w:tcW w:w="992" w:type="pct"/>
                  <w:vAlign w:val="center"/>
                </w:tcPr>
                <w:p>
                  <w:pPr>
                    <w:bidi w:val="0"/>
                    <w:spacing w:line="240" w:lineRule="auto"/>
                    <w:jc w:val="center"/>
                    <w:rPr>
                      <w:color w:val="auto"/>
                      <w:sz w:val="21"/>
                      <w:szCs w:val="21"/>
                    </w:rPr>
                  </w:pPr>
                  <w:r>
                    <w:rPr>
                      <w:color w:val="auto"/>
                      <w:sz w:val="21"/>
                      <w:szCs w:val="21"/>
                    </w:rPr>
                    <w:t>/</w:t>
                  </w:r>
                </w:p>
              </w:tc>
              <w:tc>
                <w:tcPr>
                  <w:tcW w:w="1482" w:type="pct"/>
                  <w:vAlign w:val="center"/>
                </w:tcPr>
                <w:p>
                  <w:pPr>
                    <w:bidi w:val="0"/>
                    <w:spacing w:line="240" w:lineRule="auto"/>
                    <w:jc w:val="center"/>
                    <w:rPr>
                      <w:color w:val="auto"/>
                      <w:sz w:val="21"/>
                      <w:szCs w:val="21"/>
                    </w:rPr>
                  </w:pPr>
                  <w:r>
                    <w:rPr>
                      <w:rFonts w:hint="default"/>
                      <w:color w:val="auto"/>
                      <w:sz w:val="21"/>
                      <w:szCs w:val="21"/>
                      <w:lang w:val="en-US" w:eastAsia="zh-CN"/>
                    </w:rPr>
                    <w:t>与环评阶段建设一致</w:t>
                  </w:r>
                </w:p>
              </w:tc>
            </w:tr>
          </w:tbl>
          <w:p>
            <w:pPr>
              <w:bidi w:val="0"/>
              <w:ind w:firstLine="482" w:firstLineChars="200"/>
              <w:rPr>
                <w:rFonts w:hint="eastAsia"/>
                <w:b/>
                <w:bCs/>
                <w:color w:val="auto"/>
                <w:lang w:eastAsia="zh-CN"/>
              </w:rPr>
            </w:pPr>
          </w:p>
          <w:p>
            <w:pPr>
              <w:bidi w:val="0"/>
              <w:ind w:firstLine="482" w:firstLineChars="200"/>
              <w:rPr>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b/>
                <w:bCs/>
                <w:color w:val="auto"/>
              </w:rPr>
              <w:t>330kV罗城滩升压站接入间隔</w:t>
            </w:r>
          </w:p>
          <w:p>
            <w:pPr>
              <w:bidi w:val="0"/>
              <w:ind w:firstLine="480" w:firstLineChars="200"/>
              <w:rPr>
                <w:color w:val="auto"/>
              </w:rPr>
            </w:pPr>
            <w:r>
              <w:rPr>
                <w:rFonts w:hint="eastAsia"/>
                <w:color w:val="auto"/>
                <w:lang w:val="en-US" w:eastAsia="zh-CN"/>
              </w:rPr>
              <w:t>依据环评，</w:t>
            </w:r>
            <w:r>
              <w:rPr>
                <w:color w:val="auto"/>
              </w:rPr>
              <w:t>本次新建输电线路接入330kV罗城滩升压站由西向东的第六、第七间隔出线</w:t>
            </w:r>
            <w:r>
              <w:rPr>
                <w:rFonts w:hint="eastAsia"/>
                <w:color w:val="auto"/>
                <w:lang w:eastAsia="zh-CN"/>
              </w:rPr>
              <w:t>，</w:t>
            </w:r>
            <w:r>
              <w:rPr>
                <w:color w:val="auto"/>
              </w:rPr>
              <w:t>330kV罗城滩升压站由西向东的第六、第七间隔出线已于《中船风电（高台）新能源有限公司罗城滩330kV汇集站项目环境影响报告表》中进行评价，本次不再进行评价</w:t>
            </w:r>
            <w:r>
              <w:rPr>
                <w:rFonts w:hint="eastAsia"/>
                <w:color w:val="auto"/>
                <w:lang w:eastAsia="zh-CN"/>
              </w:rPr>
              <w:t>，</w:t>
            </w:r>
            <w:r>
              <w:rPr>
                <w:rFonts w:hint="eastAsia"/>
                <w:color w:val="auto"/>
                <w:lang w:val="en-US" w:eastAsia="zh-CN"/>
              </w:rPr>
              <w:t>故该部分内容不再本次验收范围内</w:t>
            </w:r>
            <w:r>
              <w:rPr>
                <w:color w:val="auto"/>
              </w:rPr>
              <w:t>。</w:t>
            </w:r>
          </w:p>
          <w:p>
            <w:pPr>
              <w:bidi w:val="0"/>
              <w:ind w:firstLine="480" w:firstLineChars="200"/>
              <w:rPr>
                <w:rFonts w:ascii="Times New Roman" w:hAnsi="Times New Roman" w:eastAsia="Times New Roman" w:cs="Times New Roman"/>
                <w:color w:val="auto"/>
                <w:spacing w:val="-1"/>
              </w:rPr>
            </w:pPr>
            <w:r>
              <w:rPr>
                <w:color w:val="auto"/>
              </w:rPr>
              <w:t xml:space="preserve">330kV罗城滩升压站于2022年取得《张掖市生态环境局关于中船风电（高台）新能源有限公司罗城滩330kV汇集站项目环境影响报告表的批复》（张环环评发〔2022〕17号），330kV罗城滩升压站于2023年1月完工。330kV罗城滩升压站接入间隔平面布置详见附图 </w:t>
            </w:r>
            <w:r>
              <w:rPr>
                <w:rFonts w:hint="eastAsia"/>
                <w:color w:val="auto"/>
                <w:lang w:val="en-US" w:eastAsia="zh-CN"/>
              </w:rPr>
              <w:t>3</w:t>
            </w:r>
            <w:r>
              <w:rPr>
                <w:color w:val="auto"/>
              </w:rPr>
              <w:t>。</w:t>
            </w:r>
          </w:p>
          <w:p>
            <w:pPr>
              <w:bidi w:val="0"/>
              <w:ind w:firstLine="482" w:firstLineChars="200"/>
              <w:rPr>
                <w:rFonts w:hint="eastAsia"/>
                <w:b/>
                <w:bCs/>
                <w:color w:val="auto"/>
                <w:lang w:val="en-US" w:eastAsia="zh-CN"/>
              </w:rPr>
            </w:pPr>
            <w:r>
              <w:rPr>
                <w:rFonts w:hint="eastAsia"/>
                <w:b/>
                <w:bCs/>
                <w:color w:val="auto"/>
                <w:lang w:val="en-US" w:eastAsia="zh-CN"/>
              </w:rPr>
              <w:t>4、产品方案</w:t>
            </w:r>
          </w:p>
          <w:p>
            <w:pPr>
              <w:spacing w:before="183" w:line="360" w:lineRule="auto"/>
              <w:ind w:left="496"/>
              <w:rPr>
                <w:rFonts w:hint="eastAsia"/>
                <w:b/>
                <w:bCs/>
                <w:color w:val="auto"/>
                <w:lang w:val="en-US" w:eastAsia="zh-CN"/>
              </w:rPr>
            </w:pPr>
            <w:r>
              <w:rPr>
                <w:rFonts w:hint="eastAsia"/>
                <w:b/>
                <w:bCs/>
                <w:color w:val="auto"/>
                <w:lang w:val="en-US" w:eastAsia="zh-CN"/>
              </w:rPr>
              <w:t>环评阶段设计：</w:t>
            </w:r>
          </w:p>
          <w:p>
            <w:pPr>
              <w:bidi w:val="0"/>
              <w:spacing w:line="360" w:lineRule="auto"/>
              <w:ind w:firstLine="482" w:firstLineChars="200"/>
              <w:rPr>
                <w:b/>
                <w:bCs/>
                <w:color w:val="auto"/>
              </w:rPr>
            </w:pPr>
            <w:r>
              <w:rPr>
                <w:b/>
                <w:bCs/>
                <w:color w:val="auto"/>
              </w:rPr>
              <w:t>（1）新建110kV北部滩升压站</w:t>
            </w:r>
          </w:p>
          <w:p>
            <w:pPr>
              <w:bidi w:val="0"/>
              <w:ind w:firstLine="480" w:firstLineChars="200"/>
              <w:rPr>
                <w:color w:val="auto"/>
              </w:rPr>
            </w:pPr>
            <w:r>
              <w:rPr>
                <w:color w:val="auto"/>
              </w:rPr>
              <w:t>本期建设4台主变，规模为4× 120MVA，采用户外布置；新建110kV出线2回。</w:t>
            </w:r>
          </w:p>
          <w:p>
            <w:pPr>
              <w:bidi w:val="0"/>
              <w:ind w:firstLine="482" w:firstLineChars="200"/>
              <w:rPr>
                <w:b/>
                <w:bCs/>
                <w:color w:val="auto"/>
              </w:rPr>
            </w:pPr>
            <w:r>
              <w:rPr>
                <w:b/>
                <w:bCs/>
                <w:color w:val="auto"/>
              </w:rPr>
              <w:t>（2）新建输电线路</w:t>
            </w:r>
          </w:p>
          <w:p>
            <w:pPr>
              <w:bidi w:val="0"/>
              <w:ind w:firstLine="480" w:firstLineChars="200"/>
              <w:jc w:val="left"/>
              <w:rPr>
                <w:rFonts w:hint="default"/>
                <w:color w:val="auto"/>
                <w:lang w:val="en-US" w:eastAsia="zh-CN"/>
              </w:rPr>
            </w:pPr>
            <w:r>
              <w:rPr>
                <w:color w:val="auto"/>
              </w:rPr>
              <w:t>本工程新建110kV北部滩升压站至330kV罗城滩升压站同塔双回输电线路，双回架空线路长度为2×5.4km，导线型号为2×JL/GIA-300/40型钢芯铝绞线。地线分别采用两根 OGPW-24B1-9</w:t>
            </w:r>
            <w:r>
              <w:rPr>
                <w:rFonts w:hint="eastAsia"/>
                <w:color w:val="auto"/>
                <w:lang w:val="en-US" w:eastAsia="zh-CN"/>
              </w:rPr>
              <w:t>0</w:t>
            </w:r>
            <w:r>
              <w:rPr>
                <w:color w:val="auto"/>
              </w:rPr>
              <w:t>光纤复合光缆。</w:t>
            </w:r>
          </w:p>
          <w:p>
            <w:pPr>
              <w:bidi w:val="0"/>
              <w:ind w:firstLine="482" w:firstLineChars="200"/>
              <w:rPr>
                <w:color w:val="auto"/>
              </w:rPr>
            </w:pPr>
            <w:r>
              <w:rPr>
                <w:rFonts w:hint="eastAsia"/>
                <w:b/>
                <w:bCs/>
                <w:color w:val="auto"/>
                <w:lang w:val="en-US" w:eastAsia="zh-CN"/>
              </w:rPr>
              <w:t>竣工环境保护验收阶段：</w:t>
            </w:r>
            <w:r>
              <w:rPr>
                <w:rFonts w:hint="eastAsia"/>
                <w:color w:val="auto"/>
                <w:lang w:val="en-US" w:eastAsia="zh-CN"/>
              </w:rPr>
              <w:t>与环评及设计阶段一致。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000" w:type="pct"/>
            <w:vAlign w:val="center"/>
          </w:tcPr>
          <w:p>
            <w:pPr>
              <w:bidi w:val="0"/>
              <w:spacing w:line="360" w:lineRule="auto"/>
              <w:jc w:val="both"/>
              <w:rPr>
                <w:b/>
                <w:bCs/>
                <w:color w:val="auto"/>
              </w:rPr>
            </w:pPr>
            <w:r>
              <w:rPr>
                <w:b/>
                <w:bCs/>
                <w:color w:val="auto"/>
              </w:rPr>
              <w:t>建设项目占地及总平面布置、输电线路路径（附总平面布置、输电线路路径示意图）</w:t>
            </w:r>
          </w:p>
          <w:p>
            <w:pPr>
              <w:bidi w:val="0"/>
              <w:ind w:firstLine="482" w:firstLineChars="200"/>
              <w:rPr>
                <w:rFonts w:hint="default"/>
                <w:b/>
                <w:bCs/>
                <w:color w:val="auto"/>
                <w:lang w:val="en-US" w:eastAsia="zh-CN"/>
              </w:rPr>
            </w:pPr>
            <w:r>
              <w:rPr>
                <w:rFonts w:hint="eastAsia"/>
                <w:b/>
                <w:bCs/>
                <w:color w:val="auto"/>
                <w:lang w:val="en-US" w:eastAsia="zh-CN"/>
              </w:rPr>
              <w:t>1、项目总平面布置</w:t>
            </w:r>
          </w:p>
          <w:p>
            <w:pPr>
              <w:bidi w:val="0"/>
              <w:ind w:firstLine="482" w:firstLineChars="200"/>
              <w:rPr>
                <w:b/>
                <w:bCs/>
                <w:color w:val="auto"/>
              </w:rPr>
            </w:pPr>
            <w:r>
              <w:rPr>
                <w:b/>
                <w:bCs/>
                <w:color w:val="auto"/>
              </w:rPr>
              <w:t>（1）新建110kV北部滩升压站</w:t>
            </w:r>
          </w:p>
          <w:p>
            <w:pPr>
              <w:bidi w:val="0"/>
              <w:ind w:firstLine="480" w:firstLineChars="200"/>
              <w:rPr>
                <w:color w:val="auto"/>
              </w:rPr>
            </w:pPr>
            <w:r>
              <w:rPr>
                <w:color w:val="auto"/>
              </w:rPr>
              <w:t>升压站呈矩形布置，总用地面积约为28800m</w:t>
            </w:r>
            <w:r>
              <w:rPr>
                <w:color w:val="auto"/>
                <w:vertAlign w:val="superscript"/>
              </w:rPr>
              <w:t>2</w:t>
            </w:r>
            <w:r>
              <w:rPr>
                <w:color w:val="auto"/>
              </w:rPr>
              <w:t>，升压站分为生活区和生产区两部分，场区内设环形道满足消防运输需要，中部设铁艺围栏将生活区与生产区分开，限制非运行人员进出变电区域，保证生产运行安全。</w:t>
            </w:r>
          </w:p>
          <w:p>
            <w:pPr>
              <w:bidi w:val="0"/>
              <w:ind w:firstLine="480" w:firstLineChars="200"/>
              <w:rPr>
                <w:color w:val="auto"/>
              </w:rPr>
            </w:pPr>
            <w:r>
              <w:rPr>
                <w:color w:val="auto"/>
              </w:rPr>
              <w:t>生活区位于站区南侧，布置有综合楼、附属用房等。</w:t>
            </w:r>
          </w:p>
          <w:p>
            <w:pPr>
              <w:bidi w:val="0"/>
              <w:ind w:firstLine="480" w:firstLineChars="200"/>
              <w:rPr>
                <w:color w:val="auto"/>
              </w:rPr>
            </w:pPr>
            <w:r>
              <w:rPr>
                <w:color w:val="auto"/>
              </w:rPr>
              <w:t>生产区位于站区中侧，布置有GIS构架及基础，SVG成套设备、主变基础及油坑、接地电阻柜、35kV配电装置楼等，储能区布置在生产区东侧。整个升压站平面布置紧凑合理，110kV北部滩升压站平面布置见附图。</w:t>
            </w:r>
          </w:p>
          <w:p>
            <w:pPr>
              <w:bidi w:val="0"/>
              <w:ind w:firstLine="482" w:firstLineChars="200"/>
              <w:rPr>
                <w:b/>
                <w:bCs/>
                <w:color w:val="auto"/>
              </w:rPr>
            </w:pPr>
            <w:r>
              <w:rPr>
                <w:b/>
                <w:bCs/>
                <w:color w:val="auto"/>
              </w:rPr>
              <w:t>（2）线路路径</w:t>
            </w:r>
          </w:p>
          <w:p>
            <w:pPr>
              <w:bidi w:val="0"/>
              <w:ind w:firstLine="480" w:firstLineChars="200"/>
              <w:rPr>
                <w:rFonts w:hint="eastAsia"/>
                <w:color w:val="auto"/>
                <w:lang w:val="en-US" w:eastAsia="zh-CN"/>
              </w:rPr>
            </w:pPr>
            <w:r>
              <w:rPr>
                <w:color w:val="auto"/>
              </w:rPr>
              <w:t>线路全线位于甘肃省张掖市高台县北部滩百万千瓦风电基地，地形为100%丘陵，沿线海拔为1300~ 1500m。新建线路从110kV北部滩升压站间隔向西出线，在800kV哈郑线北侧左转，先后钻越已建800KV哈郑线、800KV酒湖线和1100KV吉泉线后，线路向西南方向走线，经苦水墩南侧，跨越风电场35kV集电线路，避让厂区道路后，线路向西南走线，进入330kV罗城滩升压站，线路全长约2×5.4km，全部按同塔双回路架设。</w:t>
            </w:r>
          </w:p>
          <w:p>
            <w:pPr>
              <w:bidi w:val="0"/>
              <w:ind w:firstLine="482" w:firstLineChars="200"/>
              <w:rPr>
                <w:rFonts w:hint="default"/>
                <w:b/>
                <w:bCs/>
                <w:color w:val="auto"/>
                <w:lang w:val="en-US" w:eastAsia="zh-CN"/>
              </w:rPr>
            </w:pPr>
            <w:r>
              <w:rPr>
                <w:rFonts w:hint="eastAsia"/>
                <w:b/>
                <w:bCs/>
                <w:color w:val="auto"/>
                <w:lang w:val="en-US" w:eastAsia="zh-CN"/>
              </w:rPr>
              <w:t>2、项目占地</w:t>
            </w:r>
          </w:p>
          <w:p>
            <w:pPr>
              <w:bidi w:val="0"/>
              <w:ind w:firstLine="482" w:firstLineChars="200"/>
              <w:jc w:val="left"/>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lang w:val="en-US" w:eastAsia="zh-CN"/>
              </w:rPr>
              <w:t>选址合理性</w:t>
            </w:r>
          </w:p>
          <w:p>
            <w:pPr>
              <w:bidi w:val="0"/>
              <w:ind w:firstLine="480" w:firstLineChars="200"/>
              <w:jc w:val="left"/>
              <w:rPr>
                <w:color w:val="auto"/>
              </w:rPr>
            </w:pPr>
            <w:r>
              <w:rPr>
                <w:color w:val="auto"/>
              </w:rPr>
              <w:t>根据《高台县林业和草原局关于台县北部滩百万千瓦风电基地40千瓦风电项目110kV送出线路工程项目用地征球意见复函》（高林函字〔2022〕131号），选址不占用林地和草地。</w:t>
            </w:r>
          </w:p>
          <w:p>
            <w:pPr>
              <w:bidi w:val="0"/>
              <w:ind w:firstLine="480" w:firstLineChars="200"/>
              <w:jc w:val="left"/>
              <w:rPr>
                <w:color w:val="auto"/>
              </w:rPr>
            </w:pPr>
            <w:r>
              <w:rPr>
                <w:color w:val="auto"/>
              </w:rPr>
              <w:t>根据《高台县黑河湿地国家级自然保护区管理局关于高台县北部滩百万千瓦风电基地40万千瓦风电项目110KV送出线路工程项目用地征求意见的复函》（高湿管函字〔2022〕71号），该项目用地不在黑河湿地国家级自然保护区范围内。</w:t>
            </w:r>
          </w:p>
          <w:p>
            <w:pPr>
              <w:bidi w:val="0"/>
              <w:ind w:firstLine="480" w:firstLineChars="200"/>
              <w:jc w:val="left"/>
              <w:rPr>
                <w:color w:val="auto"/>
              </w:rPr>
            </w:pPr>
            <w:r>
              <w:rPr>
                <w:color w:val="auto"/>
              </w:rPr>
              <w:t>根据《高台县文体广电和旅游局关于高台县北部滩百万千瓦风电基地40万千瓦风电项目110KV送出线路工程项目用地涉及文物审查意见的复函》（高文体广旅函〔2022〕86号），不在高台县已公布的文物保护单位保护区范围。</w:t>
            </w:r>
          </w:p>
          <w:p>
            <w:pPr>
              <w:bidi w:val="0"/>
              <w:ind w:firstLine="480" w:firstLineChars="200"/>
              <w:jc w:val="left"/>
              <w:rPr>
                <w:b/>
                <w:bCs/>
                <w:color w:val="auto"/>
              </w:rPr>
            </w:pPr>
            <w:r>
              <w:rPr>
                <w:color w:val="auto"/>
              </w:rPr>
              <w:t>综上，本项目选址合理。</w:t>
            </w:r>
          </w:p>
          <w:p>
            <w:pPr>
              <w:bidi w:val="0"/>
              <w:ind w:firstLine="482" w:firstLineChars="200"/>
              <w:jc w:val="left"/>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lang w:val="en-US" w:eastAsia="zh-CN"/>
              </w:rPr>
              <w:t>占地类型</w:t>
            </w:r>
          </w:p>
          <w:p>
            <w:pPr>
              <w:bidi w:val="0"/>
              <w:ind w:firstLine="482" w:firstLineChars="200"/>
              <w:jc w:val="left"/>
              <w:rPr>
                <w:b/>
                <w:bCs/>
                <w:color w:val="auto"/>
              </w:rPr>
            </w:pPr>
            <w:r>
              <w:rPr>
                <w:rFonts w:hint="eastAsia"/>
                <w:b/>
                <w:bCs/>
                <w:color w:val="auto"/>
              </w:rPr>
              <w:t>①</w:t>
            </w:r>
            <w:r>
              <w:rPr>
                <w:b/>
                <w:bCs/>
                <w:color w:val="auto"/>
              </w:rPr>
              <w:t>110kV北部滩升压站</w:t>
            </w:r>
          </w:p>
          <w:p>
            <w:pPr>
              <w:bidi w:val="0"/>
              <w:ind w:firstLine="480" w:firstLineChars="200"/>
              <w:jc w:val="left"/>
              <w:rPr>
                <w:color w:val="auto"/>
              </w:rPr>
            </w:pPr>
            <w:r>
              <w:rPr>
                <w:color w:val="auto"/>
              </w:rPr>
              <w:t>110kV 北部滩升压站永久占地面积 28800m</w:t>
            </w:r>
            <w:r>
              <w:rPr>
                <w:color w:val="auto"/>
                <w:vertAlign w:val="superscript"/>
              </w:rPr>
              <w:t>2</w:t>
            </w:r>
            <w:r>
              <w:rPr>
                <w:color w:val="auto"/>
              </w:rPr>
              <w:t>， 占地类型为裸土地，升压站建成后，土地得到开发利用，发展成为工业用地，由于升压站占地面积相对较小，不会对区域土地利用结构产生大的影响。</w:t>
            </w:r>
          </w:p>
          <w:p>
            <w:pPr>
              <w:bidi w:val="0"/>
              <w:ind w:firstLine="482" w:firstLineChars="200"/>
              <w:jc w:val="left"/>
              <w:rPr>
                <w:b/>
                <w:bCs/>
                <w:color w:val="auto"/>
              </w:rPr>
            </w:pPr>
            <w:r>
              <w:rPr>
                <w:rFonts w:hint="eastAsia"/>
                <w:b/>
                <w:bCs/>
                <w:color w:val="auto"/>
              </w:rPr>
              <w:t>②</w:t>
            </w:r>
            <w:r>
              <w:rPr>
                <w:b/>
                <w:bCs/>
                <w:color w:val="auto"/>
              </w:rPr>
              <w:t>110kV输电线路</w:t>
            </w:r>
          </w:p>
          <w:p>
            <w:pPr>
              <w:bidi w:val="0"/>
              <w:ind w:firstLine="480" w:firstLineChars="200"/>
              <w:jc w:val="left"/>
              <w:rPr>
                <w:color w:val="auto"/>
              </w:rPr>
            </w:pPr>
            <w:r>
              <w:rPr>
                <w:color w:val="auto"/>
              </w:rPr>
              <w:t>本工程不占用基本农田，临时占地包括牵张场和塔基临时施工场地，占地类型裸土地。输电线路设计时，一方面优化塔基选型及塔位布置，减少塔基区永久占地；另外一方面尽量靠近现有道路架设线路，最大限度减少临时用地。施工时，严格落实水土保持方案报告提出的各项水土流失防治措施，以减少水土流失。施工结束后，除塔基四个支撑脚占地外，其余均采取土地整治，并积极恢复原有地貌。采取上述措施后，对工程沿线土地利用影响轻微，不会造成新的水土流失和土地生产力下降。</w:t>
            </w:r>
          </w:p>
          <w:p>
            <w:pPr>
              <w:bidi w:val="0"/>
              <w:ind w:firstLine="482" w:firstLineChars="20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lang w:val="en-US" w:eastAsia="zh-CN"/>
              </w:rPr>
              <w:t>占地分析</w:t>
            </w:r>
          </w:p>
          <w:p>
            <w:pPr>
              <w:bidi w:val="0"/>
              <w:ind w:firstLine="480" w:firstLineChars="200"/>
              <w:rPr>
                <w:rFonts w:hint="default"/>
                <w:color w:val="auto"/>
                <w:lang w:val="en-US" w:eastAsia="zh-CN"/>
              </w:rPr>
            </w:pPr>
            <w:r>
              <w:rPr>
                <w:color w:val="auto"/>
              </w:rPr>
              <w:t>本工程项目建设区占地包括永久占地和临时占地，总地面积为46994m</w:t>
            </w:r>
            <w:r>
              <w:rPr>
                <w:color w:val="auto"/>
                <w:vertAlign w:val="superscript"/>
              </w:rPr>
              <w:t>2</w:t>
            </w:r>
            <w:r>
              <w:rPr>
                <w:color w:val="auto"/>
              </w:rPr>
              <w:t>，其中永久占地 30544m</w:t>
            </w:r>
            <w:r>
              <w:rPr>
                <w:color w:val="auto"/>
                <w:vertAlign w:val="superscript"/>
              </w:rPr>
              <w:t>2</w:t>
            </w:r>
            <w:r>
              <w:rPr>
                <w:color w:val="auto"/>
              </w:rPr>
              <w:t>（其中110kV北部滩升压站占地28800m</w:t>
            </w:r>
            <w:r>
              <w:rPr>
                <w:color w:val="auto"/>
                <w:vertAlign w:val="superscript"/>
              </w:rPr>
              <w:t>2</w:t>
            </w:r>
            <w:r>
              <w:rPr>
                <w:color w:val="auto"/>
              </w:rPr>
              <w:t>，塔基占地1744m</w:t>
            </w:r>
            <w:r>
              <w:rPr>
                <w:color w:val="auto"/>
                <w:vertAlign w:val="superscript"/>
              </w:rPr>
              <w:t>2</w:t>
            </w:r>
            <w:r>
              <w:rPr>
                <w:color w:val="auto"/>
              </w:rPr>
              <w:t>)，临时占地16450m</w:t>
            </w:r>
            <w:r>
              <w:rPr>
                <w:color w:val="auto"/>
                <w:vertAlign w:val="superscript"/>
              </w:rPr>
              <w:t>2</w:t>
            </w:r>
            <w:r>
              <w:rPr>
                <w:color w:val="auto"/>
              </w:rPr>
              <w:t>（牵张场占地200m</w:t>
            </w:r>
            <w:r>
              <w:rPr>
                <w:color w:val="auto"/>
                <w:vertAlign w:val="superscript"/>
              </w:rPr>
              <w:t>2</w:t>
            </w:r>
            <w:r>
              <w:rPr>
                <w:color w:val="auto"/>
              </w:rPr>
              <w:t>，塔基临时施工场地850m</w:t>
            </w:r>
            <w:r>
              <w:rPr>
                <w:color w:val="auto"/>
                <w:vertAlign w:val="superscript"/>
              </w:rPr>
              <w:t>2</w:t>
            </w:r>
            <w:r>
              <w:rPr>
                <w:color w:val="auto"/>
              </w:rPr>
              <w:t>，施工便道15400m</w:t>
            </w:r>
            <w:r>
              <w:rPr>
                <w:color w:val="auto"/>
                <w:vertAlign w:val="superscript"/>
              </w:rPr>
              <w:t>2</w:t>
            </w:r>
            <w:r>
              <w:rPr>
                <w:color w:val="auto"/>
              </w:rPr>
              <w:t>），按照占地类型划分，裸土地46994m</w:t>
            </w:r>
            <w:r>
              <w:rPr>
                <w:color w:val="auto"/>
                <w:vertAlign w:val="superscript"/>
              </w:rPr>
              <w:t>2</w:t>
            </w:r>
            <w:r>
              <w:rPr>
                <w:rFonts w:hint="eastAsia"/>
                <w:color w:val="auto"/>
                <w:lang w:val="en-US" w:eastAsia="zh-CN"/>
              </w:rPr>
              <w:t>。</w:t>
            </w:r>
            <w:r>
              <w:rPr>
                <w:rFonts w:hint="default"/>
                <w:color w:val="auto"/>
                <w:lang w:val="en-US" w:eastAsia="zh-CN"/>
              </w:rPr>
              <w:t>具体工程占地情况见表</w:t>
            </w:r>
            <w:r>
              <w:rPr>
                <w:rFonts w:hint="eastAsia"/>
                <w:color w:val="auto"/>
                <w:lang w:val="en-US" w:eastAsia="zh-CN"/>
              </w:rPr>
              <w:t>4-5</w:t>
            </w:r>
            <w:r>
              <w:rPr>
                <w:rFonts w:hint="default"/>
                <w:color w:val="auto"/>
                <w:lang w:val="en-US" w:eastAsia="zh-CN"/>
              </w:rPr>
              <w:t>所示：</w:t>
            </w:r>
          </w:p>
          <w:p>
            <w:pPr>
              <w:bidi w:val="0"/>
              <w:spacing w:line="240" w:lineRule="auto"/>
              <w:jc w:val="center"/>
              <w:rPr>
                <w:b/>
                <w:bCs/>
                <w:color w:val="auto"/>
              </w:rPr>
            </w:pPr>
            <w:r>
              <w:rPr>
                <w:rFonts w:hint="default"/>
                <w:b/>
                <w:bCs/>
                <w:color w:val="auto"/>
                <w:lang w:val="en-US" w:eastAsia="zh-CN"/>
              </w:rPr>
              <w:t>表</w:t>
            </w:r>
            <w:r>
              <w:rPr>
                <w:rFonts w:hint="eastAsia"/>
                <w:b/>
                <w:bCs/>
                <w:color w:val="auto"/>
                <w:lang w:val="en-US" w:eastAsia="zh-CN"/>
              </w:rPr>
              <w:t>4-5</w:t>
            </w:r>
            <w:r>
              <w:rPr>
                <w:rFonts w:hint="default"/>
                <w:b/>
                <w:bCs/>
                <w:color w:val="auto"/>
                <w:lang w:val="en-US" w:eastAsia="zh-CN"/>
              </w:rPr>
              <w:t xml:space="preserve"> </w:t>
            </w:r>
            <w:r>
              <w:rPr>
                <w:rFonts w:hint="eastAsia"/>
                <w:b/>
                <w:bCs/>
                <w:color w:val="auto"/>
                <w:lang w:val="en-US" w:eastAsia="zh-CN"/>
              </w:rPr>
              <w:t xml:space="preserve"> </w:t>
            </w:r>
            <w:r>
              <w:rPr>
                <w:b/>
                <w:bCs/>
                <w:color w:val="auto"/>
              </w:rPr>
              <w:t>本工程占地情况汇总表  单位：m</w:t>
            </w:r>
            <w:r>
              <w:rPr>
                <w:b/>
                <w:bCs/>
                <w:color w:val="auto"/>
                <w:vertAlign w:val="superscript"/>
              </w:rPr>
              <w:t>2</w:t>
            </w:r>
          </w:p>
          <w:tbl>
            <w:tblPr>
              <w:tblStyle w:val="15"/>
              <w:tblW w:w="4998" w:type="pct"/>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59"/>
              <w:gridCol w:w="1135"/>
              <w:gridCol w:w="924"/>
              <w:gridCol w:w="952"/>
              <w:gridCol w:w="1038"/>
              <w:gridCol w:w="1505"/>
              <w:gridCol w:w="2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367" w:type="pct"/>
                  <w:gridSpan w:val="2"/>
                  <w:vMerge w:val="restart"/>
                  <w:vAlign w:val="center"/>
                </w:tcPr>
                <w:p>
                  <w:pPr>
                    <w:bidi w:val="0"/>
                    <w:spacing w:line="240" w:lineRule="auto"/>
                    <w:jc w:val="center"/>
                    <w:rPr>
                      <w:b/>
                      <w:bCs/>
                      <w:color w:val="auto"/>
                      <w:sz w:val="21"/>
                      <w:szCs w:val="21"/>
                    </w:rPr>
                  </w:pPr>
                  <w:r>
                    <w:rPr>
                      <w:b/>
                      <w:bCs/>
                      <w:color w:val="auto"/>
                      <w:sz w:val="21"/>
                      <w:szCs w:val="21"/>
                    </w:rPr>
                    <w:t>工程内容</w:t>
                  </w:r>
                </w:p>
              </w:tc>
              <w:tc>
                <w:tcPr>
                  <w:tcW w:w="1536" w:type="pct"/>
                  <w:gridSpan w:val="3"/>
                  <w:vAlign w:val="center"/>
                </w:tcPr>
                <w:p>
                  <w:pPr>
                    <w:bidi w:val="0"/>
                    <w:spacing w:line="240" w:lineRule="auto"/>
                    <w:jc w:val="center"/>
                    <w:rPr>
                      <w:b/>
                      <w:bCs/>
                      <w:color w:val="auto"/>
                      <w:sz w:val="21"/>
                      <w:szCs w:val="21"/>
                    </w:rPr>
                  </w:pPr>
                  <w:r>
                    <w:rPr>
                      <w:b/>
                      <w:bCs/>
                      <w:color w:val="auto"/>
                      <w:sz w:val="21"/>
                      <w:szCs w:val="21"/>
                    </w:rPr>
                    <w:t>占地性质</w:t>
                  </w:r>
                </w:p>
              </w:tc>
              <w:tc>
                <w:tcPr>
                  <w:tcW w:w="793" w:type="pct"/>
                  <w:vMerge w:val="restart"/>
                  <w:vAlign w:val="center"/>
                </w:tcPr>
                <w:p>
                  <w:pPr>
                    <w:bidi w:val="0"/>
                    <w:spacing w:line="240" w:lineRule="auto"/>
                    <w:jc w:val="center"/>
                    <w:rPr>
                      <w:b/>
                      <w:bCs/>
                      <w:color w:val="auto"/>
                      <w:sz w:val="21"/>
                      <w:szCs w:val="21"/>
                    </w:rPr>
                  </w:pPr>
                  <w:r>
                    <w:rPr>
                      <w:b/>
                      <w:bCs/>
                      <w:color w:val="auto"/>
                      <w:sz w:val="21"/>
                      <w:szCs w:val="21"/>
                    </w:rPr>
                    <w:t>占地类型（二级地类）</w:t>
                  </w:r>
                </w:p>
              </w:tc>
              <w:tc>
                <w:tcPr>
                  <w:tcW w:w="1302" w:type="pct"/>
                  <w:vMerge w:val="restart"/>
                  <w:vAlign w:val="center"/>
                </w:tcPr>
                <w:p>
                  <w:pPr>
                    <w:bidi w:val="0"/>
                    <w:spacing w:line="240" w:lineRule="auto"/>
                    <w:jc w:val="center"/>
                    <w:rPr>
                      <w:b/>
                      <w:bCs/>
                      <w:color w:val="auto"/>
                      <w:sz w:val="21"/>
                      <w:szCs w:val="21"/>
                    </w:rPr>
                  </w:pPr>
                  <w:r>
                    <w:rPr>
                      <w:b/>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367" w:type="pct"/>
                  <w:gridSpan w:val="2"/>
                  <w:vMerge w:val="continue"/>
                  <w:vAlign w:val="center"/>
                </w:tcPr>
                <w:p>
                  <w:pPr>
                    <w:bidi w:val="0"/>
                    <w:spacing w:line="240" w:lineRule="auto"/>
                    <w:jc w:val="center"/>
                    <w:rPr>
                      <w:color w:val="auto"/>
                      <w:sz w:val="21"/>
                      <w:szCs w:val="21"/>
                    </w:rPr>
                  </w:pPr>
                </w:p>
              </w:tc>
              <w:tc>
                <w:tcPr>
                  <w:tcW w:w="487" w:type="pct"/>
                  <w:vAlign w:val="center"/>
                </w:tcPr>
                <w:p>
                  <w:pPr>
                    <w:bidi w:val="0"/>
                    <w:spacing w:line="240" w:lineRule="auto"/>
                    <w:jc w:val="center"/>
                    <w:rPr>
                      <w:b/>
                      <w:bCs/>
                      <w:color w:val="auto"/>
                      <w:sz w:val="21"/>
                      <w:szCs w:val="21"/>
                    </w:rPr>
                  </w:pPr>
                  <w:r>
                    <w:rPr>
                      <w:b/>
                      <w:bCs/>
                      <w:color w:val="auto"/>
                      <w:sz w:val="21"/>
                      <w:szCs w:val="21"/>
                    </w:rPr>
                    <w:t>永久</w:t>
                  </w:r>
                </w:p>
              </w:tc>
              <w:tc>
                <w:tcPr>
                  <w:tcW w:w="502" w:type="pct"/>
                  <w:vAlign w:val="center"/>
                </w:tcPr>
                <w:p>
                  <w:pPr>
                    <w:bidi w:val="0"/>
                    <w:spacing w:line="240" w:lineRule="auto"/>
                    <w:jc w:val="center"/>
                    <w:rPr>
                      <w:b/>
                      <w:bCs/>
                      <w:color w:val="auto"/>
                      <w:sz w:val="21"/>
                      <w:szCs w:val="21"/>
                    </w:rPr>
                  </w:pPr>
                  <w:r>
                    <w:rPr>
                      <w:b/>
                      <w:bCs/>
                      <w:color w:val="auto"/>
                      <w:sz w:val="21"/>
                      <w:szCs w:val="21"/>
                    </w:rPr>
                    <w:t>临时</w:t>
                  </w:r>
                </w:p>
              </w:tc>
              <w:tc>
                <w:tcPr>
                  <w:tcW w:w="546" w:type="pct"/>
                  <w:vAlign w:val="center"/>
                </w:tcPr>
                <w:p>
                  <w:pPr>
                    <w:bidi w:val="0"/>
                    <w:spacing w:line="240" w:lineRule="auto"/>
                    <w:jc w:val="center"/>
                    <w:rPr>
                      <w:b/>
                      <w:bCs/>
                      <w:color w:val="auto"/>
                      <w:sz w:val="21"/>
                      <w:szCs w:val="21"/>
                    </w:rPr>
                  </w:pPr>
                  <w:r>
                    <w:rPr>
                      <w:b/>
                      <w:bCs/>
                      <w:color w:val="auto"/>
                      <w:sz w:val="21"/>
                      <w:szCs w:val="21"/>
                    </w:rPr>
                    <w:t>合计</w:t>
                  </w:r>
                </w:p>
              </w:tc>
              <w:tc>
                <w:tcPr>
                  <w:tcW w:w="793" w:type="pct"/>
                  <w:vMerge w:val="continue"/>
                  <w:vAlign w:val="center"/>
                </w:tcPr>
                <w:p>
                  <w:pPr>
                    <w:bidi w:val="0"/>
                    <w:spacing w:line="240" w:lineRule="auto"/>
                    <w:jc w:val="center"/>
                    <w:rPr>
                      <w:color w:val="auto"/>
                      <w:sz w:val="21"/>
                      <w:szCs w:val="21"/>
                    </w:rPr>
                  </w:pPr>
                </w:p>
              </w:tc>
              <w:tc>
                <w:tcPr>
                  <w:tcW w:w="1302" w:type="pct"/>
                  <w:vMerge w:val="continue"/>
                  <w:vAlign w:val="center"/>
                </w:tcPr>
                <w:p>
                  <w:pPr>
                    <w:bidi w:val="0"/>
                    <w:spacing w:line="240" w:lineRule="auto"/>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367" w:type="pct"/>
                  <w:gridSpan w:val="2"/>
                  <w:vAlign w:val="center"/>
                </w:tcPr>
                <w:p>
                  <w:pPr>
                    <w:bidi w:val="0"/>
                    <w:spacing w:line="240" w:lineRule="auto"/>
                    <w:jc w:val="center"/>
                    <w:rPr>
                      <w:color w:val="auto"/>
                      <w:sz w:val="21"/>
                      <w:szCs w:val="21"/>
                    </w:rPr>
                  </w:pPr>
                  <w:r>
                    <w:rPr>
                      <w:color w:val="auto"/>
                      <w:sz w:val="21"/>
                      <w:szCs w:val="21"/>
                    </w:rPr>
                    <w:t>110kV北部滩升压站</w:t>
                  </w:r>
                </w:p>
              </w:tc>
              <w:tc>
                <w:tcPr>
                  <w:tcW w:w="487" w:type="pct"/>
                  <w:vAlign w:val="center"/>
                </w:tcPr>
                <w:p>
                  <w:pPr>
                    <w:bidi w:val="0"/>
                    <w:spacing w:line="240" w:lineRule="auto"/>
                    <w:jc w:val="center"/>
                    <w:rPr>
                      <w:color w:val="auto"/>
                      <w:sz w:val="21"/>
                      <w:szCs w:val="21"/>
                    </w:rPr>
                  </w:pPr>
                  <w:r>
                    <w:rPr>
                      <w:color w:val="auto"/>
                      <w:sz w:val="21"/>
                      <w:szCs w:val="21"/>
                    </w:rPr>
                    <w:t>28800</w:t>
                  </w:r>
                </w:p>
              </w:tc>
              <w:tc>
                <w:tcPr>
                  <w:tcW w:w="502" w:type="pct"/>
                  <w:vAlign w:val="center"/>
                </w:tcPr>
                <w:p>
                  <w:pPr>
                    <w:bidi w:val="0"/>
                    <w:spacing w:line="240" w:lineRule="auto"/>
                    <w:jc w:val="center"/>
                    <w:rPr>
                      <w:color w:val="auto"/>
                      <w:sz w:val="21"/>
                      <w:szCs w:val="21"/>
                    </w:rPr>
                  </w:pPr>
                  <w:r>
                    <w:rPr>
                      <w:color w:val="auto"/>
                      <w:sz w:val="21"/>
                      <w:szCs w:val="21"/>
                    </w:rPr>
                    <w:t>0</w:t>
                  </w:r>
                </w:p>
              </w:tc>
              <w:tc>
                <w:tcPr>
                  <w:tcW w:w="546" w:type="pct"/>
                  <w:vAlign w:val="center"/>
                </w:tcPr>
                <w:p>
                  <w:pPr>
                    <w:bidi w:val="0"/>
                    <w:spacing w:line="240" w:lineRule="auto"/>
                    <w:jc w:val="center"/>
                    <w:rPr>
                      <w:color w:val="auto"/>
                      <w:sz w:val="21"/>
                      <w:szCs w:val="21"/>
                    </w:rPr>
                  </w:pPr>
                  <w:r>
                    <w:rPr>
                      <w:color w:val="auto"/>
                      <w:sz w:val="21"/>
                      <w:szCs w:val="21"/>
                    </w:rPr>
                    <w:t>28800</w:t>
                  </w:r>
                </w:p>
              </w:tc>
              <w:tc>
                <w:tcPr>
                  <w:tcW w:w="793" w:type="pct"/>
                  <w:vAlign w:val="center"/>
                </w:tcPr>
                <w:p>
                  <w:pPr>
                    <w:bidi w:val="0"/>
                    <w:spacing w:line="240" w:lineRule="auto"/>
                    <w:jc w:val="center"/>
                    <w:rPr>
                      <w:color w:val="auto"/>
                      <w:sz w:val="21"/>
                      <w:szCs w:val="21"/>
                    </w:rPr>
                  </w:pPr>
                  <w:r>
                    <w:rPr>
                      <w:color w:val="auto"/>
                      <w:sz w:val="21"/>
                      <w:szCs w:val="21"/>
                    </w:rPr>
                    <w:t>裸土地</w:t>
                  </w:r>
                </w:p>
              </w:tc>
              <w:tc>
                <w:tcPr>
                  <w:tcW w:w="1302" w:type="pct"/>
                  <w:vAlign w:val="center"/>
                </w:tcPr>
                <w:p>
                  <w:pPr>
                    <w:bidi w:val="0"/>
                    <w:spacing w:line="240" w:lineRule="auto"/>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367" w:type="pct"/>
                  <w:gridSpan w:val="2"/>
                  <w:vAlign w:val="center"/>
                </w:tcPr>
                <w:p>
                  <w:pPr>
                    <w:bidi w:val="0"/>
                    <w:spacing w:line="240" w:lineRule="auto"/>
                    <w:jc w:val="center"/>
                    <w:rPr>
                      <w:color w:val="auto"/>
                      <w:sz w:val="21"/>
                      <w:szCs w:val="21"/>
                    </w:rPr>
                  </w:pPr>
                  <w:r>
                    <w:rPr>
                      <w:color w:val="auto"/>
                      <w:sz w:val="21"/>
                      <w:szCs w:val="21"/>
                    </w:rPr>
                    <w:t>塔基</w:t>
                  </w:r>
                </w:p>
              </w:tc>
              <w:tc>
                <w:tcPr>
                  <w:tcW w:w="487" w:type="pct"/>
                  <w:vAlign w:val="center"/>
                </w:tcPr>
                <w:p>
                  <w:pPr>
                    <w:bidi w:val="0"/>
                    <w:spacing w:line="240" w:lineRule="auto"/>
                    <w:jc w:val="center"/>
                    <w:rPr>
                      <w:color w:val="auto"/>
                      <w:sz w:val="21"/>
                      <w:szCs w:val="21"/>
                    </w:rPr>
                  </w:pPr>
                  <w:r>
                    <w:rPr>
                      <w:color w:val="auto"/>
                      <w:sz w:val="21"/>
                      <w:szCs w:val="21"/>
                    </w:rPr>
                    <w:t>1744</w:t>
                  </w:r>
                </w:p>
              </w:tc>
              <w:tc>
                <w:tcPr>
                  <w:tcW w:w="502" w:type="pct"/>
                  <w:vAlign w:val="center"/>
                </w:tcPr>
                <w:p>
                  <w:pPr>
                    <w:bidi w:val="0"/>
                    <w:spacing w:line="240" w:lineRule="auto"/>
                    <w:jc w:val="center"/>
                    <w:rPr>
                      <w:color w:val="auto"/>
                      <w:sz w:val="21"/>
                      <w:szCs w:val="21"/>
                    </w:rPr>
                  </w:pPr>
                  <w:r>
                    <w:rPr>
                      <w:color w:val="auto"/>
                      <w:sz w:val="21"/>
                      <w:szCs w:val="21"/>
                    </w:rPr>
                    <w:t>0</w:t>
                  </w:r>
                </w:p>
              </w:tc>
              <w:tc>
                <w:tcPr>
                  <w:tcW w:w="546" w:type="pct"/>
                  <w:vAlign w:val="center"/>
                </w:tcPr>
                <w:p>
                  <w:pPr>
                    <w:bidi w:val="0"/>
                    <w:spacing w:line="240" w:lineRule="auto"/>
                    <w:jc w:val="center"/>
                    <w:rPr>
                      <w:color w:val="auto"/>
                      <w:sz w:val="21"/>
                      <w:szCs w:val="21"/>
                    </w:rPr>
                  </w:pPr>
                  <w:r>
                    <w:rPr>
                      <w:color w:val="auto"/>
                      <w:sz w:val="21"/>
                      <w:szCs w:val="21"/>
                    </w:rPr>
                    <w:t>1744</w:t>
                  </w:r>
                </w:p>
              </w:tc>
              <w:tc>
                <w:tcPr>
                  <w:tcW w:w="793" w:type="pct"/>
                  <w:vAlign w:val="center"/>
                </w:tcPr>
                <w:p>
                  <w:pPr>
                    <w:bidi w:val="0"/>
                    <w:spacing w:line="240" w:lineRule="auto"/>
                    <w:jc w:val="center"/>
                    <w:rPr>
                      <w:color w:val="auto"/>
                      <w:sz w:val="21"/>
                      <w:szCs w:val="21"/>
                    </w:rPr>
                  </w:pPr>
                  <w:r>
                    <w:rPr>
                      <w:color w:val="auto"/>
                      <w:sz w:val="21"/>
                      <w:szCs w:val="21"/>
                    </w:rPr>
                    <w:t>裸土地</w:t>
                  </w:r>
                </w:p>
              </w:tc>
              <w:tc>
                <w:tcPr>
                  <w:tcW w:w="1302" w:type="pct"/>
                  <w:vAlign w:val="center"/>
                </w:tcPr>
                <w:p>
                  <w:pPr>
                    <w:bidi w:val="0"/>
                    <w:spacing w:line="240" w:lineRule="auto"/>
                    <w:jc w:val="center"/>
                    <w:rPr>
                      <w:color w:val="auto"/>
                      <w:sz w:val="21"/>
                      <w:szCs w:val="21"/>
                    </w:rPr>
                  </w:pPr>
                  <w:r>
                    <w:rPr>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769" w:type="pct"/>
                  <w:vMerge w:val="restart"/>
                  <w:vAlign w:val="center"/>
                </w:tcPr>
                <w:p>
                  <w:pPr>
                    <w:bidi w:val="0"/>
                    <w:spacing w:line="240" w:lineRule="auto"/>
                    <w:jc w:val="center"/>
                    <w:rPr>
                      <w:color w:val="auto"/>
                      <w:sz w:val="21"/>
                      <w:szCs w:val="21"/>
                    </w:rPr>
                  </w:pPr>
                  <w:r>
                    <w:rPr>
                      <w:color w:val="auto"/>
                      <w:sz w:val="21"/>
                      <w:szCs w:val="21"/>
                    </w:rPr>
                    <w:t>临时工程</w:t>
                  </w:r>
                </w:p>
              </w:tc>
              <w:tc>
                <w:tcPr>
                  <w:tcW w:w="597" w:type="pct"/>
                  <w:vAlign w:val="center"/>
                </w:tcPr>
                <w:p>
                  <w:pPr>
                    <w:bidi w:val="0"/>
                    <w:spacing w:line="240" w:lineRule="auto"/>
                    <w:jc w:val="center"/>
                    <w:rPr>
                      <w:color w:val="auto"/>
                      <w:sz w:val="21"/>
                      <w:szCs w:val="21"/>
                    </w:rPr>
                  </w:pPr>
                  <w:r>
                    <w:rPr>
                      <w:color w:val="auto"/>
                      <w:sz w:val="21"/>
                      <w:szCs w:val="21"/>
                    </w:rPr>
                    <w:t>牵张场</w:t>
                  </w:r>
                </w:p>
              </w:tc>
              <w:tc>
                <w:tcPr>
                  <w:tcW w:w="487" w:type="pct"/>
                  <w:vAlign w:val="center"/>
                </w:tcPr>
                <w:p>
                  <w:pPr>
                    <w:bidi w:val="0"/>
                    <w:spacing w:line="240" w:lineRule="auto"/>
                    <w:jc w:val="center"/>
                    <w:rPr>
                      <w:color w:val="auto"/>
                      <w:sz w:val="21"/>
                      <w:szCs w:val="21"/>
                    </w:rPr>
                  </w:pPr>
                  <w:r>
                    <w:rPr>
                      <w:color w:val="auto"/>
                      <w:sz w:val="21"/>
                      <w:szCs w:val="21"/>
                    </w:rPr>
                    <w:t>0</w:t>
                  </w:r>
                </w:p>
              </w:tc>
              <w:tc>
                <w:tcPr>
                  <w:tcW w:w="502" w:type="pct"/>
                  <w:vAlign w:val="center"/>
                </w:tcPr>
                <w:p>
                  <w:pPr>
                    <w:bidi w:val="0"/>
                    <w:spacing w:line="240" w:lineRule="auto"/>
                    <w:jc w:val="center"/>
                    <w:rPr>
                      <w:color w:val="auto"/>
                      <w:sz w:val="21"/>
                      <w:szCs w:val="21"/>
                    </w:rPr>
                  </w:pPr>
                  <w:r>
                    <w:rPr>
                      <w:color w:val="auto"/>
                      <w:sz w:val="21"/>
                      <w:szCs w:val="21"/>
                    </w:rPr>
                    <w:t>200</w:t>
                  </w:r>
                </w:p>
              </w:tc>
              <w:tc>
                <w:tcPr>
                  <w:tcW w:w="546" w:type="pct"/>
                  <w:vAlign w:val="center"/>
                </w:tcPr>
                <w:p>
                  <w:pPr>
                    <w:bidi w:val="0"/>
                    <w:spacing w:line="240" w:lineRule="auto"/>
                    <w:jc w:val="center"/>
                    <w:rPr>
                      <w:color w:val="auto"/>
                      <w:sz w:val="21"/>
                      <w:szCs w:val="21"/>
                    </w:rPr>
                  </w:pPr>
                  <w:r>
                    <w:rPr>
                      <w:color w:val="auto"/>
                      <w:sz w:val="21"/>
                      <w:szCs w:val="21"/>
                    </w:rPr>
                    <w:t>200</w:t>
                  </w:r>
                </w:p>
              </w:tc>
              <w:tc>
                <w:tcPr>
                  <w:tcW w:w="793" w:type="pct"/>
                  <w:vAlign w:val="center"/>
                </w:tcPr>
                <w:p>
                  <w:pPr>
                    <w:bidi w:val="0"/>
                    <w:spacing w:line="240" w:lineRule="auto"/>
                    <w:jc w:val="center"/>
                    <w:rPr>
                      <w:color w:val="auto"/>
                      <w:sz w:val="21"/>
                      <w:szCs w:val="21"/>
                    </w:rPr>
                  </w:pPr>
                  <w:r>
                    <w:rPr>
                      <w:color w:val="auto"/>
                      <w:sz w:val="21"/>
                      <w:szCs w:val="21"/>
                    </w:rPr>
                    <w:t>裸土地</w:t>
                  </w:r>
                </w:p>
              </w:tc>
              <w:tc>
                <w:tcPr>
                  <w:tcW w:w="1302" w:type="pct"/>
                  <w:vAlign w:val="center"/>
                </w:tcPr>
                <w:p>
                  <w:pPr>
                    <w:bidi w:val="0"/>
                    <w:spacing w:line="240" w:lineRule="auto"/>
                    <w:jc w:val="center"/>
                    <w:rPr>
                      <w:color w:val="auto"/>
                      <w:sz w:val="21"/>
                      <w:szCs w:val="21"/>
                    </w:rPr>
                  </w:pPr>
                  <w:r>
                    <w:rPr>
                      <w:color w:val="auto"/>
                      <w:sz w:val="21"/>
                      <w:szCs w:val="21"/>
                    </w:rPr>
                    <w:t>1处牵张场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769" w:type="pct"/>
                  <w:vMerge w:val="continue"/>
                  <w:vAlign w:val="center"/>
                </w:tcPr>
                <w:p>
                  <w:pPr>
                    <w:bidi w:val="0"/>
                    <w:spacing w:line="240" w:lineRule="auto"/>
                    <w:jc w:val="center"/>
                    <w:rPr>
                      <w:color w:val="auto"/>
                      <w:sz w:val="21"/>
                      <w:szCs w:val="21"/>
                    </w:rPr>
                  </w:pPr>
                </w:p>
              </w:tc>
              <w:tc>
                <w:tcPr>
                  <w:tcW w:w="597" w:type="pct"/>
                  <w:vAlign w:val="center"/>
                </w:tcPr>
                <w:p>
                  <w:pPr>
                    <w:bidi w:val="0"/>
                    <w:spacing w:line="240" w:lineRule="auto"/>
                    <w:jc w:val="center"/>
                    <w:rPr>
                      <w:color w:val="auto"/>
                      <w:sz w:val="21"/>
                      <w:szCs w:val="21"/>
                    </w:rPr>
                  </w:pPr>
                  <w:r>
                    <w:rPr>
                      <w:color w:val="auto"/>
                      <w:sz w:val="21"/>
                      <w:szCs w:val="21"/>
                    </w:rPr>
                    <w:t>塔基临时 施工场地</w:t>
                  </w:r>
                </w:p>
              </w:tc>
              <w:tc>
                <w:tcPr>
                  <w:tcW w:w="487" w:type="pct"/>
                  <w:vAlign w:val="center"/>
                </w:tcPr>
                <w:p>
                  <w:pPr>
                    <w:bidi w:val="0"/>
                    <w:spacing w:line="240" w:lineRule="auto"/>
                    <w:jc w:val="center"/>
                    <w:rPr>
                      <w:color w:val="auto"/>
                      <w:sz w:val="21"/>
                      <w:szCs w:val="21"/>
                    </w:rPr>
                  </w:pPr>
                  <w:r>
                    <w:rPr>
                      <w:color w:val="auto"/>
                      <w:sz w:val="21"/>
                      <w:szCs w:val="21"/>
                    </w:rPr>
                    <w:t>0</w:t>
                  </w:r>
                </w:p>
              </w:tc>
              <w:tc>
                <w:tcPr>
                  <w:tcW w:w="502" w:type="pct"/>
                  <w:vAlign w:val="center"/>
                </w:tcPr>
                <w:p>
                  <w:pPr>
                    <w:bidi w:val="0"/>
                    <w:spacing w:line="240" w:lineRule="auto"/>
                    <w:jc w:val="center"/>
                    <w:rPr>
                      <w:color w:val="auto"/>
                      <w:sz w:val="21"/>
                      <w:szCs w:val="21"/>
                    </w:rPr>
                  </w:pPr>
                  <w:r>
                    <w:rPr>
                      <w:color w:val="auto"/>
                      <w:sz w:val="21"/>
                      <w:szCs w:val="21"/>
                    </w:rPr>
                    <w:t>850</w:t>
                  </w:r>
                </w:p>
              </w:tc>
              <w:tc>
                <w:tcPr>
                  <w:tcW w:w="546" w:type="pct"/>
                  <w:vAlign w:val="center"/>
                </w:tcPr>
                <w:p>
                  <w:pPr>
                    <w:bidi w:val="0"/>
                    <w:spacing w:line="240" w:lineRule="auto"/>
                    <w:jc w:val="center"/>
                    <w:rPr>
                      <w:color w:val="auto"/>
                      <w:sz w:val="21"/>
                      <w:szCs w:val="21"/>
                    </w:rPr>
                  </w:pPr>
                  <w:r>
                    <w:rPr>
                      <w:color w:val="auto"/>
                      <w:sz w:val="21"/>
                      <w:szCs w:val="21"/>
                    </w:rPr>
                    <w:t>850</w:t>
                  </w:r>
                </w:p>
              </w:tc>
              <w:tc>
                <w:tcPr>
                  <w:tcW w:w="793" w:type="pct"/>
                  <w:vAlign w:val="center"/>
                </w:tcPr>
                <w:p>
                  <w:pPr>
                    <w:bidi w:val="0"/>
                    <w:spacing w:line="240" w:lineRule="auto"/>
                    <w:jc w:val="center"/>
                    <w:rPr>
                      <w:color w:val="auto"/>
                      <w:sz w:val="21"/>
                      <w:szCs w:val="21"/>
                    </w:rPr>
                  </w:pPr>
                  <w:r>
                    <w:rPr>
                      <w:color w:val="auto"/>
                      <w:sz w:val="21"/>
                      <w:szCs w:val="21"/>
                    </w:rPr>
                    <w:t>裸土地</w:t>
                  </w:r>
                </w:p>
              </w:tc>
              <w:tc>
                <w:tcPr>
                  <w:tcW w:w="1302" w:type="pct"/>
                  <w:vAlign w:val="center"/>
                </w:tcPr>
                <w:p>
                  <w:pPr>
                    <w:bidi w:val="0"/>
                    <w:spacing w:line="240" w:lineRule="auto"/>
                    <w:jc w:val="center"/>
                    <w:rPr>
                      <w:color w:val="auto"/>
                      <w:sz w:val="21"/>
                      <w:szCs w:val="21"/>
                    </w:rPr>
                  </w:pPr>
                  <w:r>
                    <w:rPr>
                      <w:color w:val="auto"/>
                      <w:sz w:val="21"/>
                      <w:szCs w:val="21"/>
                    </w:rPr>
                    <w:t>17个塔基，每个塔基占地 50m</w:t>
                  </w:r>
                  <w:r>
                    <w:rPr>
                      <w:color w:val="auto"/>
                      <w:sz w:val="21"/>
                      <w:szCs w:val="21"/>
                      <w:vertAlign w:val="superscript"/>
                    </w:rPr>
                    <w:t>2</w:t>
                  </w:r>
                  <w:r>
                    <w:rPr>
                      <w:color w:val="auto"/>
                      <w:sz w:val="21"/>
                      <w:szCs w:val="21"/>
                    </w:rPr>
                    <w:t>，塔基总占地面积为 850m</w:t>
                  </w:r>
                  <w:r>
                    <w:rPr>
                      <w:color w:val="auto"/>
                      <w:sz w:val="21"/>
                      <w:szCs w:val="21"/>
                      <w:vertAlign w:val="superscript"/>
                    </w:rPr>
                    <w:t>2</w:t>
                  </w:r>
                  <w:r>
                    <w:rPr>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769" w:type="pct"/>
                  <w:vMerge w:val="continue"/>
                  <w:vAlign w:val="center"/>
                </w:tcPr>
                <w:p>
                  <w:pPr>
                    <w:bidi w:val="0"/>
                    <w:spacing w:line="240" w:lineRule="auto"/>
                    <w:jc w:val="center"/>
                    <w:rPr>
                      <w:color w:val="auto"/>
                      <w:sz w:val="21"/>
                      <w:szCs w:val="21"/>
                    </w:rPr>
                  </w:pPr>
                </w:p>
              </w:tc>
              <w:tc>
                <w:tcPr>
                  <w:tcW w:w="597" w:type="pct"/>
                  <w:vAlign w:val="center"/>
                </w:tcPr>
                <w:p>
                  <w:pPr>
                    <w:bidi w:val="0"/>
                    <w:spacing w:line="240" w:lineRule="auto"/>
                    <w:jc w:val="center"/>
                    <w:rPr>
                      <w:color w:val="auto"/>
                      <w:sz w:val="21"/>
                      <w:szCs w:val="21"/>
                    </w:rPr>
                  </w:pPr>
                  <w:r>
                    <w:rPr>
                      <w:color w:val="auto"/>
                      <w:sz w:val="21"/>
                      <w:szCs w:val="21"/>
                    </w:rPr>
                    <w:t>施工便道</w:t>
                  </w:r>
                </w:p>
              </w:tc>
              <w:tc>
                <w:tcPr>
                  <w:tcW w:w="487" w:type="pct"/>
                  <w:vAlign w:val="center"/>
                </w:tcPr>
                <w:p>
                  <w:pPr>
                    <w:bidi w:val="0"/>
                    <w:spacing w:line="240" w:lineRule="auto"/>
                    <w:jc w:val="center"/>
                    <w:rPr>
                      <w:color w:val="auto"/>
                      <w:sz w:val="21"/>
                      <w:szCs w:val="21"/>
                    </w:rPr>
                  </w:pPr>
                  <w:r>
                    <w:rPr>
                      <w:color w:val="auto"/>
                      <w:sz w:val="21"/>
                      <w:szCs w:val="21"/>
                    </w:rPr>
                    <w:t>0</w:t>
                  </w:r>
                </w:p>
              </w:tc>
              <w:tc>
                <w:tcPr>
                  <w:tcW w:w="502" w:type="pct"/>
                  <w:vAlign w:val="center"/>
                </w:tcPr>
                <w:p>
                  <w:pPr>
                    <w:bidi w:val="0"/>
                    <w:spacing w:line="240" w:lineRule="auto"/>
                    <w:jc w:val="center"/>
                    <w:rPr>
                      <w:color w:val="auto"/>
                      <w:sz w:val="21"/>
                      <w:szCs w:val="21"/>
                    </w:rPr>
                  </w:pPr>
                  <w:r>
                    <w:rPr>
                      <w:color w:val="auto"/>
                      <w:sz w:val="21"/>
                      <w:szCs w:val="21"/>
                    </w:rPr>
                    <w:t>15400</w:t>
                  </w:r>
                </w:p>
              </w:tc>
              <w:tc>
                <w:tcPr>
                  <w:tcW w:w="546" w:type="pct"/>
                  <w:vAlign w:val="center"/>
                </w:tcPr>
                <w:p>
                  <w:pPr>
                    <w:bidi w:val="0"/>
                    <w:spacing w:line="240" w:lineRule="auto"/>
                    <w:jc w:val="center"/>
                    <w:rPr>
                      <w:color w:val="auto"/>
                      <w:sz w:val="21"/>
                      <w:szCs w:val="21"/>
                    </w:rPr>
                  </w:pPr>
                  <w:r>
                    <w:rPr>
                      <w:color w:val="auto"/>
                      <w:sz w:val="21"/>
                      <w:szCs w:val="21"/>
                    </w:rPr>
                    <w:t>15400</w:t>
                  </w:r>
                </w:p>
              </w:tc>
              <w:tc>
                <w:tcPr>
                  <w:tcW w:w="793" w:type="pct"/>
                  <w:vAlign w:val="center"/>
                </w:tcPr>
                <w:p>
                  <w:pPr>
                    <w:bidi w:val="0"/>
                    <w:spacing w:line="240" w:lineRule="auto"/>
                    <w:jc w:val="center"/>
                    <w:rPr>
                      <w:color w:val="auto"/>
                      <w:sz w:val="21"/>
                      <w:szCs w:val="21"/>
                    </w:rPr>
                  </w:pPr>
                  <w:r>
                    <w:rPr>
                      <w:color w:val="auto"/>
                      <w:sz w:val="21"/>
                      <w:szCs w:val="21"/>
                    </w:rPr>
                    <w:t>裸土地</w:t>
                  </w:r>
                </w:p>
              </w:tc>
              <w:tc>
                <w:tcPr>
                  <w:tcW w:w="1302" w:type="pct"/>
                  <w:vAlign w:val="center"/>
                </w:tcPr>
                <w:p>
                  <w:pPr>
                    <w:bidi w:val="0"/>
                    <w:spacing w:line="240" w:lineRule="auto"/>
                    <w:jc w:val="center"/>
                    <w:rPr>
                      <w:color w:val="auto"/>
                      <w:sz w:val="21"/>
                      <w:szCs w:val="21"/>
                    </w:rPr>
                  </w:pPr>
                  <w:r>
                    <w:rPr>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367" w:type="pct"/>
                  <w:gridSpan w:val="2"/>
                  <w:vAlign w:val="center"/>
                </w:tcPr>
                <w:p>
                  <w:pPr>
                    <w:bidi w:val="0"/>
                    <w:spacing w:line="240" w:lineRule="auto"/>
                    <w:jc w:val="center"/>
                    <w:rPr>
                      <w:color w:val="auto"/>
                      <w:sz w:val="21"/>
                      <w:szCs w:val="21"/>
                    </w:rPr>
                  </w:pPr>
                  <w:r>
                    <w:rPr>
                      <w:color w:val="auto"/>
                      <w:sz w:val="21"/>
                      <w:szCs w:val="21"/>
                    </w:rPr>
                    <w:t>小计</w:t>
                  </w:r>
                </w:p>
              </w:tc>
              <w:tc>
                <w:tcPr>
                  <w:tcW w:w="487" w:type="pct"/>
                  <w:vAlign w:val="center"/>
                </w:tcPr>
                <w:p>
                  <w:pPr>
                    <w:bidi w:val="0"/>
                    <w:spacing w:line="240" w:lineRule="auto"/>
                    <w:jc w:val="center"/>
                    <w:rPr>
                      <w:color w:val="auto"/>
                      <w:sz w:val="21"/>
                      <w:szCs w:val="21"/>
                    </w:rPr>
                  </w:pPr>
                  <w:r>
                    <w:rPr>
                      <w:color w:val="auto"/>
                      <w:sz w:val="21"/>
                      <w:szCs w:val="21"/>
                    </w:rPr>
                    <w:t>30544</w:t>
                  </w:r>
                </w:p>
              </w:tc>
              <w:tc>
                <w:tcPr>
                  <w:tcW w:w="502" w:type="pct"/>
                  <w:vAlign w:val="center"/>
                </w:tcPr>
                <w:p>
                  <w:pPr>
                    <w:bidi w:val="0"/>
                    <w:spacing w:line="240" w:lineRule="auto"/>
                    <w:jc w:val="center"/>
                    <w:rPr>
                      <w:color w:val="auto"/>
                      <w:sz w:val="21"/>
                      <w:szCs w:val="21"/>
                    </w:rPr>
                  </w:pPr>
                  <w:r>
                    <w:rPr>
                      <w:color w:val="auto"/>
                      <w:sz w:val="21"/>
                      <w:szCs w:val="21"/>
                    </w:rPr>
                    <w:t>16450</w:t>
                  </w:r>
                </w:p>
              </w:tc>
              <w:tc>
                <w:tcPr>
                  <w:tcW w:w="546" w:type="pct"/>
                  <w:vAlign w:val="center"/>
                </w:tcPr>
                <w:p>
                  <w:pPr>
                    <w:bidi w:val="0"/>
                    <w:spacing w:line="240" w:lineRule="auto"/>
                    <w:jc w:val="center"/>
                    <w:rPr>
                      <w:color w:val="auto"/>
                      <w:sz w:val="21"/>
                      <w:szCs w:val="21"/>
                    </w:rPr>
                  </w:pPr>
                  <w:r>
                    <w:rPr>
                      <w:color w:val="auto"/>
                      <w:sz w:val="21"/>
                      <w:szCs w:val="21"/>
                    </w:rPr>
                    <w:t>46994</w:t>
                  </w:r>
                </w:p>
              </w:tc>
              <w:tc>
                <w:tcPr>
                  <w:tcW w:w="793" w:type="pct"/>
                  <w:vAlign w:val="center"/>
                </w:tcPr>
                <w:p>
                  <w:pPr>
                    <w:bidi w:val="0"/>
                    <w:spacing w:line="240" w:lineRule="auto"/>
                    <w:jc w:val="center"/>
                    <w:rPr>
                      <w:color w:val="auto"/>
                      <w:sz w:val="21"/>
                      <w:szCs w:val="21"/>
                    </w:rPr>
                  </w:pPr>
                  <w:r>
                    <w:rPr>
                      <w:color w:val="auto"/>
                      <w:sz w:val="21"/>
                      <w:szCs w:val="21"/>
                    </w:rPr>
                    <w:t>/</w:t>
                  </w:r>
                </w:p>
              </w:tc>
              <w:tc>
                <w:tcPr>
                  <w:tcW w:w="1302" w:type="pct"/>
                  <w:vAlign w:val="center"/>
                </w:tcPr>
                <w:p>
                  <w:pPr>
                    <w:bidi w:val="0"/>
                    <w:spacing w:line="240" w:lineRule="auto"/>
                    <w:jc w:val="center"/>
                    <w:rPr>
                      <w:color w:val="auto"/>
                      <w:sz w:val="21"/>
                      <w:szCs w:val="21"/>
                    </w:rPr>
                  </w:pPr>
                  <w:r>
                    <w:rPr>
                      <w:color w:val="auto"/>
                      <w:sz w:val="21"/>
                      <w:szCs w:val="21"/>
                    </w:rPr>
                    <w:t>/</w:t>
                  </w:r>
                </w:p>
              </w:tc>
            </w:tr>
          </w:tbl>
          <w:p>
            <w:pPr>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000" w:type="pct"/>
            <w:vAlign w:val="center"/>
          </w:tcPr>
          <w:p>
            <w:pPr>
              <w:bidi w:val="0"/>
              <w:spacing w:line="360" w:lineRule="auto"/>
              <w:jc w:val="both"/>
              <w:rPr>
                <w:b/>
                <w:bCs/>
                <w:color w:val="auto"/>
              </w:rPr>
            </w:pPr>
            <w:r>
              <w:rPr>
                <w:b/>
                <w:bCs/>
                <w:color w:val="auto"/>
              </w:rPr>
              <w:t>建设项目环境保护投资</w:t>
            </w:r>
          </w:p>
          <w:p>
            <w:pPr>
              <w:bidi w:val="0"/>
              <w:ind w:firstLine="480" w:firstLineChars="200"/>
              <w:rPr>
                <w:rFonts w:hint="default"/>
                <w:color w:val="auto"/>
                <w:lang w:val="en-US" w:eastAsia="zh-CN"/>
              </w:rPr>
            </w:pPr>
            <w:r>
              <w:rPr>
                <w:rFonts w:hint="default" w:ascii="Times New Roman" w:hAnsi="Times New Roman" w:cs="Times New Roman"/>
                <w:color w:val="auto"/>
              </w:rPr>
              <w:t>本项目环评阶段总投资为</w:t>
            </w:r>
            <w:r>
              <w:rPr>
                <w:rFonts w:hint="default" w:ascii="Times New Roman" w:hAnsi="Times New Roman" w:cs="Times New Roman"/>
                <w:color w:val="auto"/>
                <w:lang w:val="en-US" w:eastAsia="zh-CN"/>
              </w:rPr>
              <w:t>35344.43.00万元</w:t>
            </w:r>
            <w:r>
              <w:rPr>
                <w:rFonts w:hint="default" w:ascii="Times New Roman" w:hAnsi="Times New Roman" w:cs="Times New Roman"/>
                <w:color w:val="auto"/>
              </w:rPr>
              <w:t>，环保投资为</w:t>
            </w:r>
            <w:r>
              <w:rPr>
                <w:rFonts w:hint="default" w:ascii="Times New Roman" w:hAnsi="Times New Roman" w:cs="Times New Roman"/>
                <w:color w:val="auto"/>
                <w:lang w:val="en-US" w:eastAsia="zh-CN"/>
              </w:rPr>
              <w:t>128.50</w:t>
            </w:r>
            <w:r>
              <w:rPr>
                <w:rFonts w:hint="default" w:ascii="Times New Roman" w:hAnsi="Times New Roman" w:cs="Times New Roman"/>
                <w:color w:val="auto"/>
              </w:rPr>
              <w:t>万元，占总投资的</w:t>
            </w:r>
            <w:r>
              <w:rPr>
                <w:rFonts w:hint="default" w:ascii="Times New Roman" w:hAnsi="Times New Roman" w:cs="Times New Roman"/>
                <w:color w:val="auto"/>
                <w:lang w:val="en-US" w:eastAsia="zh-CN"/>
              </w:rPr>
              <w:t>0.36</w:t>
            </w:r>
            <w:r>
              <w:rPr>
                <w:rFonts w:hint="default" w:ascii="Times New Roman" w:hAnsi="Times New Roman" w:cs="Times New Roman"/>
                <w:color w:val="auto"/>
              </w:rPr>
              <w:t>%。经调查：项目建成后工程实际总投资</w:t>
            </w:r>
            <w:r>
              <w:rPr>
                <w:rFonts w:hint="default" w:ascii="Times New Roman" w:hAnsi="Times New Roman" w:cs="Times New Roman"/>
                <w:color w:val="auto"/>
                <w:lang w:val="en-US" w:eastAsia="zh-CN"/>
              </w:rPr>
              <w:t>35344.43.00</w:t>
            </w:r>
            <w:r>
              <w:rPr>
                <w:rFonts w:hint="default" w:ascii="Times New Roman" w:hAnsi="Times New Roman" w:cs="Times New Roman"/>
                <w:color w:val="auto"/>
              </w:rPr>
              <w:t>万元，其中实际完成环保投资</w:t>
            </w:r>
            <w:r>
              <w:rPr>
                <w:rFonts w:hint="default" w:ascii="Times New Roman" w:hAnsi="Times New Roman" w:cs="Times New Roman"/>
                <w:color w:val="auto"/>
                <w:lang w:val="en-US" w:eastAsia="zh-CN"/>
              </w:rPr>
              <w:t>135.1</w:t>
            </w:r>
            <w:r>
              <w:rPr>
                <w:rFonts w:hint="default" w:ascii="Times New Roman" w:hAnsi="Times New Roman" w:cs="Times New Roman"/>
                <w:color w:val="auto"/>
              </w:rPr>
              <w:t>万元，占实际总投资的</w:t>
            </w:r>
            <w:r>
              <w:rPr>
                <w:rFonts w:hint="default" w:ascii="Times New Roman" w:hAnsi="Times New Roman" w:cs="Times New Roman"/>
                <w:color w:val="auto"/>
                <w:lang w:val="en-US" w:eastAsia="zh-CN"/>
              </w:rPr>
              <w:t>0.38</w:t>
            </w:r>
            <w:r>
              <w:rPr>
                <w:rFonts w:hint="default" w:ascii="Times New Roman" w:hAnsi="Times New Roman" w:cs="Times New Roman"/>
                <w:color w:val="auto"/>
              </w:rPr>
              <w:t>%。</w:t>
            </w:r>
            <w:r>
              <w:rPr>
                <w:rFonts w:hint="default"/>
                <w:color w:val="auto"/>
              </w:rPr>
              <w:t>工程环保投资调查情况见表4-</w:t>
            </w:r>
            <w:r>
              <w:rPr>
                <w:rFonts w:hint="eastAsia"/>
                <w:color w:val="auto"/>
                <w:lang w:val="en-US" w:eastAsia="zh-CN"/>
              </w:rPr>
              <w:t>6</w:t>
            </w:r>
            <w:r>
              <w:rPr>
                <w:rFonts w:hint="default"/>
                <w:color w:val="auto"/>
              </w:rPr>
              <w:t>。</w:t>
            </w:r>
          </w:p>
          <w:p>
            <w:pPr>
              <w:bidi w:val="0"/>
              <w:spacing w:line="240" w:lineRule="auto"/>
              <w:jc w:val="center"/>
              <w:rPr>
                <w:rFonts w:hint="eastAsia"/>
                <w:b/>
                <w:bCs/>
                <w:color w:val="auto"/>
              </w:rPr>
            </w:pPr>
            <w:r>
              <w:rPr>
                <w:rFonts w:hint="eastAsia"/>
                <w:b/>
                <w:bCs/>
                <w:color w:val="auto"/>
                <w:lang w:val="en-US" w:eastAsia="zh-CN"/>
              </w:rPr>
              <w:t>表4-6  项目环境保护措施与投资情况一览表 单位：万元</w:t>
            </w:r>
          </w:p>
          <w:tbl>
            <w:tblPr>
              <w:tblStyle w:val="15"/>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5"/>
              <w:gridCol w:w="917"/>
              <w:gridCol w:w="5322"/>
              <w:gridCol w:w="1042"/>
              <w:gridCol w:w="1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Align w:val="center"/>
                </w:tcPr>
                <w:p>
                  <w:pPr>
                    <w:bidi w:val="0"/>
                    <w:spacing w:line="240" w:lineRule="auto"/>
                    <w:jc w:val="center"/>
                    <w:rPr>
                      <w:b/>
                      <w:bCs/>
                      <w:color w:val="auto"/>
                      <w:sz w:val="21"/>
                      <w:szCs w:val="21"/>
                    </w:rPr>
                  </w:pPr>
                  <w:r>
                    <w:rPr>
                      <w:b/>
                      <w:bCs/>
                      <w:color w:val="auto"/>
                      <w:sz w:val="21"/>
                      <w:szCs w:val="21"/>
                    </w:rPr>
                    <w:t>时段</w:t>
                  </w:r>
                </w:p>
              </w:tc>
              <w:tc>
                <w:tcPr>
                  <w:tcW w:w="484" w:type="pct"/>
                  <w:vAlign w:val="center"/>
                </w:tcPr>
                <w:p>
                  <w:pPr>
                    <w:bidi w:val="0"/>
                    <w:spacing w:line="240" w:lineRule="auto"/>
                    <w:jc w:val="center"/>
                    <w:rPr>
                      <w:b/>
                      <w:bCs/>
                      <w:color w:val="auto"/>
                      <w:sz w:val="21"/>
                      <w:szCs w:val="21"/>
                    </w:rPr>
                  </w:pPr>
                  <w:r>
                    <w:rPr>
                      <w:b/>
                      <w:bCs/>
                      <w:color w:val="auto"/>
                      <w:sz w:val="21"/>
                      <w:szCs w:val="21"/>
                    </w:rPr>
                    <w:t>污染源</w:t>
                  </w:r>
                </w:p>
              </w:tc>
              <w:tc>
                <w:tcPr>
                  <w:tcW w:w="2807" w:type="pct"/>
                  <w:vAlign w:val="center"/>
                </w:tcPr>
                <w:p>
                  <w:pPr>
                    <w:bidi w:val="0"/>
                    <w:spacing w:line="240" w:lineRule="auto"/>
                    <w:jc w:val="center"/>
                    <w:rPr>
                      <w:b/>
                      <w:bCs/>
                      <w:color w:val="auto"/>
                      <w:sz w:val="21"/>
                      <w:szCs w:val="21"/>
                    </w:rPr>
                  </w:pPr>
                  <w:r>
                    <w:rPr>
                      <w:b/>
                      <w:bCs/>
                      <w:color w:val="auto"/>
                      <w:sz w:val="21"/>
                      <w:szCs w:val="21"/>
                    </w:rPr>
                    <w:t>环保措施</w:t>
                  </w:r>
                </w:p>
              </w:tc>
              <w:tc>
                <w:tcPr>
                  <w:tcW w:w="550" w:type="pct"/>
                  <w:vAlign w:val="center"/>
                </w:tcPr>
                <w:p>
                  <w:pPr>
                    <w:bidi w:val="0"/>
                    <w:spacing w:line="240" w:lineRule="auto"/>
                    <w:jc w:val="center"/>
                    <w:rPr>
                      <w:b/>
                      <w:bCs/>
                      <w:color w:val="auto"/>
                      <w:sz w:val="21"/>
                      <w:szCs w:val="21"/>
                    </w:rPr>
                  </w:pPr>
                  <w:r>
                    <w:rPr>
                      <w:b/>
                      <w:bCs/>
                      <w:color w:val="auto"/>
                      <w:sz w:val="21"/>
                      <w:szCs w:val="21"/>
                    </w:rPr>
                    <w:t>环保投资（万元）</w:t>
                  </w:r>
                </w:p>
              </w:tc>
              <w:tc>
                <w:tcPr>
                  <w:tcW w:w="732" w:type="pct"/>
                  <w:vAlign w:val="center"/>
                </w:tcPr>
                <w:p>
                  <w:pPr>
                    <w:bidi w:val="0"/>
                    <w:spacing w:line="240" w:lineRule="auto"/>
                    <w:jc w:val="center"/>
                    <w:rPr>
                      <w:rFonts w:hint="eastAsia"/>
                      <w:b/>
                      <w:bCs/>
                      <w:color w:val="auto"/>
                      <w:sz w:val="21"/>
                      <w:szCs w:val="21"/>
                    </w:rPr>
                  </w:pPr>
                  <w:r>
                    <w:rPr>
                      <w:rFonts w:hint="eastAsia"/>
                      <w:b/>
                      <w:bCs/>
                      <w:color w:val="auto"/>
                      <w:sz w:val="21"/>
                      <w:szCs w:val="21"/>
                    </w:rPr>
                    <w:t>实际环保投资</w:t>
                  </w:r>
                </w:p>
                <w:p>
                  <w:pPr>
                    <w:bidi w:val="0"/>
                    <w:spacing w:line="240" w:lineRule="auto"/>
                    <w:jc w:val="center"/>
                    <w:rPr>
                      <w:rFonts w:hint="eastAsia"/>
                      <w:b/>
                      <w:bCs/>
                      <w:color w:val="auto"/>
                      <w:sz w:val="21"/>
                      <w:szCs w:val="21"/>
                    </w:rPr>
                  </w:pPr>
                  <w:r>
                    <w:rPr>
                      <w:b/>
                      <w:bCs/>
                      <w:color w:val="auto"/>
                      <w:sz w:val="21"/>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restart"/>
                  <w:vAlign w:val="center"/>
                </w:tcPr>
                <w:p>
                  <w:pPr>
                    <w:bidi w:val="0"/>
                    <w:spacing w:line="240" w:lineRule="auto"/>
                    <w:jc w:val="center"/>
                    <w:rPr>
                      <w:color w:val="auto"/>
                      <w:sz w:val="21"/>
                      <w:szCs w:val="21"/>
                    </w:rPr>
                  </w:pPr>
                  <w:r>
                    <w:rPr>
                      <w:color w:val="auto"/>
                      <w:sz w:val="21"/>
                      <w:szCs w:val="21"/>
                    </w:rPr>
                    <w:t>施工期</w:t>
                  </w:r>
                </w:p>
              </w:tc>
              <w:tc>
                <w:tcPr>
                  <w:tcW w:w="484" w:type="pct"/>
                  <w:vAlign w:val="center"/>
                </w:tcPr>
                <w:p>
                  <w:pPr>
                    <w:bidi w:val="0"/>
                    <w:spacing w:line="240" w:lineRule="auto"/>
                    <w:jc w:val="center"/>
                    <w:rPr>
                      <w:color w:val="auto"/>
                      <w:sz w:val="21"/>
                      <w:szCs w:val="21"/>
                    </w:rPr>
                  </w:pPr>
                  <w:r>
                    <w:rPr>
                      <w:color w:val="auto"/>
                      <w:sz w:val="21"/>
                      <w:szCs w:val="21"/>
                    </w:rPr>
                    <w:t>废气</w:t>
                  </w:r>
                </w:p>
              </w:tc>
              <w:tc>
                <w:tcPr>
                  <w:tcW w:w="2807" w:type="pct"/>
                  <w:vAlign w:val="center"/>
                </w:tcPr>
                <w:p>
                  <w:pPr>
                    <w:bidi w:val="0"/>
                    <w:spacing w:line="240" w:lineRule="auto"/>
                    <w:jc w:val="center"/>
                    <w:rPr>
                      <w:color w:val="auto"/>
                      <w:sz w:val="21"/>
                      <w:szCs w:val="21"/>
                    </w:rPr>
                  </w:pPr>
                  <w:r>
                    <w:rPr>
                      <w:color w:val="auto"/>
                      <w:sz w:val="21"/>
                      <w:szCs w:val="21"/>
                    </w:rPr>
                    <w:t>油烟净化器</w:t>
                  </w:r>
                </w:p>
              </w:tc>
              <w:tc>
                <w:tcPr>
                  <w:tcW w:w="550" w:type="pct"/>
                  <w:vAlign w:val="center"/>
                </w:tcPr>
                <w:p>
                  <w:pPr>
                    <w:bidi w:val="0"/>
                    <w:spacing w:line="240" w:lineRule="auto"/>
                    <w:jc w:val="center"/>
                    <w:rPr>
                      <w:color w:val="auto"/>
                      <w:sz w:val="21"/>
                      <w:szCs w:val="21"/>
                    </w:rPr>
                  </w:pPr>
                  <w:r>
                    <w:rPr>
                      <w:color w:val="auto"/>
                      <w:sz w:val="21"/>
                      <w:szCs w:val="21"/>
                    </w:rPr>
                    <w:t>1.0</w:t>
                  </w:r>
                </w:p>
              </w:tc>
              <w:tc>
                <w:tcPr>
                  <w:tcW w:w="1392" w:type="dxa"/>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Align w:val="center"/>
                </w:tcPr>
                <w:p>
                  <w:pPr>
                    <w:bidi w:val="0"/>
                    <w:spacing w:line="240" w:lineRule="auto"/>
                    <w:jc w:val="center"/>
                    <w:rPr>
                      <w:color w:val="auto"/>
                      <w:sz w:val="21"/>
                      <w:szCs w:val="21"/>
                    </w:rPr>
                  </w:pPr>
                  <w:r>
                    <w:rPr>
                      <w:color w:val="auto"/>
                      <w:sz w:val="21"/>
                      <w:szCs w:val="21"/>
                    </w:rPr>
                    <w:t>废水</w:t>
                  </w:r>
                </w:p>
              </w:tc>
              <w:tc>
                <w:tcPr>
                  <w:tcW w:w="2807" w:type="pct"/>
                  <w:vAlign w:val="center"/>
                </w:tcPr>
                <w:p>
                  <w:pPr>
                    <w:bidi w:val="0"/>
                    <w:spacing w:line="240" w:lineRule="auto"/>
                    <w:jc w:val="center"/>
                    <w:rPr>
                      <w:color w:val="auto"/>
                      <w:sz w:val="21"/>
                      <w:szCs w:val="21"/>
                    </w:rPr>
                  </w:pPr>
                  <w:r>
                    <w:rPr>
                      <w:color w:val="auto"/>
                      <w:sz w:val="21"/>
                      <w:szCs w:val="21"/>
                    </w:rPr>
                    <w:t>沉淀池、环保厕所</w:t>
                  </w:r>
                </w:p>
              </w:tc>
              <w:tc>
                <w:tcPr>
                  <w:tcW w:w="550" w:type="pct"/>
                  <w:vAlign w:val="center"/>
                </w:tcPr>
                <w:p>
                  <w:pPr>
                    <w:bidi w:val="0"/>
                    <w:spacing w:line="240" w:lineRule="auto"/>
                    <w:jc w:val="center"/>
                    <w:rPr>
                      <w:color w:val="auto"/>
                      <w:sz w:val="21"/>
                      <w:szCs w:val="21"/>
                    </w:rPr>
                  </w:pPr>
                  <w:r>
                    <w:rPr>
                      <w:color w:val="auto"/>
                      <w:sz w:val="21"/>
                      <w:szCs w:val="21"/>
                    </w:rPr>
                    <w:t>依托</w:t>
                  </w:r>
                </w:p>
              </w:tc>
              <w:tc>
                <w:tcPr>
                  <w:tcW w:w="1392" w:type="dxa"/>
                  <w:vAlign w:val="center"/>
                </w:tcPr>
                <w:p>
                  <w:pPr>
                    <w:bidi w:val="0"/>
                    <w:spacing w:line="240" w:lineRule="auto"/>
                    <w:jc w:val="center"/>
                    <w:rPr>
                      <w:color w:val="auto"/>
                      <w:sz w:val="21"/>
                      <w:szCs w:val="21"/>
                    </w:rPr>
                  </w:pPr>
                  <w:r>
                    <w:rPr>
                      <w:color w:val="auto"/>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Align w:val="center"/>
                </w:tcPr>
                <w:p>
                  <w:pPr>
                    <w:bidi w:val="0"/>
                    <w:spacing w:line="240" w:lineRule="auto"/>
                    <w:jc w:val="center"/>
                    <w:rPr>
                      <w:color w:val="auto"/>
                      <w:sz w:val="21"/>
                      <w:szCs w:val="21"/>
                    </w:rPr>
                  </w:pPr>
                  <w:r>
                    <w:rPr>
                      <w:color w:val="auto"/>
                      <w:sz w:val="21"/>
                      <w:szCs w:val="21"/>
                    </w:rPr>
                    <w:t>废气</w:t>
                  </w:r>
                </w:p>
              </w:tc>
              <w:tc>
                <w:tcPr>
                  <w:tcW w:w="2807" w:type="pct"/>
                  <w:vAlign w:val="center"/>
                </w:tcPr>
                <w:p>
                  <w:pPr>
                    <w:bidi w:val="0"/>
                    <w:spacing w:line="240" w:lineRule="auto"/>
                    <w:jc w:val="center"/>
                    <w:rPr>
                      <w:color w:val="auto"/>
                      <w:sz w:val="21"/>
                      <w:szCs w:val="21"/>
                    </w:rPr>
                  </w:pPr>
                  <w:r>
                    <w:rPr>
                      <w:color w:val="auto"/>
                      <w:sz w:val="21"/>
                      <w:szCs w:val="21"/>
                    </w:rPr>
                    <w:t>洒水抑尘、遮盖</w:t>
                  </w:r>
                </w:p>
              </w:tc>
              <w:tc>
                <w:tcPr>
                  <w:tcW w:w="550" w:type="pct"/>
                  <w:vAlign w:val="center"/>
                </w:tcPr>
                <w:p>
                  <w:pPr>
                    <w:bidi w:val="0"/>
                    <w:spacing w:line="240" w:lineRule="auto"/>
                    <w:jc w:val="center"/>
                    <w:rPr>
                      <w:color w:val="auto"/>
                      <w:sz w:val="21"/>
                      <w:szCs w:val="21"/>
                    </w:rPr>
                  </w:pPr>
                  <w:r>
                    <w:rPr>
                      <w:color w:val="auto"/>
                      <w:sz w:val="21"/>
                      <w:szCs w:val="21"/>
                    </w:rPr>
                    <w:t>0.5</w:t>
                  </w:r>
                </w:p>
              </w:tc>
              <w:tc>
                <w:tcPr>
                  <w:tcW w:w="1392" w:type="dxa"/>
                  <w:vAlign w:val="center"/>
                </w:tcPr>
                <w:p>
                  <w:pPr>
                    <w:bidi w:val="0"/>
                    <w:spacing w:line="240" w:lineRule="auto"/>
                    <w:jc w:val="center"/>
                    <w:rPr>
                      <w:rFonts w:hint="eastAsia" w:eastAsia="宋体"/>
                      <w:color w:val="auto"/>
                      <w:sz w:val="21"/>
                      <w:szCs w:val="21"/>
                      <w:lang w:val="en-US" w:eastAsia="zh-CN"/>
                    </w:rPr>
                  </w:pPr>
                  <w:r>
                    <w:rPr>
                      <w:color w:val="auto"/>
                      <w:sz w:val="21"/>
                      <w:szCs w:val="21"/>
                    </w:rPr>
                    <w:t>0.</w:t>
                  </w:r>
                  <w:r>
                    <w:rPr>
                      <w:rFonts w:hint="eastAsia"/>
                      <w:color w:val="auto"/>
                      <w:sz w:val="21"/>
                      <w:szCs w:val="21"/>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Merge w:val="restart"/>
                  <w:vAlign w:val="center"/>
                </w:tcPr>
                <w:p>
                  <w:pPr>
                    <w:bidi w:val="0"/>
                    <w:spacing w:line="240" w:lineRule="auto"/>
                    <w:jc w:val="center"/>
                    <w:rPr>
                      <w:color w:val="auto"/>
                      <w:sz w:val="21"/>
                      <w:szCs w:val="21"/>
                    </w:rPr>
                  </w:pPr>
                  <w:r>
                    <w:rPr>
                      <w:color w:val="auto"/>
                      <w:sz w:val="21"/>
                      <w:szCs w:val="21"/>
                    </w:rPr>
                    <w:t>固废</w:t>
                  </w:r>
                </w:p>
              </w:tc>
              <w:tc>
                <w:tcPr>
                  <w:tcW w:w="2807" w:type="pct"/>
                  <w:vAlign w:val="center"/>
                </w:tcPr>
                <w:p>
                  <w:pPr>
                    <w:bidi w:val="0"/>
                    <w:spacing w:line="240" w:lineRule="auto"/>
                    <w:jc w:val="center"/>
                    <w:rPr>
                      <w:color w:val="auto"/>
                      <w:sz w:val="21"/>
                      <w:szCs w:val="21"/>
                    </w:rPr>
                  </w:pPr>
                  <w:r>
                    <w:rPr>
                      <w:color w:val="auto"/>
                      <w:sz w:val="21"/>
                      <w:szCs w:val="21"/>
                    </w:rPr>
                    <w:t>集中收集运往环卫部门指定地点处理</w:t>
                  </w:r>
                </w:p>
              </w:tc>
              <w:tc>
                <w:tcPr>
                  <w:tcW w:w="550" w:type="pct"/>
                  <w:vAlign w:val="center"/>
                </w:tcPr>
                <w:p>
                  <w:pPr>
                    <w:bidi w:val="0"/>
                    <w:spacing w:line="240" w:lineRule="auto"/>
                    <w:jc w:val="center"/>
                    <w:rPr>
                      <w:color w:val="auto"/>
                      <w:sz w:val="21"/>
                      <w:szCs w:val="21"/>
                    </w:rPr>
                  </w:pPr>
                  <w:r>
                    <w:rPr>
                      <w:color w:val="auto"/>
                      <w:sz w:val="21"/>
                      <w:szCs w:val="21"/>
                    </w:rPr>
                    <w:t>0.5</w:t>
                  </w:r>
                </w:p>
              </w:tc>
              <w:tc>
                <w:tcPr>
                  <w:tcW w:w="1392" w:type="dxa"/>
                  <w:vAlign w:val="center"/>
                </w:tcPr>
                <w:p>
                  <w:pPr>
                    <w:bidi w:val="0"/>
                    <w:spacing w:line="240" w:lineRule="auto"/>
                    <w:jc w:val="center"/>
                    <w:rPr>
                      <w:rFonts w:hint="eastAsia" w:eastAsia="宋体"/>
                      <w:color w:val="auto"/>
                      <w:sz w:val="21"/>
                      <w:szCs w:val="21"/>
                      <w:lang w:val="en-US" w:eastAsia="zh-CN"/>
                    </w:rPr>
                  </w:pPr>
                  <w:r>
                    <w:rPr>
                      <w:color w:val="auto"/>
                      <w:sz w:val="21"/>
                      <w:szCs w:val="21"/>
                    </w:rPr>
                    <w:t>0.</w:t>
                  </w:r>
                  <w:r>
                    <w:rPr>
                      <w:rFonts w:hint="eastAsia"/>
                      <w:color w:val="auto"/>
                      <w:sz w:val="21"/>
                      <w:szCs w:val="21"/>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Merge w:val="continue"/>
                  <w:vAlign w:val="center"/>
                </w:tcPr>
                <w:p>
                  <w:pPr>
                    <w:bidi w:val="0"/>
                    <w:spacing w:line="240" w:lineRule="auto"/>
                    <w:jc w:val="center"/>
                    <w:rPr>
                      <w:color w:val="auto"/>
                      <w:sz w:val="21"/>
                      <w:szCs w:val="21"/>
                    </w:rPr>
                  </w:pPr>
                </w:p>
              </w:tc>
              <w:tc>
                <w:tcPr>
                  <w:tcW w:w="2807" w:type="pct"/>
                  <w:vAlign w:val="center"/>
                </w:tcPr>
                <w:p>
                  <w:pPr>
                    <w:bidi w:val="0"/>
                    <w:spacing w:line="240" w:lineRule="auto"/>
                    <w:jc w:val="center"/>
                    <w:rPr>
                      <w:color w:val="auto"/>
                      <w:sz w:val="21"/>
                      <w:szCs w:val="21"/>
                    </w:rPr>
                  </w:pPr>
                  <w:r>
                    <w:rPr>
                      <w:color w:val="auto"/>
                      <w:sz w:val="21"/>
                      <w:szCs w:val="21"/>
                    </w:rPr>
                    <w:t>建筑垃圾清运至城建部门指定的地点处置</w:t>
                  </w:r>
                </w:p>
              </w:tc>
              <w:tc>
                <w:tcPr>
                  <w:tcW w:w="550" w:type="pct"/>
                  <w:vAlign w:val="center"/>
                </w:tcPr>
                <w:p>
                  <w:pPr>
                    <w:bidi w:val="0"/>
                    <w:spacing w:line="240" w:lineRule="auto"/>
                    <w:jc w:val="center"/>
                    <w:rPr>
                      <w:color w:val="auto"/>
                      <w:sz w:val="21"/>
                      <w:szCs w:val="21"/>
                    </w:rPr>
                  </w:pPr>
                  <w:r>
                    <w:rPr>
                      <w:color w:val="auto"/>
                      <w:sz w:val="21"/>
                      <w:szCs w:val="21"/>
                    </w:rPr>
                    <w:t>0.5</w:t>
                  </w:r>
                </w:p>
              </w:tc>
              <w:tc>
                <w:tcPr>
                  <w:tcW w:w="1392" w:type="dxa"/>
                  <w:vAlign w:val="center"/>
                </w:tcPr>
                <w:p>
                  <w:pPr>
                    <w:bidi w:val="0"/>
                    <w:spacing w:line="240" w:lineRule="auto"/>
                    <w:jc w:val="center"/>
                    <w:rPr>
                      <w:rFonts w:hint="eastAsia" w:eastAsia="宋体"/>
                      <w:color w:val="auto"/>
                      <w:sz w:val="21"/>
                      <w:szCs w:val="21"/>
                      <w:lang w:val="en-US" w:eastAsia="zh-CN"/>
                    </w:rPr>
                  </w:pPr>
                  <w:r>
                    <w:rPr>
                      <w:color w:val="auto"/>
                      <w:sz w:val="21"/>
                      <w:szCs w:val="21"/>
                    </w:rPr>
                    <w:t>0.</w:t>
                  </w:r>
                  <w:r>
                    <w:rPr>
                      <w:rFonts w:hint="eastAsia"/>
                      <w:color w:val="auto"/>
                      <w:sz w:val="21"/>
                      <w:szCs w:val="21"/>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Merge w:val="continue"/>
                  <w:vAlign w:val="center"/>
                </w:tcPr>
                <w:p>
                  <w:pPr>
                    <w:bidi w:val="0"/>
                    <w:spacing w:line="240" w:lineRule="auto"/>
                    <w:jc w:val="center"/>
                    <w:rPr>
                      <w:color w:val="auto"/>
                      <w:sz w:val="21"/>
                      <w:szCs w:val="21"/>
                    </w:rPr>
                  </w:pPr>
                </w:p>
              </w:tc>
              <w:tc>
                <w:tcPr>
                  <w:tcW w:w="2807" w:type="pct"/>
                  <w:vAlign w:val="center"/>
                </w:tcPr>
                <w:p>
                  <w:pPr>
                    <w:bidi w:val="0"/>
                    <w:spacing w:line="240" w:lineRule="auto"/>
                    <w:jc w:val="center"/>
                    <w:rPr>
                      <w:color w:val="auto"/>
                      <w:sz w:val="21"/>
                      <w:szCs w:val="21"/>
                    </w:rPr>
                  </w:pPr>
                  <w:r>
                    <w:rPr>
                      <w:color w:val="auto"/>
                      <w:sz w:val="21"/>
                      <w:szCs w:val="21"/>
                    </w:rPr>
                    <w:t>废包装材料运至城建部门指定的建筑垃圾填埋场进行处置</w:t>
                  </w:r>
                </w:p>
              </w:tc>
              <w:tc>
                <w:tcPr>
                  <w:tcW w:w="550" w:type="pct"/>
                  <w:vAlign w:val="center"/>
                </w:tcPr>
                <w:p>
                  <w:pPr>
                    <w:bidi w:val="0"/>
                    <w:spacing w:line="240" w:lineRule="auto"/>
                    <w:jc w:val="center"/>
                    <w:rPr>
                      <w:color w:val="auto"/>
                      <w:sz w:val="21"/>
                      <w:szCs w:val="21"/>
                    </w:rPr>
                  </w:pPr>
                  <w:r>
                    <w:rPr>
                      <w:color w:val="auto"/>
                      <w:sz w:val="21"/>
                      <w:szCs w:val="21"/>
                    </w:rPr>
                    <w:t>1.0</w:t>
                  </w:r>
                </w:p>
              </w:tc>
              <w:tc>
                <w:tcPr>
                  <w:tcW w:w="1392" w:type="dxa"/>
                  <w:vAlign w:val="center"/>
                </w:tcPr>
                <w:p>
                  <w:pPr>
                    <w:bidi w:val="0"/>
                    <w:spacing w:line="240" w:lineRule="auto"/>
                    <w:jc w:val="center"/>
                    <w:rPr>
                      <w:rFonts w:hint="eastAsia" w:eastAsia="宋体"/>
                      <w:color w:val="auto"/>
                      <w:sz w:val="21"/>
                      <w:szCs w:val="21"/>
                      <w:lang w:val="en-US" w:eastAsia="zh-CN"/>
                    </w:rPr>
                  </w:pPr>
                  <w:r>
                    <w:rPr>
                      <w:color w:val="auto"/>
                      <w:sz w:val="21"/>
                      <w:szCs w:val="21"/>
                    </w:rPr>
                    <w:t>1.</w:t>
                  </w:r>
                  <w:r>
                    <w:rPr>
                      <w:rFonts w:hint="eastAsia"/>
                      <w:color w:val="auto"/>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Align w:val="center"/>
                </w:tcPr>
                <w:p>
                  <w:pPr>
                    <w:bidi w:val="0"/>
                    <w:spacing w:line="240" w:lineRule="auto"/>
                    <w:jc w:val="center"/>
                    <w:rPr>
                      <w:color w:val="auto"/>
                      <w:sz w:val="21"/>
                      <w:szCs w:val="21"/>
                    </w:rPr>
                  </w:pPr>
                  <w:r>
                    <w:rPr>
                      <w:color w:val="auto"/>
                      <w:sz w:val="21"/>
                      <w:szCs w:val="21"/>
                    </w:rPr>
                    <w:t>生态恢复</w:t>
                  </w:r>
                </w:p>
              </w:tc>
              <w:tc>
                <w:tcPr>
                  <w:tcW w:w="2807" w:type="pct"/>
                  <w:vAlign w:val="center"/>
                </w:tcPr>
                <w:p>
                  <w:pPr>
                    <w:bidi w:val="0"/>
                    <w:spacing w:line="240" w:lineRule="auto"/>
                    <w:jc w:val="center"/>
                    <w:rPr>
                      <w:color w:val="auto"/>
                      <w:sz w:val="21"/>
                      <w:szCs w:val="21"/>
                    </w:rPr>
                  </w:pPr>
                  <w:r>
                    <w:rPr>
                      <w:color w:val="auto"/>
                      <w:sz w:val="21"/>
                      <w:szCs w:val="21"/>
                    </w:rPr>
                    <w:t>施工便道、牵张场、塔基场地等土地整治措施</w:t>
                  </w:r>
                </w:p>
              </w:tc>
              <w:tc>
                <w:tcPr>
                  <w:tcW w:w="550" w:type="pct"/>
                  <w:vAlign w:val="center"/>
                </w:tcPr>
                <w:p>
                  <w:pPr>
                    <w:bidi w:val="0"/>
                    <w:spacing w:line="240" w:lineRule="auto"/>
                    <w:jc w:val="center"/>
                    <w:rPr>
                      <w:color w:val="auto"/>
                      <w:sz w:val="21"/>
                      <w:szCs w:val="21"/>
                    </w:rPr>
                  </w:pPr>
                  <w:r>
                    <w:rPr>
                      <w:color w:val="auto"/>
                      <w:sz w:val="21"/>
                      <w:szCs w:val="21"/>
                    </w:rPr>
                    <w:t>75</w:t>
                  </w:r>
                </w:p>
              </w:tc>
              <w:tc>
                <w:tcPr>
                  <w:tcW w:w="1392" w:type="dxa"/>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restart"/>
                  <w:vAlign w:val="center"/>
                </w:tcPr>
                <w:p>
                  <w:pPr>
                    <w:bidi w:val="0"/>
                    <w:spacing w:line="240" w:lineRule="auto"/>
                    <w:jc w:val="center"/>
                    <w:rPr>
                      <w:color w:val="auto"/>
                      <w:sz w:val="21"/>
                      <w:szCs w:val="21"/>
                    </w:rPr>
                  </w:pPr>
                  <w:r>
                    <w:rPr>
                      <w:color w:val="auto"/>
                      <w:sz w:val="21"/>
                      <w:szCs w:val="21"/>
                    </w:rPr>
                    <w:t>运营期</w:t>
                  </w:r>
                </w:p>
              </w:tc>
              <w:tc>
                <w:tcPr>
                  <w:tcW w:w="484" w:type="pct"/>
                  <w:vAlign w:val="center"/>
                </w:tcPr>
                <w:p>
                  <w:pPr>
                    <w:bidi w:val="0"/>
                    <w:spacing w:line="240" w:lineRule="auto"/>
                    <w:jc w:val="center"/>
                    <w:rPr>
                      <w:color w:val="auto"/>
                      <w:sz w:val="21"/>
                      <w:szCs w:val="21"/>
                    </w:rPr>
                  </w:pPr>
                  <w:r>
                    <w:rPr>
                      <w:color w:val="auto"/>
                      <w:sz w:val="21"/>
                      <w:szCs w:val="21"/>
                    </w:rPr>
                    <w:t>废水</w:t>
                  </w:r>
                </w:p>
              </w:tc>
              <w:tc>
                <w:tcPr>
                  <w:tcW w:w="2807" w:type="pct"/>
                  <w:vAlign w:val="center"/>
                </w:tcPr>
                <w:p>
                  <w:pPr>
                    <w:bidi w:val="0"/>
                    <w:spacing w:line="240" w:lineRule="auto"/>
                    <w:jc w:val="center"/>
                    <w:rPr>
                      <w:color w:val="auto"/>
                      <w:sz w:val="21"/>
                      <w:szCs w:val="21"/>
                    </w:rPr>
                  </w:pPr>
                  <w:r>
                    <w:rPr>
                      <w:color w:val="auto"/>
                      <w:sz w:val="21"/>
                      <w:szCs w:val="21"/>
                    </w:rPr>
                    <w:t>隔油池（1.0m</w:t>
                  </w:r>
                  <w:r>
                    <w:rPr>
                      <w:color w:val="auto"/>
                      <w:sz w:val="21"/>
                      <w:szCs w:val="21"/>
                      <w:vertAlign w:val="superscript"/>
                    </w:rPr>
                    <w:t>3</w:t>
                  </w:r>
                  <w:r>
                    <w:rPr>
                      <w:color w:val="auto"/>
                      <w:sz w:val="21"/>
                      <w:szCs w:val="21"/>
                    </w:rPr>
                    <w:t>）+一体化污水处理设施（</w:t>
                  </w:r>
                  <w:r>
                    <w:rPr>
                      <w:rFonts w:hint="eastAsia"/>
                      <w:color w:val="auto"/>
                      <w:sz w:val="21"/>
                      <w:szCs w:val="21"/>
                      <w:lang w:val="en-US" w:eastAsia="zh-CN"/>
                    </w:rPr>
                    <w:t>20</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lang w:val="en-US" w:eastAsia="zh-CN"/>
                    </w:rPr>
                    <w:t>d</w:t>
                  </w:r>
                  <w:r>
                    <w:rPr>
                      <w:color w:val="auto"/>
                      <w:sz w:val="21"/>
                      <w:szCs w:val="21"/>
                    </w:rPr>
                    <w:t>）</w:t>
                  </w:r>
                </w:p>
              </w:tc>
              <w:tc>
                <w:tcPr>
                  <w:tcW w:w="550" w:type="pct"/>
                  <w:vAlign w:val="center"/>
                </w:tcPr>
                <w:p>
                  <w:pPr>
                    <w:bidi w:val="0"/>
                    <w:spacing w:line="240" w:lineRule="auto"/>
                    <w:jc w:val="center"/>
                    <w:rPr>
                      <w:color w:val="auto"/>
                      <w:sz w:val="21"/>
                      <w:szCs w:val="21"/>
                    </w:rPr>
                  </w:pPr>
                  <w:r>
                    <w:rPr>
                      <w:color w:val="auto"/>
                      <w:sz w:val="21"/>
                      <w:szCs w:val="21"/>
                    </w:rPr>
                    <w:t>5</w:t>
                  </w:r>
                </w:p>
              </w:tc>
              <w:tc>
                <w:tcPr>
                  <w:tcW w:w="1392" w:type="dxa"/>
                  <w:vAlign w:val="center"/>
                </w:tcPr>
                <w:p>
                  <w:pPr>
                    <w:bidi w:val="0"/>
                    <w:spacing w:line="240" w:lineRule="auto"/>
                    <w:jc w:val="center"/>
                    <w:rPr>
                      <w:rFonts w:hint="eastAsia" w:eastAsia="宋体"/>
                      <w:color w:val="auto"/>
                      <w:sz w:val="21"/>
                      <w:szCs w:val="21"/>
                      <w:lang w:eastAsia="zh-CN"/>
                    </w:rPr>
                  </w:pPr>
                  <w:r>
                    <w:rPr>
                      <w:rFonts w:hint="eastAsia"/>
                      <w:color w:val="auto"/>
                      <w:sz w:val="21"/>
                      <w:szCs w:val="21"/>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Align w:val="center"/>
                </w:tcPr>
                <w:p>
                  <w:pPr>
                    <w:bidi w:val="0"/>
                    <w:spacing w:line="240" w:lineRule="auto"/>
                    <w:jc w:val="center"/>
                    <w:rPr>
                      <w:color w:val="auto"/>
                      <w:sz w:val="21"/>
                      <w:szCs w:val="21"/>
                    </w:rPr>
                  </w:pPr>
                  <w:r>
                    <w:rPr>
                      <w:color w:val="auto"/>
                      <w:sz w:val="21"/>
                      <w:szCs w:val="21"/>
                    </w:rPr>
                    <w:t>噪声</w:t>
                  </w:r>
                </w:p>
              </w:tc>
              <w:tc>
                <w:tcPr>
                  <w:tcW w:w="2807" w:type="pct"/>
                  <w:vAlign w:val="center"/>
                </w:tcPr>
                <w:p>
                  <w:pPr>
                    <w:bidi w:val="0"/>
                    <w:spacing w:line="240" w:lineRule="auto"/>
                    <w:jc w:val="center"/>
                    <w:rPr>
                      <w:color w:val="auto"/>
                      <w:sz w:val="21"/>
                      <w:szCs w:val="21"/>
                    </w:rPr>
                  </w:pPr>
                  <w:r>
                    <w:rPr>
                      <w:color w:val="auto"/>
                      <w:sz w:val="21"/>
                      <w:szCs w:val="21"/>
                    </w:rPr>
                    <w:t>主变下设置减震垫、110kV北部滩升压站四周设置围墙</w:t>
                  </w:r>
                </w:p>
              </w:tc>
              <w:tc>
                <w:tcPr>
                  <w:tcW w:w="550" w:type="pct"/>
                  <w:vAlign w:val="center"/>
                </w:tcPr>
                <w:p>
                  <w:pPr>
                    <w:bidi w:val="0"/>
                    <w:spacing w:line="240" w:lineRule="auto"/>
                    <w:jc w:val="center"/>
                    <w:rPr>
                      <w:color w:val="auto"/>
                      <w:sz w:val="21"/>
                      <w:szCs w:val="21"/>
                    </w:rPr>
                  </w:pPr>
                  <w:r>
                    <w:rPr>
                      <w:color w:val="auto"/>
                      <w:sz w:val="21"/>
                      <w:szCs w:val="21"/>
                    </w:rPr>
                    <w:t>5</w:t>
                  </w:r>
                </w:p>
              </w:tc>
              <w:tc>
                <w:tcPr>
                  <w:tcW w:w="1392" w:type="dxa"/>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Merge w:val="restar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固废</w:t>
                  </w:r>
                </w:p>
              </w:tc>
              <w:tc>
                <w:tcPr>
                  <w:tcW w:w="2807" w:type="pct"/>
                  <w:vAlign w:val="center"/>
                </w:tcPr>
                <w:p>
                  <w:pPr>
                    <w:bidi w:val="0"/>
                    <w:spacing w:line="240" w:lineRule="auto"/>
                    <w:jc w:val="center"/>
                    <w:rPr>
                      <w:color w:val="auto"/>
                      <w:sz w:val="21"/>
                      <w:szCs w:val="21"/>
                    </w:rPr>
                  </w:pPr>
                  <w:r>
                    <w:rPr>
                      <w:color w:val="auto"/>
                      <w:sz w:val="21"/>
                      <w:szCs w:val="21"/>
                    </w:rPr>
                    <w:t>设置的垃圾箱集中收集后运往环卫部门指定地点处理</w:t>
                  </w:r>
                </w:p>
              </w:tc>
              <w:tc>
                <w:tcPr>
                  <w:tcW w:w="550" w:type="pct"/>
                  <w:vAlign w:val="center"/>
                </w:tcPr>
                <w:p>
                  <w:pPr>
                    <w:bidi w:val="0"/>
                    <w:spacing w:line="240" w:lineRule="auto"/>
                    <w:jc w:val="center"/>
                    <w:rPr>
                      <w:color w:val="auto"/>
                      <w:sz w:val="21"/>
                      <w:szCs w:val="21"/>
                    </w:rPr>
                  </w:pPr>
                  <w:r>
                    <w:rPr>
                      <w:color w:val="auto"/>
                      <w:sz w:val="21"/>
                      <w:szCs w:val="21"/>
                    </w:rPr>
                    <w:t>1</w:t>
                  </w:r>
                </w:p>
              </w:tc>
              <w:tc>
                <w:tcPr>
                  <w:tcW w:w="1392" w:type="dxa"/>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Merge w:val="continue"/>
                  <w:vAlign w:val="center"/>
                </w:tcPr>
                <w:p>
                  <w:pPr>
                    <w:bidi w:val="0"/>
                    <w:spacing w:line="240" w:lineRule="auto"/>
                    <w:jc w:val="center"/>
                    <w:rPr>
                      <w:color w:val="auto"/>
                      <w:sz w:val="21"/>
                      <w:szCs w:val="21"/>
                    </w:rPr>
                  </w:pPr>
                </w:p>
              </w:tc>
              <w:tc>
                <w:tcPr>
                  <w:tcW w:w="2807" w:type="pct"/>
                  <w:vAlign w:val="center"/>
                </w:tcPr>
                <w:p>
                  <w:pPr>
                    <w:bidi w:val="0"/>
                    <w:spacing w:line="240" w:lineRule="auto"/>
                    <w:jc w:val="center"/>
                    <w:rPr>
                      <w:color w:val="auto"/>
                      <w:sz w:val="21"/>
                      <w:szCs w:val="21"/>
                    </w:rPr>
                  </w:pPr>
                  <w:r>
                    <w:rPr>
                      <w:color w:val="auto"/>
                      <w:sz w:val="21"/>
                      <w:szCs w:val="21"/>
                    </w:rPr>
                    <w:t>在110kV北部滩升压站主变下方新建1座7m</w:t>
                  </w:r>
                  <w:r>
                    <w:rPr>
                      <w:color w:val="auto"/>
                      <w:sz w:val="21"/>
                      <w:szCs w:val="21"/>
                      <w:vertAlign w:val="superscript"/>
                    </w:rPr>
                    <w:t>3</w:t>
                  </w:r>
                  <w:r>
                    <w:rPr>
                      <w:color w:val="auto"/>
                      <w:sz w:val="21"/>
                      <w:szCs w:val="21"/>
                    </w:rPr>
                    <w:t>的事故油坑，1座34m</w:t>
                  </w:r>
                  <w:r>
                    <w:rPr>
                      <w:color w:val="auto"/>
                      <w:sz w:val="21"/>
                      <w:szCs w:val="21"/>
                      <w:vertAlign w:val="superscript"/>
                    </w:rPr>
                    <w:t>3</w:t>
                  </w:r>
                  <w:r>
                    <w:rPr>
                      <w:color w:val="auto"/>
                      <w:sz w:val="21"/>
                      <w:szCs w:val="21"/>
                    </w:rPr>
                    <w:t>事故油池，主变压器下设有事故油坑，铺设一卵石层，四周设有排油槽并与事故油池相连。变压器排油时，所有的废油将渗过卵石层并通过排油槽到达事故油池，交由有资质的单位统一处理。</w:t>
                  </w:r>
                </w:p>
              </w:tc>
              <w:tc>
                <w:tcPr>
                  <w:tcW w:w="550" w:type="pct"/>
                  <w:vAlign w:val="center"/>
                </w:tcPr>
                <w:p>
                  <w:pPr>
                    <w:bidi w:val="0"/>
                    <w:spacing w:line="240" w:lineRule="auto"/>
                    <w:jc w:val="center"/>
                    <w:rPr>
                      <w:color w:val="auto"/>
                      <w:sz w:val="21"/>
                      <w:szCs w:val="21"/>
                    </w:rPr>
                  </w:pPr>
                  <w:r>
                    <w:rPr>
                      <w:color w:val="auto"/>
                      <w:sz w:val="21"/>
                      <w:szCs w:val="21"/>
                    </w:rPr>
                    <w:t>28</w:t>
                  </w:r>
                </w:p>
              </w:tc>
              <w:tc>
                <w:tcPr>
                  <w:tcW w:w="1392" w:type="dxa"/>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Merge w:val="continue"/>
                  <w:vAlign w:val="center"/>
                </w:tcPr>
                <w:p>
                  <w:pPr>
                    <w:bidi w:val="0"/>
                    <w:spacing w:line="240" w:lineRule="auto"/>
                    <w:jc w:val="center"/>
                    <w:rPr>
                      <w:color w:val="auto"/>
                      <w:sz w:val="21"/>
                      <w:szCs w:val="21"/>
                    </w:rPr>
                  </w:pPr>
                </w:p>
              </w:tc>
              <w:tc>
                <w:tcPr>
                  <w:tcW w:w="2807" w:type="pct"/>
                  <w:vAlign w:val="center"/>
                </w:tcPr>
                <w:p>
                  <w:pPr>
                    <w:bidi w:val="0"/>
                    <w:spacing w:line="240" w:lineRule="auto"/>
                    <w:jc w:val="center"/>
                    <w:rPr>
                      <w:color w:val="auto"/>
                      <w:sz w:val="21"/>
                      <w:szCs w:val="21"/>
                    </w:rPr>
                  </w:pPr>
                  <w:r>
                    <w:rPr>
                      <w:color w:val="auto"/>
                      <w:sz w:val="21"/>
                      <w:szCs w:val="21"/>
                    </w:rPr>
                    <w:t>废铅蓄电池暂存于新建的10m</w:t>
                  </w:r>
                  <w:r>
                    <w:rPr>
                      <w:color w:val="auto"/>
                      <w:sz w:val="21"/>
                      <w:szCs w:val="21"/>
                      <w:vertAlign w:val="superscript"/>
                    </w:rPr>
                    <w:t>2</w:t>
                  </w:r>
                  <w:r>
                    <w:rPr>
                      <w:color w:val="auto"/>
                      <w:sz w:val="21"/>
                      <w:szCs w:val="21"/>
                    </w:rPr>
                    <w:t>的危废暂存间，交由有危废处置资质的单位处置，不随意丢弃。</w:t>
                  </w:r>
                </w:p>
              </w:tc>
              <w:tc>
                <w:tcPr>
                  <w:tcW w:w="550" w:type="pct"/>
                  <w:vAlign w:val="center"/>
                </w:tcPr>
                <w:p>
                  <w:pPr>
                    <w:bidi w:val="0"/>
                    <w:spacing w:line="240" w:lineRule="auto"/>
                    <w:jc w:val="center"/>
                    <w:rPr>
                      <w:color w:val="auto"/>
                      <w:sz w:val="21"/>
                      <w:szCs w:val="21"/>
                    </w:rPr>
                  </w:pPr>
                  <w:r>
                    <w:rPr>
                      <w:color w:val="auto"/>
                      <w:sz w:val="21"/>
                      <w:szCs w:val="21"/>
                    </w:rPr>
                    <w:t>5</w:t>
                  </w:r>
                </w:p>
              </w:tc>
              <w:tc>
                <w:tcPr>
                  <w:tcW w:w="1392" w:type="dxa"/>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Merge w:val="continue"/>
                  <w:vAlign w:val="center"/>
                </w:tcPr>
                <w:p>
                  <w:pPr>
                    <w:bidi w:val="0"/>
                    <w:spacing w:line="240" w:lineRule="auto"/>
                    <w:jc w:val="center"/>
                    <w:rPr>
                      <w:color w:val="auto"/>
                      <w:sz w:val="21"/>
                      <w:szCs w:val="21"/>
                    </w:rPr>
                  </w:pPr>
                </w:p>
              </w:tc>
              <w:tc>
                <w:tcPr>
                  <w:tcW w:w="2807" w:type="pct"/>
                  <w:vAlign w:val="center"/>
                </w:tcPr>
                <w:p>
                  <w:pPr>
                    <w:bidi w:val="0"/>
                    <w:spacing w:line="240" w:lineRule="auto"/>
                    <w:jc w:val="center"/>
                    <w:rPr>
                      <w:color w:val="auto"/>
                      <w:sz w:val="21"/>
                      <w:szCs w:val="21"/>
                    </w:rPr>
                  </w:pPr>
                  <w:r>
                    <w:rPr>
                      <w:color w:val="auto"/>
                      <w:sz w:val="21"/>
                      <w:szCs w:val="21"/>
                    </w:rPr>
                    <w:t>储能系统退役的磷酸铁锂电池由电力公司 物资部门统一回收，站内不储存。</w:t>
                  </w:r>
                </w:p>
              </w:tc>
              <w:tc>
                <w:tcPr>
                  <w:tcW w:w="550" w:type="pct"/>
                  <w:vAlign w:val="center"/>
                </w:tcPr>
                <w:p>
                  <w:pPr>
                    <w:bidi w:val="0"/>
                    <w:spacing w:line="240" w:lineRule="auto"/>
                    <w:jc w:val="center"/>
                    <w:rPr>
                      <w:color w:val="auto"/>
                      <w:sz w:val="21"/>
                      <w:szCs w:val="21"/>
                    </w:rPr>
                  </w:pPr>
                  <w:r>
                    <w:rPr>
                      <w:color w:val="auto"/>
                      <w:sz w:val="21"/>
                      <w:szCs w:val="21"/>
                    </w:rPr>
                    <w:t>1</w:t>
                  </w:r>
                </w:p>
              </w:tc>
              <w:tc>
                <w:tcPr>
                  <w:tcW w:w="1392" w:type="dxa"/>
                  <w:vAlign w:val="center"/>
                </w:tcPr>
                <w:p>
                  <w:pPr>
                    <w:bidi w:val="0"/>
                    <w:spacing w:line="240" w:lineRule="auto"/>
                    <w:jc w:val="center"/>
                    <w:rPr>
                      <w:rFonts w:hint="default" w:eastAsia="宋体"/>
                      <w:color w:val="auto"/>
                      <w:sz w:val="21"/>
                      <w:szCs w:val="21"/>
                      <w:lang w:val="en-US" w:eastAsia="zh-CN"/>
                    </w:rPr>
                  </w:pPr>
                  <w:r>
                    <w:rPr>
                      <w:color w:val="auto"/>
                      <w:sz w:val="21"/>
                      <w:szCs w:val="21"/>
                    </w:rPr>
                    <w:t>1</w:t>
                  </w:r>
                  <w:r>
                    <w:rPr>
                      <w:rFonts w:hint="eastAsia"/>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5" w:type="pct"/>
                  <w:vMerge w:val="continue"/>
                  <w:vAlign w:val="center"/>
                </w:tcPr>
                <w:p>
                  <w:pPr>
                    <w:bidi w:val="0"/>
                    <w:spacing w:line="240" w:lineRule="auto"/>
                    <w:jc w:val="center"/>
                    <w:rPr>
                      <w:color w:val="auto"/>
                      <w:sz w:val="21"/>
                      <w:szCs w:val="21"/>
                    </w:rPr>
                  </w:pPr>
                </w:p>
              </w:tc>
              <w:tc>
                <w:tcPr>
                  <w:tcW w:w="484" w:type="pct"/>
                  <w:vAlign w:val="center"/>
                </w:tcPr>
                <w:p>
                  <w:pPr>
                    <w:bidi w:val="0"/>
                    <w:spacing w:line="240" w:lineRule="auto"/>
                    <w:jc w:val="center"/>
                    <w:rPr>
                      <w:color w:val="auto"/>
                      <w:sz w:val="21"/>
                      <w:szCs w:val="21"/>
                    </w:rPr>
                  </w:pPr>
                  <w:r>
                    <w:rPr>
                      <w:color w:val="auto"/>
                      <w:sz w:val="21"/>
                      <w:szCs w:val="21"/>
                    </w:rPr>
                    <w:t>监测</w:t>
                  </w:r>
                </w:p>
              </w:tc>
              <w:tc>
                <w:tcPr>
                  <w:tcW w:w="2807" w:type="pct"/>
                  <w:vAlign w:val="center"/>
                </w:tcPr>
                <w:p>
                  <w:pPr>
                    <w:bidi w:val="0"/>
                    <w:spacing w:line="240" w:lineRule="auto"/>
                    <w:jc w:val="center"/>
                    <w:rPr>
                      <w:color w:val="auto"/>
                      <w:sz w:val="21"/>
                      <w:szCs w:val="21"/>
                    </w:rPr>
                  </w:pPr>
                  <w:r>
                    <w:rPr>
                      <w:color w:val="auto"/>
                      <w:sz w:val="21"/>
                      <w:szCs w:val="21"/>
                    </w:rPr>
                    <w:t>环境监督监测</w:t>
                  </w:r>
                </w:p>
              </w:tc>
              <w:tc>
                <w:tcPr>
                  <w:tcW w:w="550" w:type="pct"/>
                  <w:vAlign w:val="center"/>
                </w:tcPr>
                <w:p>
                  <w:pPr>
                    <w:bidi w:val="0"/>
                    <w:spacing w:line="240" w:lineRule="auto"/>
                    <w:jc w:val="center"/>
                    <w:rPr>
                      <w:color w:val="auto"/>
                      <w:sz w:val="21"/>
                      <w:szCs w:val="21"/>
                    </w:rPr>
                  </w:pPr>
                  <w:r>
                    <w:rPr>
                      <w:color w:val="auto"/>
                      <w:sz w:val="21"/>
                      <w:szCs w:val="21"/>
                    </w:rPr>
                    <w:t>5</w:t>
                  </w:r>
                </w:p>
              </w:tc>
              <w:tc>
                <w:tcPr>
                  <w:tcW w:w="1392" w:type="dxa"/>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717" w:type="pct"/>
                  <w:gridSpan w:val="3"/>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合计</w:t>
                  </w:r>
                </w:p>
              </w:tc>
              <w:tc>
                <w:tcPr>
                  <w:tcW w:w="550" w:type="pct"/>
                  <w:vAlign w:val="center"/>
                </w:tcPr>
                <w:p>
                  <w:pPr>
                    <w:bidi w:val="0"/>
                    <w:spacing w:line="240" w:lineRule="auto"/>
                    <w:jc w:val="center"/>
                    <w:rPr>
                      <w:color w:val="auto"/>
                      <w:sz w:val="21"/>
                      <w:szCs w:val="21"/>
                    </w:rPr>
                  </w:pPr>
                  <w:r>
                    <w:rPr>
                      <w:color w:val="auto"/>
                      <w:sz w:val="21"/>
                      <w:szCs w:val="21"/>
                    </w:rPr>
                    <w:t>128.50</w:t>
                  </w:r>
                </w:p>
              </w:tc>
              <w:tc>
                <w:tcPr>
                  <w:tcW w:w="1392" w:type="dxa"/>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135.1</w:t>
                  </w:r>
                </w:p>
              </w:tc>
            </w:tr>
          </w:tbl>
          <w:p>
            <w:pPr>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000" w:type="pct"/>
            <w:vAlign w:val="center"/>
          </w:tcPr>
          <w:p>
            <w:pPr>
              <w:bidi w:val="0"/>
              <w:spacing w:line="360" w:lineRule="auto"/>
              <w:jc w:val="both"/>
              <w:rPr>
                <w:b/>
                <w:bCs/>
                <w:color w:val="auto"/>
              </w:rPr>
            </w:pPr>
          </w:p>
          <w:p>
            <w:pPr>
              <w:bidi w:val="0"/>
              <w:spacing w:line="360" w:lineRule="auto"/>
              <w:jc w:val="both"/>
              <w:rPr>
                <w:b/>
                <w:bCs/>
                <w:color w:val="auto"/>
              </w:rPr>
            </w:pPr>
            <w:r>
              <w:rPr>
                <w:b/>
                <w:bCs/>
                <w:color w:val="auto"/>
              </w:rPr>
              <w:t>建设项目变动情况及变动原因</w:t>
            </w:r>
          </w:p>
          <w:p>
            <w:pPr>
              <w:bidi w:val="0"/>
              <w:ind w:firstLine="480" w:firstLineChars="200"/>
              <w:rPr>
                <w:rFonts w:hint="eastAsia"/>
                <w:color w:val="auto"/>
                <w:lang w:eastAsia="zh-CN"/>
              </w:rPr>
            </w:pPr>
            <w:r>
              <w:rPr>
                <w:color w:val="auto"/>
              </w:rPr>
              <w:t>对比关于印发《输变电建设项目重大变动清单（试行）》的通知（环办辐射[2016]84号），本次验收的</w:t>
            </w:r>
            <w:r>
              <w:rPr>
                <w:rFonts w:hint="eastAsia"/>
                <w:color w:val="auto"/>
                <w:lang w:eastAsia="zh-CN"/>
              </w:rPr>
              <w:t>高台县北部滩百万千瓦风电基地40万千瓦风电项目110kV升压站及送出线路工程</w:t>
            </w:r>
            <w:r>
              <w:rPr>
                <w:color w:val="auto"/>
              </w:rPr>
              <w:t>实际建设规模、建设内容与环评一致，没有发生变更。对比情况入下表所示</w:t>
            </w:r>
            <w:r>
              <w:rPr>
                <w:rFonts w:hint="eastAsia"/>
                <w:color w:val="auto"/>
                <w:lang w:eastAsia="zh-CN"/>
              </w:rPr>
              <w:t>。</w:t>
            </w:r>
          </w:p>
          <w:p>
            <w:pPr>
              <w:bidi w:val="0"/>
              <w:spacing w:line="240" w:lineRule="auto"/>
              <w:jc w:val="center"/>
              <w:rPr>
                <w:b/>
                <w:bCs/>
                <w:color w:val="auto"/>
              </w:rPr>
            </w:pPr>
          </w:p>
          <w:p>
            <w:pPr>
              <w:bidi w:val="0"/>
              <w:spacing w:line="240" w:lineRule="auto"/>
              <w:jc w:val="center"/>
              <w:rPr>
                <w:b/>
                <w:bCs/>
                <w:color w:val="auto"/>
              </w:rPr>
            </w:pPr>
          </w:p>
          <w:p>
            <w:pPr>
              <w:bidi w:val="0"/>
              <w:spacing w:line="240" w:lineRule="auto"/>
              <w:jc w:val="center"/>
              <w:rPr>
                <w:b/>
                <w:bCs/>
                <w:color w:val="auto"/>
              </w:rPr>
            </w:pPr>
          </w:p>
          <w:p>
            <w:pPr>
              <w:bidi w:val="0"/>
              <w:spacing w:line="240" w:lineRule="auto"/>
              <w:jc w:val="center"/>
              <w:rPr>
                <w:b/>
                <w:bCs/>
                <w:color w:val="auto"/>
              </w:rPr>
            </w:pPr>
            <w:r>
              <w:rPr>
                <w:b/>
                <w:bCs/>
                <w:color w:val="auto"/>
              </w:rPr>
              <w:t>表 4-</w:t>
            </w:r>
            <w:r>
              <w:rPr>
                <w:rFonts w:hint="eastAsia"/>
                <w:b/>
                <w:bCs/>
                <w:color w:val="auto"/>
                <w:lang w:val="en-US" w:eastAsia="zh-CN"/>
              </w:rPr>
              <w:t>5</w:t>
            </w:r>
            <w:r>
              <w:rPr>
                <w:b/>
                <w:bCs/>
                <w:color w:val="auto"/>
              </w:rPr>
              <w:t xml:space="preserve">  建设内容与环办辐射[2016]84号对比情况一览表</w:t>
            </w:r>
          </w:p>
          <w:tbl>
            <w:tblPr>
              <w:tblStyle w:val="15"/>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533"/>
              <w:gridCol w:w="3874"/>
              <w:gridCol w:w="1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b/>
                      <w:bCs/>
                      <w:color w:val="auto"/>
                      <w:sz w:val="21"/>
                      <w:szCs w:val="21"/>
                    </w:rPr>
                  </w:pPr>
                  <w:r>
                    <w:rPr>
                      <w:b/>
                      <w:bCs/>
                      <w:color w:val="auto"/>
                      <w:sz w:val="21"/>
                      <w:szCs w:val="21"/>
                    </w:rPr>
                    <w:t>重大变动清单</w:t>
                  </w:r>
                </w:p>
              </w:tc>
              <w:tc>
                <w:tcPr>
                  <w:tcW w:w="2043" w:type="pct"/>
                  <w:vAlign w:val="center"/>
                </w:tcPr>
                <w:p>
                  <w:pPr>
                    <w:bidi w:val="0"/>
                    <w:spacing w:line="240" w:lineRule="auto"/>
                    <w:jc w:val="center"/>
                    <w:rPr>
                      <w:b/>
                      <w:bCs/>
                      <w:color w:val="auto"/>
                      <w:sz w:val="21"/>
                      <w:szCs w:val="21"/>
                    </w:rPr>
                  </w:pPr>
                  <w:r>
                    <w:rPr>
                      <w:b/>
                      <w:bCs/>
                      <w:color w:val="auto"/>
                      <w:sz w:val="21"/>
                      <w:szCs w:val="21"/>
                    </w:rPr>
                    <w:t>建设内容</w:t>
                  </w:r>
                </w:p>
              </w:tc>
              <w:tc>
                <w:tcPr>
                  <w:tcW w:w="564" w:type="pct"/>
                  <w:vAlign w:val="center"/>
                </w:tcPr>
                <w:p>
                  <w:pPr>
                    <w:bidi w:val="0"/>
                    <w:spacing w:line="240" w:lineRule="auto"/>
                    <w:jc w:val="center"/>
                    <w:rPr>
                      <w:b/>
                      <w:bCs/>
                      <w:color w:val="auto"/>
                      <w:sz w:val="21"/>
                      <w:szCs w:val="21"/>
                    </w:rPr>
                  </w:pPr>
                  <w:r>
                    <w:rPr>
                      <w:b/>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color w:val="auto"/>
                      <w:sz w:val="21"/>
                      <w:szCs w:val="21"/>
                    </w:rPr>
                    <w:t>电压等级升高</w:t>
                  </w:r>
                </w:p>
              </w:tc>
              <w:tc>
                <w:tcPr>
                  <w:tcW w:w="2043" w:type="pct"/>
                  <w:vAlign w:val="center"/>
                </w:tcPr>
                <w:p>
                  <w:pPr>
                    <w:bidi w:val="0"/>
                    <w:spacing w:line="240" w:lineRule="auto"/>
                    <w:jc w:val="center"/>
                    <w:rPr>
                      <w:color w:val="auto"/>
                      <w:sz w:val="21"/>
                      <w:szCs w:val="21"/>
                    </w:rPr>
                  </w:pPr>
                  <w:r>
                    <w:rPr>
                      <w:rFonts w:hint="eastAsia"/>
                      <w:color w:val="auto"/>
                      <w:sz w:val="21"/>
                      <w:szCs w:val="21"/>
                      <w:lang w:val="en-US" w:eastAsia="zh-CN"/>
                    </w:rPr>
                    <w:t>本项目</w:t>
                  </w:r>
                  <w:r>
                    <w:rPr>
                      <w:rFonts w:hint="eastAsia"/>
                      <w:color w:val="auto"/>
                      <w:sz w:val="21"/>
                      <w:szCs w:val="21"/>
                      <w:lang w:eastAsia="zh-CN"/>
                    </w:rPr>
                    <w:t>升压站</w:t>
                  </w:r>
                  <w:r>
                    <w:rPr>
                      <w:color w:val="auto"/>
                      <w:sz w:val="21"/>
                      <w:szCs w:val="21"/>
                    </w:rPr>
                    <w:t>电压等级与环评一致为110kV</w:t>
                  </w:r>
                </w:p>
              </w:tc>
              <w:tc>
                <w:tcPr>
                  <w:tcW w:w="564" w:type="pct"/>
                  <w:vAlign w:val="center"/>
                </w:tcPr>
                <w:p>
                  <w:pPr>
                    <w:bidi w:val="0"/>
                    <w:spacing w:line="240" w:lineRule="auto"/>
                    <w:jc w:val="center"/>
                    <w:rPr>
                      <w:color w:val="auto"/>
                      <w:sz w:val="21"/>
                      <w:szCs w:val="21"/>
                    </w:rPr>
                  </w:pPr>
                  <w:r>
                    <w:rPr>
                      <w:color w:val="auto"/>
                      <w:sz w:val="21"/>
                      <w:szCs w:val="21"/>
                    </w:rPr>
                    <w:t>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color w:val="auto"/>
                      <w:sz w:val="21"/>
                      <w:szCs w:val="21"/>
                    </w:rPr>
                    <w:t>主变压器、换流变压器、高压电抗器等主要设备总数量增加超过原数量的30%</w:t>
                  </w:r>
                </w:p>
              </w:tc>
              <w:tc>
                <w:tcPr>
                  <w:tcW w:w="2043" w:type="pct"/>
                  <w:vAlign w:val="center"/>
                </w:tcPr>
                <w:p>
                  <w:pPr>
                    <w:bidi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本项目</w:t>
                  </w:r>
                  <w:r>
                    <w:rPr>
                      <w:color w:val="auto"/>
                      <w:sz w:val="21"/>
                      <w:szCs w:val="21"/>
                    </w:rPr>
                    <w:t>主变压器、换流变压器、高压电抗器等主要设备总数量</w:t>
                  </w:r>
                  <w:r>
                    <w:rPr>
                      <w:rFonts w:hint="eastAsia"/>
                      <w:color w:val="auto"/>
                      <w:sz w:val="21"/>
                      <w:szCs w:val="21"/>
                      <w:lang w:val="en-US" w:eastAsia="zh-CN"/>
                    </w:rPr>
                    <w:t>无变化</w:t>
                  </w:r>
                </w:p>
              </w:tc>
              <w:tc>
                <w:tcPr>
                  <w:tcW w:w="564" w:type="pct"/>
                  <w:vAlign w:val="center"/>
                </w:tcPr>
                <w:p>
                  <w:pPr>
                    <w:bidi w:val="0"/>
                    <w:spacing w:line="240" w:lineRule="auto"/>
                    <w:jc w:val="center"/>
                    <w:rPr>
                      <w:color w:val="auto"/>
                      <w:sz w:val="21"/>
                      <w:szCs w:val="21"/>
                    </w:rPr>
                  </w:pPr>
                  <w:r>
                    <w:rPr>
                      <w:color w:val="auto"/>
                      <w:sz w:val="21"/>
                      <w:szCs w:val="21"/>
                    </w:rPr>
                    <w:t>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color w:val="auto"/>
                      <w:sz w:val="21"/>
                      <w:szCs w:val="21"/>
                    </w:rPr>
                    <w:t>输电线路路径长度增加超过原路径长度的30%</w:t>
                  </w:r>
                </w:p>
              </w:tc>
              <w:tc>
                <w:tcPr>
                  <w:tcW w:w="2043" w:type="pct"/>
                  <w:vAlign w:val="center"/>
                </w:tcPr>
                <w:p>
                  <w:pPr>
                    <w:bidi w:val="0"/>
                    <w:spacing w:line="240" w:lineRule="auto"/>
                    <w:jc w:val="center"/>
                    <w:rPr>
                      <w:color w:val="auto"/>
                      <w:sz w:val="21"/>
                      <w:szCs w:val="21"/>
                    </w:rPr>
                  </w:pPr>
                  <w:r>
                    <w:rPr>
                      <w:rFonts w:hint="eastAsia"/>
                      <w:color w:val="auto"/>
                      <w:sz w:val="21"/>
                      <w:szCs w:val="21"/>
                      <w:lang w:val="en-US" w:eastAsia="zh-CN"/>
                    </w:rPr>
                    <w:t>本项目</w:t>
                  </w:r>
                  <w:r>
                    <w:rPr>
                      <w:color w:val="auto"/>
                      <w:sz w:val="21"/>
                      <w:szCs w:val="21"/>
                    </w:rPr>
                    <w:t>输电线路路径长度</w:t>
                  </w:r>
                  <w:r>
                    <w:rPr>
                      <w:rFonts w:hint="eastAsia"/>
                      <w:color w:val="auto"/>
                      <w:sz w:val="21"/>
                      <w:szCs w:val="21"/>
                      <w:lang w:val="en-US" w:eastAsia="zh-CN"/>
                    </w:rPr>
                    <w:t>未发生变化，未发生变化</w:t>
                  </w:r>
                </w:p>
              </w:tc>
              <w:tc>
                <w:tcPr>
                  <w:tcW w:w="564" w:type="pct"/>
                  <w:vAlign w:val="center"/>
                </w:tcPr>
                <w:p>
                  <w:pPr>
                    <w:bidi w:val="0"/>
                    <w:spacing w:line="240" w:lineRule="auto"/>
                    <w:jc w:val="center"/>
                    <w:rPr>
                      <w:color w:val="auto"/>
                      <w:sz w:val="21"/>
                      <w:szCs w:val="21"/>
                    </w:rPr>
                  </w:pPr>
                  <w:r>
                    <w:rPr>
                      <w:color w:val="auto"/>
                      <w:sz w:val="21"/>
                      <w:szCs w:val="21"/>
                    </w:rPr>
                    <w:t>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rFonts w:hint="eastAsia"/>
                      <w:color w:val="auto"/>
                      <w:sz w:val="21"/>
                      <w:szCs w:val="21"/>
                      <w:lang w:eastAsia="zh-CN"/>
                    </w:rPr>
                    <w:t>升压站</w:t>
                  </w:r>
                  <w:r>
                    <w:rPr>
                      <w:color w:val="auto"/>
                      <w:sz w:val="21"/>
                      <w:szCs w:val="21"/>
                    </w:rPr>
                    <w:t>、换流站、开关站、串补站站址位移超过500米</w:t>
                  </w:r>
                </w:p>
              </w:tc>
              <w:tc>
                <w:tcPr>
                  <w:tcW w:w="2043" w:type="pct"/>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本项目升压站</w:t>
                  </w:r>
                  <w:r>
                    <w:rPr>
                      <w:color w:val="auto"/>
                      <w:sz w:val="21"/>
                      <w:szCs w:val="21"/>
                    </w:rPr>
                    <w:t>站址</w:t>
                  </w:r>
                  <w:r>
                    <w:rPr>
                      <w:rFonts w:hint="eastAsia"/>
                      <w:color w:val="auto"/>
                      <w:sz w:val="21"/>
                      <w:szCs w:val="21"/>
                      <w:lang w:val="en-US" w:eastAsia="zh-CN"/>
                    </w:rPr>
                    <w:t>与环评设计一致，未发生变化</w:t>
                  </w:r>
                </w:p>
              </w:tc>
              <w:tc>
                <w:tcPr>
                  <w:tcW w:w="564" w:type="pct"/>
                  <w:vAlign w:val="center"/>
                </w:tcPr>
                <w:p>
                  <w:pPr>
                    <w:bidi w:val="0"/>
                    <w:spacing w:line="240" w:lineRule="auto"/>
                    <w:jc w:val="center"/>
                    <w:rPr>
                      <w:color w:val="auto"/>
                      <w:sz w:val="21"/>
                      <w:szCs w:val="21"/>
                    </w:rPr>
                  </w:pPr>
                  <w:r>
                    <w:rPr>
                      <w:color w:val="auto"/>
                      <w:sz w:val="21"/>
                      <w:szCs w:val="21"/>
                    </w:rPr>
                    <w:t>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color w:val="auto"/>
                      <w:sz w:val="21"/>
                      <w:szCs w:val="21"/>
                    </w:rPr>
                    <w:t>输电线路横向位移超出500米的累计长度超过原路径长度的30%</w:t>
                  </w:r>
                </w:p>
              </w:tc>
              <w:tc>
                <w:tcPr>
                  <w:tcW w:w="2043" w:type="pct"/>
                  <w:vAlign w:val="center"/>
                </w:tcPr>
                <w:p>
                  <w:pPr>
                    <w:bidi w:val="0"/>
                    <w:spacing w:line="240" w:lineRule="auto"/>
                    <w:jc w:val="center"/>
                    <w:rPr>
                      <w:color w:val="auto"/>
                      <w:sz w:val="21"/>
                      <w:szCs w:val="21"/>
                    </w:rPr>
                  </w:pPr>
                  <w:r>
                    <w:rPr>
                      <w:rFonts w:hint="eastAsia"/>
                      <w:color w:val="auto"/>
                      <w:sz w:val="21"/>
                      <w:szCs w:val="21"/>
                      <w:lang w:val="en-US" w:eastAsia="zh-CN"/>
                    </w:rPr>
                    <w:t>本项目</w:t>
                  </w:r>
                  <w:r>
                    <w:rPr>
                      <w:color w:val="auto"/>
                      <w:sz w:val="21"/>
                      <w:szCs w:val="21"/>
                    </w:rPr>
                    <w:t>输电线路</w:t>
                  </w:r>
                  <w:r>
                    <w:rPr>
                      <w:rFonts w:hint="eastAsia"/>
                      <w:color w:val="auto"/>
                      <w:sz w:val="21"/>
                      <w:szCs w:val="21"/>
                      <w:lang w:val="en-US" w:eastAsia="zh-CN"/>
                    </w:rPr>
                    <w:t>与环评设计一致，未发生变化</w:t>
                  </w:r>
                </w:p>
              </w:tc>
              <w:tc>
                <w:tcPr>
                  <w:tcW w:w="564" w:type="pct"/>
                  <w:vAlign w:val="center"/>
                </w:tcPr>
                <w:p>
                  <w:pPr>
                    <w:bidi w:val="0"/>
                    <w:spacing w:line="240" w:lineRule="auto"/>
                    <w:jc w:val="center"/>
                    <w:rPr>
                      <w:color w:val="auto"/>
                      <w:sz w:val="21"/>
                      <w:szCs w:val="21"/>
                    </w:rPr>
                  </w:pPr>
                  <w:r>
                    <w:rPr>
                      <w:color w:val="auto"/>
                      <w:sz w:val="21"/>
                      <w:szCs w:val="21"/>
                    </w:rPr>
                    <w:t>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color w:val="auto"/>
                      <w:sz w:val="21"/>
                      <w:szCs w:val="21"/>
                    </w:rPr>
                    <w:t>因输变电工程路径、站址等发生变化，导致进入新的自然保护区、风景名胜区、饮用水水源保护区等生态敏感区</w:t>
                  </w:r>
                </w:p>
              </w:tc>
              <w:tc>
                <w:tcPr>
                  <w:tcW w:w="2043" w:type="pct"/>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本项目</w:t>
                  </w:r>
                  <w:r>
                    <w:rPr>
                      <w:color w:val="auto"/>
                      <w:sz w:val="21"/>
                      <w:szCs w:val="21"/>
                    </w:rPr>
                    <w:t>输变电工程路径、站址</w:t>
                  </w:r>
                  <w:r>
                    <w:rPr>
                      <w:rFonts w:hint="eastAsia"/>
                      <w:color w:val="auto"/>
                      <w:sz w:val="21"/>
                      <w:szCs w:val="21"/>
                      <w:lang w:val="en-US" w:eastAsia="zh-CN"/>
                    </w:rPr>
                    <w:t>与环评设计一致，未发生变化</w:t>
                  </w:r>
                </w:p>
              </w:tc>
              <w:tc>
                <w:tcPr>
                  <w:tcW w:w="564" w:type="pct"/>
                  <w:vAlign w:val="center"/>
                </w:tcPr>
                <w:p>
                  <w:pPr>
                    <w:bidi w:val="0"/>
                    <w:spacing w:line="240" w:lineRule="auto"/>
                    <w:jc w:val="center"/>
                    <w:rPr>
                      <w:color w:val="auto"/>
                      <w:sz w:val="21"/>
                      <w:szCs w:val="21"/>
                    </w:rPr>
                  </w:pPr>
                  <w:r>
                    <w:rPr>
                      <w:color w:val="auto"/>
                      <w:sz w:val="21"/>
                      <w:szCs w:val="21"/>
                    </w:rPr>
                    <w:t>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color w:val="auto"/>
                      <w:sz w:val="21"/>
                      <w:szCs w:val="21"/>
                    </w:rPr>
                    <w:t>因输变电工程路径、站址等发生变化，导致新增的电磁和声环境敏感目标超过原数量的30%</w:t>
                  </w:r>
                </w:p>
              </w:tc>
              <w:tc>
                <w:tcPr>
                  <w:tcW w:w="2043" w:type="pct"/>
                  <w:vAlign w:val="center"/>
                </w:tcPr>
                <w:p>
                  <w:pPr>
                    <w:bidi w:val="0"/>
                    <w:spacing w:line="240" w:lineRule="auto"/>
                    <w:jc w:val="center"/>
                    <w:rPr>
                      <w:color w:val="auto"/>
                      <w:sz w:val="21"/>
                      <w:szCs w:val="21"/>
                    </w:rPr>
                  </w:pPr>
                  <w:r>
                    <w:rPr>
                      <w:rFonts w:hint="eastAsia"/>
                      <w:color w:val="auto"/>
                      <w:sz w:val="21"/>
                      <w:szCs w:val="21"/>
                      <w:lang w:val="en-US" w:eastAsia="zh-CN"/>
                    </w:rPr>
                    <w:t>本项目</w:t>
                  </w:r>
                  <w:r>
                    <w:rPr>
                      <w:color w:val="auto"/>
                      <w:sz w:val="21"/>
                      <w:szCs w:val="21"/>
                    </w:rPr>
                    <w:t>输变电工程路径、站址</w:t>
                  </w:r>
                  <w:r>
                    <w:rPr>
                      <w:rFonts w:hint="eastAsia"/>
                      <w:color w:val="auto"/>
                      <w:sz w:val="21"/>
                      <w:szCs w:val="21"/>
                      <w:lang w:val="en-US" w:eastAsia="zh-CN"/>
                    </w:rPr>
                    <w:t>与环评设计一致，未发生变化</w:t>
                  </w:r>
                </w:p>
              </w:tc>
              <w:tc>
                <w:tcPr>
                  <w:tcW w:w="564" w:type="pct"/>
                  <w:vAlign w:val="center"/>
                </w:tcPr>
                <w:p>
                  <w:pPr>
                    <w:bidi w:val="0"/>
                    <w:spacing w:line="240" w:lineRule="auto"/>
                    <w:jc w:val="center"/>
                    <w:rPr>
                      <w:color w:val="auto"/>
                      <w:sz w:val="21"/>
                      <w:szCs w:val="21"/>
                    </w:rPr>
                  </w:pPr>
                  <w:r>
                    <w:rPr>
                      <w:color w:val="auto"/>
                      <w:sz w:val="21"/>
                      <w:szCs w:val="21"/>
                    </w:rPr>
                    <w:t>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rFonts w:hint="eastAsia"/>
                      <w:color w:val="auto"/>
                      <w:sz w:val="21"/>
                      <w:szCs w:val="21"/>
                      <w:lang w:eastAsia="zh-CN"/>
                    </w:rPr>
                    <w:t>升压站</w:t>
                  </w:r>
                  <w:r>
                    <w:rPr>
                      <w:color w:val="auto"/>
                      <w:sz w:val="21"/>
                      <w:szCs w:val="21"/>
                    </w:rPr>
                    <w:t>由户内布置变为户外布置</w:t>
                  </w:r>
                </w:p>
              </w:tc>
              <w:tc>
                <w:tcPr>
                  <w:tcW w:w="2043" w:type="pct"/>
                  <w:vAlign w:val="center"/>
                </w:tcPr>
                <w:p>
                  <w:pPr>
                    <w:bidi w:val="0"/>
                    <w:spacing w:line="240" w:lineRule="auto"/>
                    <w:jc w:val="center"/>
                    <w:rPr>
                      <w:color w:val="auto"/>
                      <w:sz w:val="21"/>
                      <w:szCs w:val="21"/>
                    </w:rPr>
                  </w:pPr>
                  <w:r>
                    <w:rPr>
                      <w:rFonts w:hint="eastAsia"/>
                      <w:color w:val="auto"/>
                      <w:sz w:val="21"/>
                      <w:szCs w:val="21"/>
                      <w:lang w:val="en-US" w:eastAsia="zh-CN"/>
                    </w:rPr>
                    <w:t>本项目升压站</w:t>
                  </w:r>
                  <w:r>
                    <w:rPr>
                      <w:color w:val="auto"/>
                      <w:sz w:val="21"/>
                      <w:szCs w:val="21"/>
                    </w:rPr>
                    <w:t>建设内容不涉及户内布置</w:t>
                  </w:r>
                </w:p>
              </w:tc>
              <w:tc>
                <w:tcPr>
                  <w:tcW w:w="564" w:type="pct"/>
                  <w:vAlign w:val="center"/>
                </w:tcPr>
                <w:p>
                  <w:pPr>
                    <w:bidi w:val="0"/>
                    <w:spacing w:line="240" w:lineRule="auto"/>
                    <w:jc w:val="center"/>
                    <w:rPr>
                      <w:color w:val="auto"/>
                      <w:sz w:val="21"/>
                      <w:szCs w:val="21"/>
                    </w:rPr>
                  </w:pPr>
                  <w:r>
                    <w:rPr>
                      <w:color w:val="auto"/>
                      <w:sz w:val="21"/>
                      <w:szCs w:val="21"/>
                    </w:rPr>
                    <w:t>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color w:val="auto"/>
                      <w:sz w:val="21"/>
                      <w:szCs w:val="21"/>
                    </w:rPr>
                    <w:t>输电线路由地下电缆改为架空线路</w:t>
                  </w:r>
                </w:p>
              </w:tc>
              <w:tc>
                <w:tcPr>
                  <w:tcW w:w="2043" w:type="pct"/>
                  <w:vAlign w:val="center"/>
                </w:tcPr>
                <w:p>
                  <w:pPr>
                    <w:bidi w:val="0"/>
                    <w:spacing w:line="240" w:lineRule="auto"/>
                    <w:jc w:val="center"/>
                    <w:rPr>
                      <w:color w:val="auto"/>
                      <w:sz w:val="21"/>
                      <w:szCs w:val="21"/>
                    </w:rPr>
                  </w:pPr>
                  <w:r>
                    <w:rPr>
                      <w:rFonts w:hint="eastAsia"/>
                      <w:color w:val="auto"/>
                      <w:sz w:val="21"/>
                      <w:szCs w:val="21"/>
                      <w:lang w:val="en-US" w:eastAsia="zh-CN"/>
                    </w:rPr>
                    <w:t>本项目</w:t>
                  </w:r>
                  <w:r>
                    <w:rPr>
                      <w:color w:val="auto"/>
                      <w:sz w:val="21"/>
                      <w:szCs w:val="21"/>
                    </w:rPr>
                    <w:t>输电线路为架空线路</w:t>
                  </w:r>
                </w:p>
              </w:tc>
              <w:tc>
                <w:tcPr>
                  <w:tcW w:w="564" w:type="pct"/>
                  <w:vAlign w:val="center"/>
                </w:tcPr>
                <w:p>
                  <w:pPr>
                    <w:bidi w:val="0"/>
                    <w:spacing w:line="240" w:lineRule="auto"/>
                    <w:jc w:val="center"/>
                    <w:rPr>
                      <w:color w:val="auto"/>
                      <w:sz w:val="21"/>
                      <w:szCs w:val="21"/>
                    </w:rPr>
                  </w:pPr>
                  <w:r>
                    <w:rPr>
                      <w:color w:val="auto"/>
                      <w:sz w:val="21"/>
                      <w:szCs w:val="21"/>
                    </w:rPr>
                    <w:t>未变动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391" w:type="pct"/>
                  <w:vAlign w:val="center"/>
                </w:tcPr>
                <w:p>
                  <w:pPr>
                    <w:bidi w:val="0"/>
                    <w:spacing w:line="240" w:lineRule="auto"/>
                    <w:jc w:val="center"/>
                    <w:rPr>
                      <w:color w:val="auto"/>
                      <w:sz w:val="21"/>
                      <w:szCs w:val="21"/>
                    </w:rPr>
                  </w:pPr>
                  <w:r>
                    <w:rPr>
                      <w:color w:val="auto"/>
                      <w:sz w:val="21"/>
                      <w:szCs w:val="21"/>
                    </w:rPr>
                    <w:t>输电线路同塔多回架设改为多条线路架设累计长度超过原路径长度的30%</w:t>
                  </w:r>
                </w:p>
              </w:tc>
              <w:tc>
                <w:tcPr>
                  <w:tcW w:w="2043" w:type="pct"/>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本项目输电线路与环评设计一致，未发生变化</w:t>
                  </w:r>
                </w:p>
              </w:tc>
              <w:tc>
                <w:tcPr>
                  <w:tcW w:w="564" w:type="pct"/>
                  <w:vAlign w:val="center"/>
                </w:tcPr>
                <w:p>
                  <w:pPr>
                    <w:bidi w:val="0"/>
                    <w:spacing w:line="240" w:lineRule="auto"/>
                    <w:jc w:val="center"/>
                    <w:rPr>
                      <w:color w:val="auto"/>
                      <w:sz w:val="21"/>
                      <w:szCs w:val="21"/>
                    </w:rPr>
                  </w:pPr>
                  <w:r>
                    <w:rPr>
                      <w:color w:val="auto"/>
                      <w:sz w:val="21"/>
                      <w:szCs w:val="21"/>
                    </w:rPr>
                    <w:t>未变动</w:t>
                  </w:r>
                </w:p>
              </w:tc>
            </w:tr>
          </w:tbl>
          <w:p>
            <w:pPr>
              <w:bidi w:val="0"/>
              <w:ind w:firstLine="480" w:firstLineChars="200"/>
              <w:rPr>
                <w:rFonts w:hint="eastAsia"/>
                <w:color w:val="auto"/>
                <w:lang w:eastAsia="zh-CN"/>
              </w:rPr>
            </w:pPr>
          </w:p>
          <w:p>
            <w:pPr>
              <w:bidi w:val="0"/>
              <w:ind w:firstLine="480" w:firstLineChars="200"/>
              <w:rPr>
                <w:rFonts w:hint="default"/>
                <w:color w:val="auto"/>
                <w:lang w:val="en-US" w:eastAsia="zh-CN"/>
              </w:rPr>
            </w:pPr>
          </w:p>
          <w:p>
            <w:pPr>
              <w:pStyle w:val="5"/>
              <w:rPr>
                <w:color w:val="auto"/>
              </w:rPr>
            </w:pPr>
          </w:p>
        </w:tc>
      </w:tr>
    </w:tbl>
    <w:p>
      <w:pPr>
        <w:bidi w:val="0"/>
        <w:rPr>
          <w:color w:val="auto"/>
        </w:rPr>
      </w:pPr>
    </w:p>
    <w:p>
      <w:pPr>
        <w:bidi w:val="0"/>
        <w:rPr>
          <w:color w:val="auto"/>
        </w:rPr>
        <w:sectPr>
          <w:headerReference r:id="rId11" w:type="default"/>
          <w:footerReference r:id="rId12" w:type="default"/>
          <w:pgSz w:w="11907" w:h="16839"/>
          <w:pgMar w:top="1608" w:right="1274" w:bottom="1151" w:left="1136" w:header="1459" w:footer="991" w:gutter="0"/>
          <w:pgNumType w:fmt="decimal"/>
          <w:cols w:space="720" w:num="1"/>
        </w:sectPr>
      </w:pPr>
    </w:p>
    <w:p>
      <w:pPr>
        <w:bidi w:val="0"/>
        <w:rPr>
          <w:color w:val="auto"/>
        </w:rPr>
      </w:pPr>
    </w:p>
    <w:p>
      <w:pPr>
        <w:bidi w:val="0"/>
        <w:spacing w:line="360" w:lineRule="auto"/>
        <w:jc w:val="center"/>
        <w:rPr>
          <w:color w:val="auto"/>
        </w:rPr>
      </w:pPr>
      <w:r>
        <w:rPr>
          <w:rFonts w:ascii="Times New Roman" w:hAnsi="Times New Roman" w:eastAsia="宋体"/>
          <w:b/>
          <w:bCs/>
          <w:color w:val="auto"/>
          <w:sz w:val="28"/>
          <w:szCs w:val="28"/>
        </w:rPr>
        <w:t>表5    环境影响评价回顾</w:t>
      </w:r>
    </w:p>
    <w:tbl>
      <w:tblPr>
        <w:tblStyle w:val="15"/>
        <w:tblW w:w="9367" w:type="dxa"/>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75" w:hRule="atLeast"/>
        </w:trPr>
        <w:tc>
          <w:tcPr>
            <w:tcW w:w="9367" w:type="dxa"/>
            <w:vAlign w:val="top"/>
          </w:tcPr>
          <w:p>
            <w:pPr>
              <w:bidi w:val="0"/>
              <w:spacing w:line="360" w:lineRule="auto"/>
              <w:rPr>
                <w:b/>
                <w:bCs/>
                <w:color w:val="auto"/>
              </w:rPr>
            </w:pPr>
            <w:r>
              <w:rPr>
                <w:b/>
                <w:bCs/>
                <w:color w:val="auto"/>
              </w:rPr>
              <w:t>环境影响评价的主要环境影响预测及结论（生态、电磁、声、水、固体废物等）</w:t>
            </w:r>
          </w:p>
          <w:p>
            <w:pPr>
              <w:bidi w:val="0"/>
              <w:ind w:firstLine="482" w:firstLineChars="200"/>
              <w:rPr>
                <w:b/>
                <w:bCs/>
                <w:color w:val="auto"/>
              </w:rPr>
            </w:pPr>
            <w:r>
              <w:rPr>
                <w:b/>
                <w:bCs/>
                <w:color w:val="auto"/>
              </w:rPr>
              <w:t>一、施工期环境影响分析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rPr>
            </w:pPr>
            <w:r>
              <w:rPr>
                <w:rFonts w:hint="eastAsia"/>
                <w:b/>
                <w:bCs/>
                <w:color w:val="auto"/>
                <w:lang w:val="en-US" w:eastAsia="zh-CN"/>
              </w:rPr>
              <w:t>1、</w:t>
            </w:r>
            <w:r>
              <w:rPr>
                <w:rFonts w:hint="default" w:ascii="Times New Roman" w:hAnsi="Times New Roman" w:eastAsia="宋体" w:cs="Times New Roman"/>
                <w:b/>
                <w:bCs/>
                <w:color w:val="auto"/>
                <w:sz w:val="24"/>
                <w:szCs w:val="24"/>
                <w:highlight w:val="none"/>
              </w:rPr>
              <w:t>生态环境影响分析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生态影响主要是对周边景观的影响、土壤侵蚀影响、土地利用的影响、植物的影响、动物的影响</w:t>
            </w:r>
            <w:r>
              <w:rPr>
                <w:rFonts w:hint="eastAsia" w:ascii="Times New Roman" w:hAnsi="Times New Roman" w:eastAsia="宋体" w:cs="Times New Roman"/>
                <w:color w:val="auto"/>
                <w:sz w:val="24"/>
                <w:szCs w:val="24"/>
                <w:highlight w:val="none"/>
                <w:lang w:eastAsia="zh-CN"/>
              </w:rPr>
              <w:t>。</w:t>
            </w:r>
          </w:p>
          <w:p>
            <w:pPr>
              <w:bidi w:val="0"/>
              <w:ind w:firstLine="482" w:firstLineChars="200"/>
              <w:rPr>
                <w:b/>
                <w:bCs/>
                <w:color w:val="auto"/>
              </w:rPr>
            </w:pPr>
            <w:r>
              <w:rPr>
                <w:rFonts w:hint="default"/>
                <w:b/>
                <w:bCs/>
                <w:color w:val="auto"/>
              </w:rPr>
              <w:t>（1）</w:t>
            </w:r>
            <w:r>
              <w:rPr>
                <w:b/>
                <w:bCs/>
                <w:color w:val="auto"/>
              </w:rPr>
              <w:t>对土地利用的影响分析</w:t>
            </w:r>
          </w:p>
          <w:p>
            <w:pPr>
              <w:bidi w:val="0"/>
              <w:ind w:firstLine="482" w:firstLineChars="200"/>
              <w:rPr>
                <w:b/>
                <w:bCs/>
                <w:color w:val="auto"/>
              </w:rPr>
            </w:pPr>
            <w:r>
              <w:rPr>
                <w:rFonts w:hint="eastAsia"/>
                <w:b/>
                <w:bCs/>
                <w:color w:val="auto"/>
              </w:rPr>
              <w:t>①</w:t>
            </w:r>
            <w:r>
              <w:rPr>
                <w:b/>
                <w:bCs/>
                <w:color w:val="auto"/>
              </w:rPr>
              <w:t>110kV北部滩升压站</w:t>
            </w:r>
          </w:p>
          <w:p>
            <w:pPr>
              <w:bidi w:val="0"/>
              <w:ind w:firstLine="480" w:firstLineChars="200"/>
              <w:rPr>
                <w:color w:val="auto"/>
              </w:rPr>
            </w:pPr>
            <w:r>
              <w:rPr>
                <w:color w:val="auto"/>
              </w:rPr>
              <w:t>110kV北部滩升压站永久占地面积28800m</w:t>
            </w:r>
            <w:r>
              <w:rPr>
                <w:color w:val="auto"/>
                <w:vertAlign w:val="superscript"/>
              </w:rPr>
              <w:t>2</w:t>
            </w:r>
            <w:r>
              <w:rPr>
                <w:color w:val="auto"/>
              </w:rPr>
              <w:t>，占地类型为裸土地，升压站建成后，土地得到开发利用，发展成为工业用地，由于升压站占地面积相对较小，不会对区域土地利用结构产生大的影响。</w:t>
            </w:r>
          </w:p>
          <w:p>
            <w:pPr>
              <w:bidi w:val="0"/>
              <w:ind w:firstLine="482" w:firstLineChars="200"/>
              <w:rPr>
                <w:color w:val="auto"/>
              </w:rPr>
            </w:pPr>
            <w:r>
              <w:rPr>
                <w:rFonts w:hint="eastAsia"/>
                <w:b/>
                <w:bCs/>
                <w:color w:val="auto"/>
              </w:rPr>
              <w:t>②</w:t>
            </w:r>
            <w:r>
              <w:rPr>
                <w:b/>
                <w:bCs/>
                <w:color w:val="auto"/>
              </w:rPr>
              <w:t>110kV输电线路</w:t>
            </w:r>
          </w:p>
          <w:p>
            <w:pPr>
              <w:bidi w:val="0"/>
              <w:ind w:firstLine="480" w:firstLineChars="200"/>
              <w:rPr>
                <w:rFonts w:hint="default" w:ascii="Times New Roman" w:hAnsi="Times New Roman" w:eastAsia="宋体" w:cs="Times New Roman"/>
                <w:color w:val="auto"/>
                <w:szCs w:val="24"/>
                <w:highlight w:val="none"/>
              </w:rPr>
            </w:pPr>
            <w:r>
              <w:rPr>
                <w:color w:val="auto"/>
              </w:rPr>
              <w:t>本工程不占用基本农田，临时占地包括牵张场和塔基临时施工场地，占地类型裸土 地。输电线路设计时，一方面优化塔基选型及塔位布置，减少塔基区永久占地；另外一方面尽量靠近现有道路架设线路，最大限度减少临时用地。施工时，严格落实水土保持方案报告提出的各项水土流失防治措施，以减少水土流失。施工结束后，除塔基四个支撑脚占地外，其余均采取土地整治，并积极恢复原有地貌。采取上述措施后，对工程沿线土地利用影响轻微，不会造成新的水土流失和土地生产力下降。</w:t>
            </w:r>
          </w:p>
          <w:p>
            <w:pPr>
              <w:bidi w:val="0"/>
              <w:ind w:firstLine="482" w:firstLineChars="200"/>
              <w:rPr>
                <w:b/>
                <w:bCs/>
                <w:color w:val="auto"/>
              </w:rPr>
            </w:pPr>
            <w:r>
              <w:rPr>
                <w:rFonts w:hint="default"/>
                <w:b/>
                <w:bCs/>
                <w:color w:val="auto"/>
              </w:rPr>
              <w:t>（2）</w:t>
            </w:r>
            <w:r>
              <w:rPr>
                <w:b/>
                <w:bCs/>
                <w:color w:val="auto"/>
              </w:rPr>
              <w:t>对植被的影响分析</w:t>
            </w:r>
          </w:p>
          <w:p>
            <w:pPr>
              <w:bidi w:val="0"/>
              <w:ind w:firstLine="482" w:firstLineChars="200"/>
              <w:rPr>
                <w:b/>
                <w:bCs/>
                <w:color w:val="auto"/>
              </w:rPr>
            </w:pPr>
            <w:r>
              <w:rPr>
                <w:rFonts w:hint="eastAsia"/>
                <w:b/>
                <w:bCs/>
                <w:color w:val="auto"/>
              </w:rPr>
              <w:t>①</w:t>
            </w:r>
            <w:r>
              <w:rPr>
                <w:b/>
                <w:bCs/>
                <w:color w:val="auto"/>
              </w:rPr>
              <w:t>110kV北部滩升压站</w:t>
            </w:r>
          </w:p>
          <w:p>
            <w:pPr>
              <w:bidi w:val="0"/>
              <w:ind w:firstLine="480" w:firstLineChars="200"/>
              <w:rPr>
                <w:color w:val="auto"/>
              </w:rPr>
            </w:pPr>
            <w:r>
              <w:rPr>
                <w:color w:val="auto"/>
              </w:rPr>
              <w:t>110kV北部滩升压站不占用林地、草地、耕地等，临时占地也可能会带来短期的扰动，升压站永久占地面积较小，临时占地在施工结束后采取土地整治等措施恢复原地貌</w:t>
            </w:r>
            <w:r>
              <w:rPr>
                <w:rFonts w:hint="eastAsia"/>
                <w:color w:val="auto"/>
                <w:lang w:eastAsia="zh-CN"/>
              </w:rPr>
              <w:t>，</w:t>
            </w:r>
            <w:r>
              <w:rPr>
                <w:color w:val="auto"/>
              </w:rPr>
              <w:t>对生态影响较小。</w:t>
            </w:r>
          </w:p>
          <w:p>
            <w:pPr>
              <w:bidi w:val="0"/>
              <w:ind w:firstLine="482" w:firstLineChars="200"/>
              <w:rPr>
                <w:b/>
                <w:bCs/>
                <w:color w:val="auto"/>
              </w:rPr>
            </w:pPr>
            <w:r>
              <w:rPr>
                <w:rFonts w:hint="eastAsia"/>
                <w:b/>
                <w:bCs/>
                <w:color w:val="auto"/>
              </w:rPr>
              <w:t>②</w:t>
            </w:r>
            <w:r>
              <w:rPr>
                <w:b/>
                <w:bCs/>
                <w:color w:val="auto"/>
              </w:rPr>
              <w:t>110kV输电线路</w:t>
            </w:r>
          </w:p>
          <w:p>
            <w:pPr>
              <w:bidi w:val="0"/>
              <w:ind w:firstLine="480" w:firstLineChars="200"/>
              <w:rPr>
                <w:rFonts w:hint="default" w:ascii="Times New Roman" w:hAnsi="Times New Roman" w:eastAsia="宋体" w:cs="Times New Roman"/>
                <w:color w:val="auto"/>
                <w:szCs w:val="24"/>
                <w:highlight w:val="none"/>
              </w:rPr>
            </w:pPr>
            <w:r>
              <w:rPr>
                <w:color w:val="auto"/>
              </w:rPr>
              <w:t>本工程输电线路经过的主要植被类型为骆驼蓬、白刺荒漠草丛，但退化较严重，生产力较低，且在当地较为普遍。塔基可能会占用一部分，会造成草丛少量生产力及生物量的永久性损失，临时占地也可能会带来短期的扰动。如果大面积破坏植被，则可能会导致沙化与退化现象出现。但是，塔基永久占地面积较小，施工过程中采取合理的施工方式及下垫措施，在工程结束后，通过自然恢复或人工促进的方式，该类植被会逐渐恢复，影响较小。运行期线路运检会造成草丛植被少量的生产力和生物量损失，但扰动频率非常低，不会产生较大影响。</w:t>
            </w:r>
          </w:p>
          <w:p>
            <w:pPr>
              <w:bidi w:val="0"/>
              <w:ind w:firstLine="482" w:firstLineChars="200"/>
              <w:rPr>
                <w:b/>
                <w:bCs/>
                <w:color w:val="auto"/>
              </w:rPr>
            </w:pPr>
            <w:r>
              <w:rPr>
                <w:rFonts w:hint="default"/>
                <w:b/>
                <w:bCs/>
                <w:color w:val="auto"/>
              </w:rPr>
              <w:t>（3）</w:t>
            </w:r>
            <w:r>
              <w:rPr>
                <w:b/>
                <w:bCs/>
                <w:color w:val="auto"/>
              </w:rPr>
              <w:t>对野生动物的影响分析</w:t>
            </w:r>
          </w:p>
          <w:p>
            <w:pPr>
              <w:bidi w:val="0"/>
              <w:ind w:firstLine="480" w:firstLineChars="200"/>
              <w:rPr>
                <w:color w:val="auto"/>
              </w:rPr>
            </w:pPr>
            <w:r>
              <w:rPr>
                <w:color w:val="auto"/>
              </w:rPr>
              <w:t>工程施工对野生动物的影响主要表现为：随着工程的开工，施工机械、施工人员的进场，土、石料堆积场及其它施工场地的布置，施工中所产生的噪声等破坏或改变了野生动物原有的生存环境，导致野生动物栖息环境发生改变，使该区域的野生动物有可能暂时的、局部的迁移到其它适宜的环境中去栖息和繁衍。</w:t>
            </w:r>
          </w:p>
          <w:p>
            <w:pPr>
              <w:bidi w:val="0"/>
              <w:ind w:firstLine="482" w:firstLineChars="200"/>
              <w:rPr>
                <w:b/>
                <w:bCs/>
                <w:color w:val="auto"/>
              </w:rPr>
            </w:pPr>
            <w:r>
              <w:rPr>
                <w:rFonts w:hint="eastAsia"/>
                <w:b/>
                <w:bCs/>
                <w:color w:val="auto"/>
              </w:rPr>
              <w:t>①</w:t>
            </w:r>
            <w:r>
              <w:rPr>
                <w:b/>
                <w:bCs/>
                <w:color w:val="auto"/>
              </w:rPr>
              <w:t>110kV北部滩升压站</w:t>
            </w:r>
          </w:p>
          <w:p>
            <w:pPr>
              <w:bidi w:val="0"/>
              <w:ind w:firstLine="480" w:firstLineChars="200"/>
              <w:rPr>
                <w:color w:val="auto"/>
              </w:rPr>
            </w:pPr>
            <w:r>
              <w:rPr>
                <w:color w:val="auto"/>
              </w:rPr>
              <w:t>本工程110kV北部滩升压站周围为裸土地，评价区内基本没有大型野生哺乳动物存在，只有啮齿类动物等小型哺乳动物以及少许鸟类。因此，本工程新建升压站对周围野生动物影响小。</w:t>
            </w:r>
          </w:p>
          <w:p>
            <w:pPr>
              <w:bidi w:val="0"/>
              <w:ind w:firstLine="482" w:firstLineChars="200"/>
              <w:rPr>
                <w:b/>
                <w:bCs/>
                <w:color w:val="auto"/>
              </w:rPr>
            </w:pPr>
            <w:r>
              <w:rPr>
                <w:rFonts w:hint="eastAsia"/>
                <w:b/>
                <w:bCs/>
                <w:color w:val="auto"/>
              </w:rPr>
              <w:t>②</w:t>
            </w:r>
            <w:r>
              <w:rPr>
                <w:b/>
                <w:bCs/>
                <w:color w:val="auto"/>
              </w:rPr>
              <w:t>110kV输电线路</w:t>
            </w:r>
          </w:p>
          <w:p>
            <w:pPr>
              <w:bidi w:val="0"/>
              <w:ind w:firstLine="480" w:firstLineChars="200"/>
              <w:rPr>
                <w:color w:val="auto"/>
              </w:rPr>
            </w:pPr>
            <w:r>
              <w:rPr>
                <w:color w:val="auto"/>
              </w:rPr>
              <w:t>本工程施工对野生动物影响主要表现在两个方面：一方面工程基础开挖、立塔架线和施工人员施工等人为干扰因素，如果处理不当，可能会影响或缩小野生动物的栖息空间和生存环境；另一方面，施工干扰会使野生动物受到惊吓，也将被迫离开施工区周围的栖息地或活动区域。但由于施工时间短、施工点分散、施工人员少等原因，施工对动物的影响范围小，影响时间短，同时由于野生动物栖息环境和活动区域范围较大，食性广泛，且有一定迁移能力。</w:t>
            </w:r>
          </w:p>
          <w:p>
            <w:pPr>
              <w:bidi w:val="0"/>
              <w:ind w:firstLine="480" w:firstLineChars="200"/>
              <w:rPr>
                <w:rFonts w:hint="default"/>
                <w:color w:val="auto"/>
              </w:rPr>
            </w:pPr>
            <w:r>
              <w:rPr>
                <w:color w:val="auto"/>
              </w:rPr>
              <w:t>本工程施工线路沿线人类活动历史悠久，除家养的畜禽外，评价区内基本没有大型野生动物存在，只有啮齿类动物等小型动物以及少许鸟类。一般动物可能在施工期间受到影响，但由于工程量小，施工期短而且集中，施工单位通过加强对施工人员保护野生动物的宣传教育，提高施工人员自觉保护野生动物的意识，不会对周边野生动物产生明显影响。</w:t>
            </w:r>
          </w:p>
          <w:p>
            <w:pPr>
              <w:bidi w:val="0"/>
              <w:ind w:firstLine="482" w:firstLineChars="200"/>
              <w:rPr>
                <w:b/>
                <w:bCs/>
                <w:color w:val="auto"/>
              </w:rPr>
            </w:pPr>
            <w:r>
              <w:rPr>
                <w:rFonts w:hint="default"/>
                <w:b/>
                <w:bCs/>
                <w:color w:val="auto"/>
              </w:rPr>
              <w:t>（4）</w:t>
            </w:r>
            <w:r>
              <w:rPr>
                <w:b/>
                <w:bCs/>
                <w:color w:val="auto"/>
              </w:rPr>
              <w:t>景观影响分析</w:t>
            </w:r>
          </w:p>
          <w:p>
            <w:pPr>
              <w:bidi w:val="0"/>
              <w:ind w:firstLine="480" w:firstLineChars="200"/>
              <w:rPr>
                <w:rFonts w:hint="default" w:ascii="Times New Roman" w:hAnsi="Times New Roman" w:eastAsia="宋体" w:cs="Times New Roman"/>
                <w:color w:val="auto"/>
                <w:szCs w:val="24"/>
                <w:highlight w:val="none"/>
              </w:rPr>
            </w:pPr>
            <w:r>
              <w:rPr>
                <w:color w:val="auto"/>
              </w:rPr>
              <w:t>本工程在塔基建设过程中，需开挖基坑，必然会造成地表植被的破坏，形成与原始生态景观不协调的裸露斑块。本工程新建110kV北部滩和塔基永久占地将形成新的景观斑块而增加斑块的数量，在一定程度上增大了景观的破碎度。另外，架空线路会对沿线景观产生切割，影响景观的整体美，对原有自然景观产生干扰，带来一定的视觉冲击效应。然而，工程沿线不涉及风景名胜区、旅游景点等，同时大多数线路段不在主干道沿线，因此本工程对沿线的景观影响较小。</w:t>
            </w:r>
          </w:p>
          <w:p>
            <w:pPr>
              <w:bidi w:val="0"/>
              <w:ind w:firstLine="482" w:firstLineChars="200"/>
              <w:rPr>
                <w:b/>
                <w:bCs/>
                <w:color w:val="auto"/>
              </w:rPr>
            </w:pPr>
            <w:r>
              <w:rPr>
                <w:rFonts w:hint="default"/>
                <w:b/>
                <w:bCs/>
                <w:color w:val="auto"/>
              </w:rPr>
              <w:t>（5）</w:t>
            </w:r>
            <w:r>
              <w:rPr>
                <w:b/>
                <w:bCs/>
                <w:color w:val="auto"/>
              </w:rPr>
              <w:t>对农业生态的影响分析</w:t>
            </w:r>
          </w:p>
          <w:p>
            <w:pPr>
              <w:bidi w:val="0"/>
              <w:ind w:firstLine="482" w:firstLineChars="200"/>
              <w:rPr>
                <w:b/>
                <w:bCs/>
                <w:color w:val="auto"/>
              </w:rPr>
            </w:pPr>
            <w:r>
              <w:rPr>
                <w:rFonts w:hint="eastAsia"/>
                <w:b/>
                <w:bCs/>
                <w:color w:val="auto"/>
              </w:rPr>
              <w:t>①</w:t>
            </w:r>
            <w:r>
              <w:rPr>
                <w:b/>
                <w:bCs/>
                <w:color w:val="auto"/>
              </w:rPr>
              <w:t>110kV北部滩升压站</w:t>
            </w:r>
          </w:p>
          <w:p>
            <w:pPr>
              <w:bidi w:val="0"/>
              <w:ind w:firstLine="480" w:firstLineChars="200"/>
              <w:rPr>
                <w:color w:val="auto"/>
              </w:rPr>
            </w:pPr>
            <w:r>
              <w:rPr>
                <w:color w:val="auto"/>
              </w:rPr>
              <w:t>本工程110kV北部滩升压站永久占地和临时占地类型为裸土地，不占用农业，因此，不会对农业生态造成影响。</w:t>
            </w:r>
          </w:p>
          <w:p>
            <w:pPr>
              <w:bidi w:val="0"/>
              <w:ind w:firstLine="482" w:firstLineChars="200"/>
              <w:rPr>
                <w:b/>
                <w:bCs/>
                <w:color w:val="auto"/>
              </w:rPr>
            </w:pPr>
            <w:r>
              <w:rPr>
                <w:rFonts w:hint="eastAsia"/>
                <w:b/>
                <w:bCs/>
                <w:color w:val="auto"/>
              </w:rPr>
              <w:t>②</w:t>
            </w:r>
            <w:r>
              <w:rPr>
                <w:b/>
                <w:bCs/>
                <w:color w:val="auto"/>
              </w:rPr>
              <w:t>330kV输电线路</w:t>
            </w:r>
          </w:p>
          <w:p>
            <w:pPr>
              <w:bidi w:val="0"/>
              <w:ind w:firstLine="480" w:firstLineChars="200"/>
              <w:rPr>
                <w:rFonts w:hint="default"/>
                <w:color w:val="auto"/>
              </w:rPr>
            </w:pPr>
            <w:r>
              <w:rPr>
                <w:color w:val="auto"/>
              </w:rPr>
              <w:t>本工程输电线路沿线不占用耕地，对农业生态影响较小。</w:t>
            </w:r>
          </w:p>
          <w:p>
            <w:pPr>
              <w:bidi w:val="0"/>
              <w:ind w:firstLine="482" w:firstLineChars="200"/>
              <w:rPr>
                <w:b/>
                <w:bCs/>
                <w:color w:val="auto"/>
              </w:rPr>
            </w:pPr>
            <w:r>
              <w:rPr>
                <w:rFonts w:hint="default"/>
                <w:b/>
                <w:bCs/>
                <w:color w:val="auto"/>
              </w:rPr>
              <w:t>（6）</w:t>
            </w:r>
            <w:r>
              <w:rPr>
                <w:b/>
                <w:bCs/>
                <w:color w:val="auto"/>
              </w:rPr>
              <w:t>临时工程的影响</w:t>
            </w:r>
          </w:p>
          <w:p>
            <w:pPr>
              <w:bidi w:val="0"/>
              <w:ind w:firstLine="480" w:firstLineChars="200"/>
              <w:rPr>
                <w:color w:val="auto"/>
              </w:rPr>
            </w:pPr>
            <w:r>
              <w:rPr>
                <w:color w:val="auto"/>
              </w:rPr>
              <w:t>本项目新建施工便道4.4km，宽度为3.5m，施工便道占地面积为15400m</w:t>
            </w:r>
            <w:r>
              <w:rPr>
                <w:color w:val="auto"/>
                <w:vertAlign w:val="superscript"/>
              </w:rPr>
              <w:t>2</w:t>
            </w:r>
            <w:r>
              <w:rPr>
                <w:color w:val="auto"/>
              </w:rPr>
              <w:t>。设置1处牵张场，牵张场的面积约为200m</w:t>
            </w:r>
            <w:r>
              <w:rPr>
                <w:color w:val="auto"/>
                <w:vertAlign w:val="superscript"/>
              </w:rPr>
              <w:t>2</w:t>
            </w:r>
            <w:r>
              <w:rPr>
                <w:color w:val="auto"/>
              </w:rPr>
              <w:t>。塔基施工场地总占地面积为850m</w:t>
            </w:r>
            <w:r>
              <w:rPr>
                <w:color w:val="auto"/>
                <w:vertAlign w:val="superscript"/>
              </w:rPr>
              <w:t>2</w:t>
            </w:r>
            <w:r>
              <w:rPr>
                <w:color w:val="auto"/>
              </w:rPr>
              <w:t>，施工期间应采取以下措施：</w:t>
            </w:r>
          </w:p>
          <w:p>
            <w:pPr>
              <w:bidi w:val="0"/>
              <w:ind w:firstLine="480" w:firstLineChars="200"/>
              <w:rPr>
                <w:color w:val="auto"/>
              </w:rPr>
            </w:pPr>
            <w:r>
              <w:rPr>
                <w:rFonts w:hint="eastAsia"/>
                <w:color w:val="auto"/>
              </w:rPr>
              <w:t>①</w:t>
            </w:r>
            <w:r>
              <w:rPr>
                <w:color w:val="auto"/>
              </w:rPr>
              <w:t>严格控制塔基开挖面积，严格控制临时占地面积，尽及时清运施工废物，尽量保护周围植被。施工期严格限定施工范围，不允许随意破坏和占用额外土地。</w:t>
            </w:r>
          </w:p>
          <w:p>
            <w:pPr>
              <w:bidi w:val="0"/>
              <w:ind w:firstLine="480" w:firstLineChars="200"/>
              <w:rPr>
                <w:color w:val="auto"/>
              </w:rPr>
            </w:pPr>
            <w:r>
              <w:rPr>
                <w:rFonts w:hint="eastAsia"/>
                <w:color w:val="auto"/>
              </w:rPr>
              <w:t>②</w:t>
            </w:r>
            <w:r>
              <w:rPr>
                <w:color w:val="auto"/>
              </w:rPr>
              <w:t>施工中尽量减少植被占压、破坏，尽量选择未利用地为临时用地。</w:t>
            </w:r>
          </w:p>
          <w:p>
            <w:pPr>
              <w:bidi w:val="0"/>
              <w:ind w:firstLine="480" w:firstLineChars="200"/>
              <w:rPr>
                <w:color w:val="auto"/>
              </w:rPr>
            </w:pPr>
            <w:r>
              <w:rPr>
                <w:rFonts w:hint="eastAsia"/>
                <w:color w:val="auto"/>
              </w:rPr>
              <w:t>③</w:t>
            </w:r>
            <w:r>
              <w:rPr>
                <w:color w:val="auto"/>
              </w:rPr>
              <w:t>牵张场及材料堆放场地采取下垫措施。</w:t>
            </w:r>
          </w:p>
          <w:p>
            <w:pPr>
              <w:bidi w:val="0"/>
              <w:ind w:firstLine="480" w:firstLineChars="200"/>
              <w:rPr>
                <w:color w:val="auto"/>
              </w:rPr>
            </w:pPr>
            <w:r>
              <w:rPr>
                <w:rFonts w:hint="eastAsia"/>
                <w:color w:val="auto"/>
              </w:rPr>
              <w:t>④</w:t>
            </w:r>
            <w:r>
              <w:rPr>
                <w:color w:val="auto"/>
              </w:rPr>
              <w:t>施工结束后对施工便道、牵张场、塔基施工区域等临时施工场地进行土地整治，恢复为原有地貌类型。</w:t>
            </w:r>
          </w:p>
          <w:p>
            <w:pPr>
              <w:bidi w:val="0"/>
              <w:ind w:firstLine="480" w:firstLineChars="200"/>
              <w:rPr>
                <w:color w:val="auto"/>
              </w:rPr>
            </w:pPr>
            <w:r>
              <w:rPr>
                <w:rFonts w:hint="eastAsia"/>
                <w:color w:val="auto"/>
              </w:rPr>
              <w:t>⑤</w:t>
            </w:r>
            <w:r>
              <w:rPr>
                <w:color w:val="auto"/>
              </w:rPr>
              <w:t>合理选择施工便道，尽可能利用已有道路，减少施工便道的修筑。</w:t>
            </w:r>
          </w:p>
          <w:p>
            <w:pPr>
              <w:bidi w:val="0"/>
              <w:ind w:firstLine="480" w:firstLineChars="200"/>
              <w:rPr>
                <w:color w:val="auto"/>
              </w:rPr>
            </w:pPr>
            <w:r>
              <w:rPr>
                <w:rFonts w:hint="eastAsia"/>
                <w:color w:val="auto"/>
              </w:rPr>
              <w:t>⑥</w:t>
            </w:r>
            <w:r>
              <w:rPr>
                <w:color w:val="auto"/>
              </w:rPr>
              <w:t>临时堆土用密目网进行苫盖，降低水土流失。</w:t>
            </w:r>
          </w:p>
          <w:p>
            <w:pPr>
              <w:bidi w:val="0"/>
              <w:ind w:firstLine="480" w:firstLineChars="200"/>
              <w:rPr>
                <w:rFonts w:hint="default"/>
                <w:color w:val="auto"/>
              </w:rPr>
            </w:pPr>
            <w:r>
              <w:rPr>
                <w:color w:val="auto"/>
              </w:rPr>
              <w:t>采取以上措施后，施工便道、牵张场及塔基施工场地等临时工程对区域生态环境产生的影响较小。</w:t>
            </w:r>
          </w:p>
          <w:p>
            <w:pPr>
              <w:bidi w:val="0"/>
              <w:ind w:firstLine="482" w:firstLineChars="200"/>
              <w:rPr>
                <w:rFonts w:hint="default"/>
                <w:b/>
                <w:bCs/>
                <w:color w:val="auto"/>
              </w:rPr>
            </w:pPr>
            <w:r>
              <w:rPr>
                <w:rFonts w:hint="eastAsia"/>
                <w:b/>
                <w:bCs/>
                <w:color w:val="auto"/>
                <w:lang w:val="en-US" w:eastAsia="zh-CN"/>
              </w:rPr>
              <w:t>2、</w:t>
            </w:r>
            <w:r>
              <w:rPr>
                <w:rFonts w:hint="default"/>
                <w:b/>
                <w:bCs/>
                <w:color w:val="auto"/>
              </w:rPr>
              <w:t>大气环境影响分析</w:t>
            </w:r>
          </w:p>
          <w:p>
            <w:pPr>
              <w:bidi w:val="0"/>
              <w:ind w:firstLine="480" w:firstLineChars="200"/>
              <w:rPr>
                <w:color w:val="auto"/>
              </w:rPr>
            </w:pPr>
            <w:r>
              <w:rPr>
                <w:color w:val="auto"/>
              </w:rPr>
              <w:t>施工期环境空气污染主要来源于施工扬尘，施工扬尘主要来自土方挖掘、物料运输和使用、施工现场内车辆行驶扬尘等。由于扬尘源多且分散，源高一般在15m以下，属于无组织排放。同时，受施工方式、设备、气候等因素制约，产生的随机性和波动性较大，为尽量减少施工期扬尘对环境空气的影响，建议施工期采取如下扬尘污染防治措施。</w:t>
            </w:r>
          </w:p>
          <w:p>
            <w:pPr>
              <w:bidi w:val="0"/>
              <w:ind w:firstLine="482" w:firstLineChars="200"/>
              <w:rPr>
                <w:b/>
                <w:bCs/>
                <w:color w:val="auto"/>
              </w:rPr>
            </w:pPr>
            <w:r>
              <w:rPr>
                <w:b/>
                <w:bCs/>
                <w:color w:val="auto"/>
              </w:rPr>
              <w:t>（1）110kV北部滩升压站</w:t>
            </w:r>
          </w:p>
          <w:p>
            <w:pPr>
              <w:bidi w:val="0"/>
              <w:ind w:firstLine="480" w:firstLineChars="200"/>
              <w:rPr>
                <w:color w:val="auto"/>
              </w:rPr>
            </w:pPr>
            <w:r>
              <w:rPr>
                <w:rFonts w:hint="eastAsia"/>
                <w:color w:val="auto"/>
              </w:rPr>
              <w:t>①</w:t>
            </w:r>
            <w:r>
              <w:rPr>
                <w:color w:val="auto"/>
              </w:rPr>
              <w:t>施工建筑材料应集中、合理堆放，尽可能采用堆棚统一存放，若采用露天堆放，应采取苫盖等措施，并定期洒水。</w:t>
            </w:r>
          </w:p>
          <w:p>
            <w:pPr>
              <w:bidi w:val="0"/>
              <w:ind w:firstLine="480" w:firstLineChars="200"/>
              <w:rPr>
                <w:color w:val="auto"/>
              </w:rPr>
            </w:pPr>
            <w:r>
              <w:rPr>
                <w:rFonts w:hint="eastAsia"/>
                <w:color w:val="auto"/>
              </w:rPr>
              <w:t>②</w:t>
            </w:r>
            <w:r>
              <w:rPr>
                <w:color w:val="auto"/>
              </w:rPr>
              <w:t>施工场地应定期洒水抑尘3~4次，可降低70%的粉尘，运输道路定期洒水，使其保持一定的湿度，防止道路扬尘，当出现风速过大或不利天气状况时应停止施工作业。</w:t>
            </w:r>
          </w:p>
          <w:p>
            <w:pPr>
              <w:bidi w:val="0"/>
              <w:ind w:firstLine="480" w:firstLineChars="200"/>
              <w:rPr>
                <w:color w:val="auto"/>
              </w:rPr>
            </w:pPr>
            <w:r>
              <w:rPr>
                <w:rFonts w:hint="eastAsia"/>
                <w:color w:val="auto"/>
              </w:rPr>
              <w:t>③</w:t>
            </w:r>
            <w:r>
              <w:rPr>
                <w:color w:val="auto"/>
              </w:rPr>
              <w:t>对土、石料等可能产生扬尘的材料，在运输时用防水布覆盖。严禁运输车辆装载过满，不得超出车厢板高度，并采取遮盖、密闭措施防止沿途抛洒、散落，定期冲洗轮胎，车辆不得带泥砂出现场，进出场地的车辆应限制车速。</w:t>
            </w:r>
          </w:p>
          <w:p>
            <w:pPr>
              <w:bidi w:val="0"/>
              <w:ind w:firstLine="482" w:firstLineChars="200"/>
              <w:rPr>
                <w:b/>
                <w:bCs/>
                <w:color w:val="auto"/>
              </w:rPr>
            </w:pPr>
            <w:r>
              <w:rPr>
                <w:b/>
                <w:bCs/>
                <w:color w:val="auto"/>
              </w:rPr>
              <w:t>（2）110kV 输电线路</w:t>
            </w:r>
          </w:p>
          <w:p>
            <w:pPr>
              <w:bidi w:val="0"/>
              <w:ind w:firstLine="480" w:firstLineChars="200"/>
              <w:rPr>
                <w:color w:val="auto"/>
              </w:rPr>
            </w:pPr>
            <w:r>
              <w:rPr>
                <w:color w:val="auto"/>
              </w:rPr>
              <w:t>本工程输电线路主要为施工便道、牵张场开挖产生的扬尘。由于扬尘源多且分散，源高一般在15m以下，属于无组织排放。同时，受施工方式、设备、气候等因素制约，产生的随机性和波动性较大。但这种施工产生的扬尘粒径较大，沉降速度大，很快落至地面，其影响范围较小局限在施工现场附近，且施工扬尘对周围环境影响是短期的，随着施工作用结束而基本恢复原来的水平。</w:t>
            </w:r>
          </w:p>
          <w:p>
            <w:pPr>
              <w:bidi w:val="0"/>
              <w:ind w:firstLine="480" w:firstLineChars="200"/>
              <w:rPr>
                <w:rFonts w:hint="default"/>
                <w:color w:val="auto"/>
                <w:spacing w:val="-1"/>
              </w:rPr>
            </w:pPr>
            <w:r>
              <w:rPr>
                <w:color w:val="auto"/>
              </w:rPr>
              <w:t>本工程建筑垃圾集中、分类堆放，严密遮盖，严禁高处抛洒，施工现场实行围挡作业，对临时堆土、建筑材料进行苫盖，对施工便道洒水抑尘，每天洒3~4次，可降低70%的粉尘。</w:t>
            </w:r>
          </w:p>
          <w:p>
            <w:pPr>
              <w:bidi w:val="0"/>
              <w:ind w:firstLine="482" w:firstLineChars="200"/>
              <w:rPr>
                <w:rFonts w:hint="default"/>
                <w:b/>
                <w:bCs/>
                <w:color w:val="auto"/>
              </w:rPr>
            </w:pPr>
            <w:r>
              <w:rPr>
                <w:rFonts w:hint="eastAsia"/>
                <w:b/>
                <w:bCs/>
                <w:color w:val="auto"/>
                <w:lang w:val="en-US" w:eastAsia="zh-CN"/>
              </w:rPr>
              <w:t>3、</w:t>
            </w:r>
            <w:r>
              <w:rPr>
                <w:rFonts w:hint="default"/>
                <w:b/>
                <w:bCs/>
                <w:color w:val="auto"/>
              </w:rPr>
              <w:t>水环境影响分析</w:t>
            </w:r>
          </w:p>
          <w:p>
            <w:pPr>
              <w:bidi w:val="0"/>
              <w:ind w:firstLine="482" w:firstLineChars="200"/>
              <w:rPr>
                <w:b/>
                <w:bCs/>
                <w:color w:val="auto"/>
              </w:rPr>
            </w:pPr>
            <w:r>
              <w:rPr>
                <w:b/>
                <w:bCs/>
                <w:color w:val="auto"/>
              </w:rPr>
              <w:t>（1）110kV北部滩升压站</w:t>
            </w:r>
          </w:p>
          <w:p>
            <w:pPr>
              <w:bidi w:val="0"/>
              <w:ind w:firstLine="482" w:firstLineChars="200"/>
              <w:rPr>
                <w:b/>
                <w:bCs/>
                <w:color w:val="auto"/>
              </w:rPr>
            </w:pPr>
            <w:r>
              <w:rPr>
                <w:rFonts w:hint="eastAsia"/>
                <w:b/>
                <w:bCs/>
                <w:color w:val="auto"/>
              </w:rPr>
              <w:t>①</w:t>
            </w:r>
            <w:r>
              <w:rPr>
                <w:b/>
                <w:bCs/>
                <w:color w:val="auto"/>
              </w:rPr>
              <w:t>生产废水</w:t>
            </w:r>
          </w:p>
          <w:p>
            <w:pPr>
              <w:bidi w:val="0"/>
              <w:ind w:firstLine="480" w:firstLineChars="200"/>
              <w:rPr>
                <w:color w:val="auto"/>
              </w:rPr>
            </w:pPr>
            <w:r>
              <w:rPr>
                <w:color w:val="auto"/>
              </w:rPr>
              <w:t>本项目不设置拌合站，商品混凝土为外购，生产废水主要为砼养护废水和设备清洗废水，经新建的5m</w:t>
            </w:r>
            <w:r>
              <w:rPr>
                <w:color w:val="auto"/>
                <w:vertAlign w:val="superscript"/>
              </w:rPr>
              <w:t>3</w:t>
            </w:r>
            <w:r>
              <w:rPr>
                <w:color w:val="auto"/>
              </w:rPr>
              <w:t>的沉淀处理后回用，不外排。</w:t>
            </w:r>
          </w:p>
          <w:p>
            <w:pPr>
              <w:bidi w:val="0"/>
              <w:ind w:firstLine="482" w:firstLineChars="200"/>
              <w:rPr>
                <w:b/>
                <w:bCs/>
                <w:color w:val="auto"/>
              </w:rPr>
            </w:pPr>
            <w:r>
              <w:rPr>
                <w:rFonts w:hint="eastAsia"/>
                <w:b/>
                <w:bCs/>
                <w:color w:val="auto"/>
              </w:rPr>
              <w:t>②</w:t>
            </w:r>
            <w:r>
              <w:rPr>
                <w:b/>
                <w:bCs/>
                <w:color w:val="auto"/>
              </w:rPr>
              <w:t>生活污水</w:t>
            </w:r>
          </w:p>
          <w:p>
            <w:pPr>
              <w:bidi w:val="0"/>
              <w:ind w:firstLine="480" w:firstLineChars="200"/>
              <w:rPr>
                <w:color w:val="auto"/>
              </w:rPr>
            </w:pPr>
            <w:r>
              <w:rPr>
                <w:color w:val="auto"/>
              </w:rPr>
              <w:t>生活污水主要来自于施工人员的生活排水，主要为员工日常盥洗废水，污染物主要为 COD和SS。项目施工期施工人员按60人计，用水量为15L/人</w:t>
            </w:r>
            <w:r>
              <w:rPr>
                <w:rFonts w:hint="eastAsia"/>
                <w:color w:val="auto"/>
              </w:rPr>
              <w:t>·</w:t>
            </w:r>
            <w:r>
              <w:rPr>
                <w:color w:val="auto"/>
              </w:rPr>
              <w:t>d，每日生活用水量为 0.9m</w:t>
            </w:r>
            <w:r>
              <w:rPr>
                <w:color w:val="auto"/>
                <w:vertAlign w:val="superscript"/>
              </w:rPr>
              <w:t>3</w:t>
            </w:r>
            <w:r>
              <w:rPr>
                <w:color w:val="auto"/>
              </w:rPr>
              <w:t>/d，生活污水产生量按用水量的80%计算，为0.72m</w:t>
            </w:r>
            <w:r>
              <w:rPr>
                <w:color w:val="auto"/>
                <w:vertAlign w:val="superscript"/>
              </w:rPr>
              <w:t>3</w:t>
            </w:r>
            <w:r>
              <w:rPr>
                <w:color w:val="auto"/>
              </w:rPr>
              <w:t>/d，产生的生活污水可利用施工场地设置的环保厕所进行处理，不外排。</w:t>
            </w:r>
          </w:p>
          <w:p>
            <w:pPr>
              <w:bidi w:val="0"/>
              <w:ind w:firstLine="482" w:firstLineChars="200"/>
              <w:rPr>
                <w:b/>
                <w:bCs/>
                <w:color w:val="auto"/>
              </w:rPr>
            </w:pPr>
            <w:r>
              <w:rPr>
                <w:b/>
                <w:bCs/>
                <w:color w:val="auto"/>
              </w:rPr>
              <w:t>（2）110kV输电线路</w:t>
            </w:r>
          </w:p>
          <w:p>
            <w:pPr>
              <w:bidi w:val="0"/>
              <w:ind w:firstLine="480" w:firstLineChars="200"/>
              <w:rPr>
                <w:rFonts w:hint="eastAsia"/>
                <w:color w:val="auto"/>
                <w:lang w:val="en-US" w:eastAsia="zh-CN"/>
              </w:rPr>
            </w:pPr>
            <w:r>
              <w:rPr>
                <w:color w:val="auto"/>
              </w:rPr>
              <w:t>本项目输电线路施工时，基础浇筑采用商品混凝土，无废水产生。塔基施工一般选在雨水较少的季节，有利于施工建设，对临时堆土在暴雨到来之前进行苫盖，减少面源污染对地表水、地下水环境的影响。线路施工过程中在塔基基础开挖时，应注意土石方的堆放，并对开挖的土石方采取护拦措施，或对裸露部分及时恢复，并且在施工中注意不让泥水外溢，而影响周围环境。</w:t>
            </w:r>
          </w:p>
          <w:p>
            <w:pPr>
              <w:bidi w:val="0"/>
              <w:ind w:firstLine="482" w:firstLineChars="200"/>
              <w:rPr>
                <w:b/>
                <w:bCs/>
                <w:color w:val="auto"/>
              </w:rPr>
            </w:pPr>
            <w:r>
              <w:rPr>
                <w:rFonts w:hint="eastAsia"/>
                <w:b/>
                <w:bCs/>
                <w:color w:val="auto"/>
                <w:lang w:val="en-US" w:eastAsia="zh-CN"/>
              </w:rPr>
              <w:t>4、</w:t>
            </w:r>
            <w:r>
              <w:rPr>
                <w:b/>
                <w:bCs/>
                <w:color w:val="auto"/>
              </w:rPr>
              <w:t>声环境影响分析</w:t>
            </w:r>
          </w:p>
          <w:p>
            <w:pPr>
              <w:pStyle w:val="18"/>
              <w:keepNext w:val="0"/>
              <w:keepLines w:val="0"/>
              <w:pageBreakBefore w:val="0"/>
              <w:widowControl w:val="0"/>
              <w:kinsoku/>
              <w:wordWrap/>
              <w:overflowPunct/>
              <w:topLinePunct w:val="0"/>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（1）噪声源强</w:t>
            </w:r>
          </w:p>
          <w:p>
            <w:pPr>
              <w:bidi w:val="0"/>
              <w:ind w:firstLine="480" w:firstLineChars="200"/>
              <w:rPr>
                <w:rFonts w:hint="default"/>
                <w:color w:val="auto"/>
              </w:rPr>
            </w:pPr>
            <w:r>
              <w:rPr>
                <w:color w:val="auto"/>
              </w:rPr>
              <w:t>本工程施工期间噪声主要包括施工机械噪声和运输车辆噪声</w:t>
            </w:r>
            <w:r>
              <w:rPr>
                <w:rFonts w:hint="default"/>
                <w:color w:val="auto"/>
              </w:rPr>
              <w:t>。</w:t>
            </w:r>
          </w:p>
          <w:p>
            <w:pPr>
              <w:numPr>
                <w:ilvl w:val="0"/>
                <w:numId w:val="0"/>
              </w:numPr>
              <w:bidi w:val="0"/>
              <w:ind w:firstLine="482" w:firstLineChars="200"/>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eastAsia="zh-CN"/>
              </w:rPr>
              <w:t>（</w:t>
            </w:r>
            <w:r>
              <w:rPr>
                <w:rFonts w:hint="eastAsia" w:ascii="Times New Roman" w:hAnsi="Times New Roman" w:eastAsia="宋体" w:cs="Times New Roman"/>
                <w:b/>
                <w:bCs/>
                <w:color w:val="auto"/>
                <w:sz w:val="24"/>
                <w:szCs w:val="24"/>
                <w:highlight w:val="none"/>
                <w:lang w:val="en-US" w:eastAsia="zh-CN"/>
              </w:rPr>
              <w:t>2</w:t>
            </w:r>
            <w:r>
              <w:rPr>
                <w:rFonts w:hint="eastAsia"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施工期噪声影响分析</w:t>
            </w:r>
          </w:p>
          <w:p>
            <w:pPr>
              <w:bidi w:val="0"/>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本项目施工机械声级在75-90dB(A)。</w:t>
            </w:r>
          </w:p>
          <w:p>
            <w:pPr>
              <w:bidi w:val="0"/>
              <w:ind w:firstLine="480" w:firstLineChars="200"/>
              <w:rPr>
                <w:rFonts w:hint="default"/>
                <w:color w:val="auto"/>
              </w:rPr>
            </w:pPr>
            <w:r>
              <w:rPr>
                <w:color w:val="auto"/>
              </w:rPr>
              <w:t>根据计算结果，所有设备产生的噪声在150m处均衰减到70dB(A)以下，可以满足 《建筑施工场界环境噪声排放标准》(GB12523-2011)中相关要求。</w:t>
            </w:r>
          </w:p>
          <w:p>
            <w:pPr>
              <w:bidi w:val="0"/>
              <w:ind w:firstLine="480" w:firstLineChars="200"/>
              <w:rPr>
                <w:color w:val="auto"/>
              </w:rPr>
            </w:pPr>
            <w:r>
              <w:rPr>
                <w:color w:val="auto"/>
              </w:rPr>
              <w:t>本工程新建110kV北部滩升压站200范围内无声环境敏感点分布，因此工程在施工期产生的噪声不会产生噪声污染。</w:t>
            </w:r>
          </w:p>
          <w:p>
            <w:pPr>
              <w:bidi w:val="0"/>
              <w:ind w:firstLine="480" w:firstLineChars="200"/>
              <w:rPr>
                <w:rFonts w:hint="default"/>
                <w:color w:val="auto"/>
              </w:rPr>
            </w:pPr>
            <w:r>
              <w:rPr>
                <w:color w:val="auto"/>
              </w:rPr>
              <w:t>本评价要求，在施工过程中将高噪声设备及施工场地尽量布置在场地中部，合理安排施工时间，施工期间的场界噪声必须满足《建筑施工场界环境噪声排放标准》（GB12523-2011）标准要求。</w:t>
            </w:r>
          </w:p>
          <w:p>
            <w:pPr>
              <w:bidi w:val="0"/>
              <w:ind w:firstLine="482" w:firstLineChars="200"/>
              <w:rPr>
                <w:b/>
                <w:bCs/>
                <w:color w:val="auto"/>
              </w:rPr>
            </w:pPr>
            <w:r>
              <w:rPr>
                <w:rFonts w:hint="eastAsia"/>
                <w:b/>
                <w:bCs/>
                <w:color w:val="auto"/>
                <w:lang w:val="en-US" w:eastAsia="zh-CN"/>
              </w:rPr>
              <w:t>5、</w:t>
            </w:r>
            <w:r>
              <w:rPr>
                <w:b/>
                <w:bCs/>
                <w:color w:val="auto"/>
              </w:rPr>
              <w:t>固体废物影响分析</w:t>
            </w:r>
          </w:p>
          <w:p>
            <w:pPr>
              <w:bidi w:val="0"/>
              <w:ind w:firstLine="480" w:firstLineChars="200"/>
              <w:rPr>
                <w:color w:val="auto"/>
              </w:rPr>
            </w:pPr>
            <w:r>
              <w:rPr>
                <w:color w:val="auto"/>
              </w:rPr>
              <w:t>施工期固体废物主要为建筑垃圾、生活垃圾、土石方以及废包装材料。</w:t>
            </w:r>
          </w:p>
          <w:p>
            <w:pPr>
              <w:bidi w:val="0"/>
              <w:ind w:firstLine="482" w:firstLineChars="200"/>
              <w:rPr>
                <w:b/>
                <w:bCs/>
                <w:color w:val="auto"/>
              </w:rPr>
            </w:pPr>
            <w:r>
              <w:rPr>
                <w:b/>
                <w:bCs/>
                <w:color w:val="auto"/>
              </w:rPr>
              <w:t>（1）生活垃圾</w:t>
            </w:r>
          </w:p>
          <w:p>
            <w:pPr>
              <w:bidi w:val="0"/>
              <w:ind w:firstLine="480" w:firstLineChars="200"/>
              <w:rPr>
                <w:color w:val="auto"/>
              </w:rPr>
            </w:pPr>
            <w:r>
              <w:rPr>
                <w:color w:val="auto"/>
              </w:rPr>
              <w:t>施工人员每人每天产生生活垃圾按0.5kg计，工程施工高峰日施工人数60人，则生活垃圾产生量约为30kg/d，定期清运至环卫部门指定的地点处置，对周围环境影响较小。</w:t>
            </w:r>
          </w:p>
          <w:p>
            <w:pPr>
              <w:bidi w:val="0"/>
              <w:ind w:firstLine="482" w:firstLineChars="200"/>
              <w:rPr>
                <w:b/>
                <w:bCs/>
                <w:color w:val="auto"/>
              </w:rPr>
            </w:pPr>
            <w:r>
              <w:rPr>
                <w:b/>
                <w:bCs/>
                <w:color w:val="auto"/>
              </w:rPr>
              <w:t>（2）建筑垃圾</w:t>
            </w:r>
          </w:p>
          <w:p>
            <w:pPr>
              <w:bidi w:val="0"/>
              <w:ind w:firstLine="480" w:firstLineChars="200"/>
              <w:rPr>
                <w:color w:val="auto"/>
              </w:rPr>
            </w:pPr>
            <w:r>
              <w:rPr>
                <w:color w:val="auto"/>
              </w:rPr>
              <w:t>建筑垃圾主要为施工过程中产生的碎石、砂土等，施工过程中尽量就地回收利用，可用于地基加固、道路填筑等。建筑垃圾产生量约为0.6t，收集后运往城建部门指定的建筑垃圾填埋场处置，对周围环境影响较小。</w:t>
            </w:r>
          </w:p>
          <w:p>
            <w:pPr>
              <w:bidi w:val="0"/>
              <w:ind w:firstLine="482" w:firstLineChars="200"/>
              <w:rPr>
                <w:b/>
                <w:bCs/>
                <w:color w:val="auto"/>
              </w:rPr>
            </w:pPr>
            <w:r>
              <w:rPr>
                <w:b/>
                <w:bCs/>
                <w:color w:val="auto"/>
              </w:rPr>
              <w:t>（3）废包装材料</w:t>
            </w:r>
          </w:p>
          <w:p>
            <w:pPr>
              <w:bidi w:val="0"/>
              <w:ind w:firstLine="480" w:firstLineChars="200"/>
              <w:rPr>
                <w:color w:val="auto"/>
              </w:rPr>
            </w:pPr>
            <w:r>
              <w:rPr>
                <w:color w:val="auto"/>
              </w:rPr>
              <w:t>施工过程中产生的废包装材料约为0.5t，环评要求在施工过程中统一收集，按照《一般工业固体废物贮存和填埋污染控制标准》（GB18599-2020）要求运至城建部门指定</w:t>
            </w:r>
          </w:p>
          <w:p>
            <w:pPr>
              <w:bidi w:val="0"/>
              <w:rPr>
                <w:color w:val="auto"/>
              </w:rPr>
            </w:pPr>
            <w:r>
              <w:rPr>
                <w:color w:val="auto"/>
              </w:rPr>
              <w:t>的建筑垃圾填埋场进行处置。</w:t>
            </w:r>
          </w:p>
          <w:p>
            <w:pPr>
              <w:bidi w:val="0"/>
              <w:ind w:firstLine="482" w:firstLineChars="200"/>
              <w:rPr>
                <w:b/>
                <w:bCs/>
                <w:color w:val="auto"/>
              </w:rPr>
            </w:pPr>
            <w:r>
              <w:rPr>
                <w:b/>
                <w:bCs/>
                <w:color w:val="auto"/>
              </w:rPr>
              <w:t>（4）土石方</w:t>
            </w:r>
          </w:p>
          <w:p>
            <w:pPr>
              <w:bidi w:val="0"/>
              <w:ind w:firstLine="480" w:firstLineChars="200"/>
              <w:rPr>
                <w:color w:val="auto"/>
              </w:rPr>
            </w:pPr>
            <w:r>
              <w:rPr>
                <w:color w:val="auto"/>
              </w:rPr>
              <w:t>本项目土石方挖方量为22310m</w:t>
            </w:r>
            <w:r>
              <w:rPr>
                <w:color w:val="auto"/>
                <w:vertAlign w:val="superscript"/>
              </w:rPr>
              <w:t>3</w:t>
            </w:r>
            <w:r>
              <w:rPr>
                <w:color w:val="auto"/>
              </w:rPr>
              <w:t>，填方量为22310m</w:t>
            </w:r>
            <w:r>
              <w:rPr>
                <w:color w:val="auto"/>
                <w:vertAlign w:val="superscript"/>
              </w:rPr>
              <w:t>3</w:t>
            </w:r>
            <w:r>
              <w:rPr>
                <w:color w:val="auto"/>
              </w:rPr>
              <w:t>，挖方全部利用，挖填方平衡，无弃方。</w:t>
            </w:r>
          </w:p>
          <w:p>
            <w:pPr>
              <w:bidi w:val="0"/>
              <w:ind w:firstLine="480" w:firstLineChars="200"/>
              <w:rPr>
                <w:rFonts w:hint="eastAsia" w:ascii="Times New Roman" w:hAnsi="Times New Roman" w:eastAsia="宋体" w:cs="Times New Roman"/>
                <w:color w:val="auto"/>
                <w:szCs w:val="24"/>
                <w:lang w:eastAsia="zh-CN"/>
              </w:rPr>
            </w:pPr>
            <w:r>
              <w:rPr>
                <w:color w:val="auto"/>
              </w:rPr>
              <w:t>采取有效措施后，本项目在施工过程中产生的固体废物对环境影响较小。</w:t>
            </w:r>
          </w:p>
          <w:p>
            <w:pPr>
              <w:bidi w:val="0"/>
              <w:ind w:firstLine="482" w:firstLineChars="200"/>
              <w:rPr>
                <w:b/>
                <w:bCs/>
                <w:color w:val="auto"/>
              </w:rPr>
            </w:pPr>
            <w:r>
              <w:rPr>
                <w:b/>
                <w:bCs/>
                <w:color w:val="auto"/>
              </w:rPr>
              <w:t>二、运营期环境影响分析</w:t>
            </w:r>
          </w:p>
          <w:p>
            <w:pPr>
              <w:bidi w:val="0"/>
              <w:ind w:firstLine="480" w:firstLineChars="200"/>
              <w:rPr>
                <w:rFonts w:hint="default"/>
                <w:color w:val="auto"/>
              </w:rPr>
            </w:pPr>
            <w:r>
              <w:rPr>
                <w:color w:val="auto"/>
              </w:rPr>
              <w:t>本工程运营期对环境的影响主要有工频电场、工频磁场、噪声、废水、固体废物和环境风险等。其工艺流程及产污环节见图</w:t>
            </w:r>
            <w:r>
              <w:rPr>
                <w:rFonts w:hint="eastAsia"/>
                <w:color w:val="auto"/>
                <w:lang w:val="en-US" w:eastAsia="zh-CN"/>
              </w:rPr>
              <w:t>5-1</w:t>
            </w:r>
            <w:r>
              <w:rPr>
                <w:rFonts w:hint="default"/>
                <w:color w:val="auto"/>
              </w:rPr>
              <w:t>。</w:t>
            </w:r>
          </w:p>
          <w:p>
            <w:pPr>
              <w:bidi w:val="0"/>
              <w:spacing w:line="240" w:lineRule="auto"/>
              <w:jc w:val="center"/>
              <w:rPr>
                <w:rFonts w:hint="default" w:ascii="Times New Roman" w:hAnsi="Times New Roman" w:eastAsia="宋体" w:cs="Times New Roman"/>
                <w:bCs/>
                <w:color w:val="auto"/>
                <w:szCs w:val="24"/>
                <w:highlight w:val="none"/>
              </w:rPr>
            </w:pPr>
            <w:bookmarkStart w:id="0" w:name="_Ref308090475"/>
            <w:r>
              <w:rPr>
                <w:color w:val="auto"/>
                <w:position w:val="-103"/>
              </w:rPr>
              <w:drawing>
                <wp:inline distT="0" distB="0" distL="0" distR="0">
                  <wp:extent cx="5845175" cy="3841115"/>
                  <wp:effectExtent l="0" t="0" r="3175" b="6985"/>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4"/>
                          <a:stretch>
                            <a:fillRect/>
                          </a:stretch>
                        </pic:blipFill>
                        <pic:spPr>
                          <a:xfrm>
                            <a:off x="0" y="0"/>
                            <a:ext cx="5845175" cy="3841115"/>
                          </a:xfrm>
                          <a:prstGeom prst="rect">
                            <a:avLst/>
                          </a:prstGeom>
                        </pic:spPr>
                      </pic:pic>
                    </a:graphicData>
                  </a:graphic>
                </wp:inline>
              </w:drawing>
            </w:r>
          </w:p>
          <w:p>
            <w:pPr>
              <w:bidi w:val="0"/>
              <w:spacing w:line="360" w:lineRule="auto"/>
              <w:jc w:val="center"/>
              <w:rPr>
                <w:rFonts w:hint="eastAsia"/>
                <w:b/>
                <w:bCs/>
                <w:color w:val="auto"/>
                <w:lang w:val="en-US" w:eastAsia="zh-CN"/>
              </w:rPr>
            </w:pPr>
            <w:r>
              <w:rPr>
                <w:rFonts w:hint="default"/>
                <w:b/>
                <w:bCs/>
                <w:color w:val="auto"/>
              </w:rPr>
              <w:t>图</w:t>
            </w:r>
            <w:bookmarkEnd w:id="0"/>
            <w:r>
              <w:rPr>
                <w:rFonts w:hint="eastAsia"/>
                <w:b/>
                <w:bCs/>
                <w:color w:val="auto"/>
                <w:lang w:val="en-US" w:eastAsia="zh-CN"/>
              </w:rPr>
              <w:t>5-1</w:t>
            </w:r>
            <w:r>
              <w:rPr>
                <w:rFonts w:hint="default"/>
                <w:b/>
                <w:bCs/>
                <w:color w:val="auto"/>
                <w:lang w:val="en-US" w:eastAsia="zh-CN"/>
              </w:rPr>
              <w:t xml:space="preserve">  </w:t>
            </w:r>
            <w:r>
              <w:rPr>
                <w:rFonts w:hint="default"/>
                <w:b/>
                <w:bCs/>
                <w:color w:val="auto"/>
              </w:rPr>
              <w:t>运营期110kV北部滩升压站工艺流程及产污环节</w:t>
            </w:r>
          </w:p>
          <w:p>
            <w:pPr>
              <w:bidi w:val="0"/>
              <w:ind w:firstLine="482" w:firstLineChars="200"/>
              <w:rPr>
                <w:b/>
                <w:bCs/>
                <w:color w:val="auto"/>
              </w:rPr>
            </w:pPr>
            <w:r>
              <w:rPr>
                <w:rFonts w:hint="eastAsia"/>
                <w:b/>
                <w:bCs/>
                <w:color w:val="auto"/>
                <w:lang w:val="en-US" w:eastAsia="zh-CN"/>
              </w:rPr>
              <w:t>1、</w:t>
            </w:r>
            <w:r>
              <w:rPr>
                <w:b/>
                <w:bCs/>
                <w:color w:val="auto"/>
              </w:rPr>
              <w:t>电磁环境影响分析</w:t>
            </w:r>
          </w:p>
          <w:p>
            <w:pPr>
              <w:bidi w:val="0"/>
              <w:ind w:firstLine="480" w:firstLineChars="200"/>
              <w:rPr>
                <w:rFonts w:hint="eastAsia"/>
                <w:color w:val="auto"/>
                <w:lang w:val="en-US" w:eastAsia="zh-CN"/>
              </w:rPr>
            </w:pPr>
            <w:r>
              <w:rPr>
                <w:color w:val="auto"/>
              </w:rPr>
              <w:t>根据类比分析和模式预测，本项目110kV输变电工程投运后，升压站四周及输变电线路导线两侧30m范围内的工频电场强度及磁感应强度均能够分别满足 《电磁环境控制限值》（GB8702-2014）表1“ 公众曝露控制限值” 中工频电场强度控制限值为4000V/m，架空输电线路线下的耕地、园地、牧草地、畜禽饲养地、养殖水面、道路等场所，其频率50Hz的电场强度控制限值为10kV/m，工频磁感应强度控制限值为100μT的要求。</w:t>
            </w:r>
          </w:p>
          <w:p>
            <w:pPr>
              <w:bidi w:val="0"/>
              <w:ind w:firstLine="482" w:firstLineChars="200"/>
              <w:rPr>
                <w:rFonts w:hint="default"/>
                <w:b/>
                <w:bCs/>
                <w:color w:val="auto"/>
              </w:rPr>
            </w:pPr>
            <w:r>
              <w:rPr>
                <w:rFonts w:hint="eastAsia"/>
                <w:b/>
                <w:bCs/>
                <w:color w:val="auto"/>
                <w:lang w:val="en-US" w:eastAsia="zh-CN"/>
              </w:rPr>
              <w:t>2、生</w:t>
            </w:r>
            <w:r>
              <w:rPr>
                <w:rFonts w:hint="default"/>
                <w:b/>
                <w:bCs/>
                <w:color w:val="auto"/>
              </w:rPr>
              <w:t>态环境影响分析</w:t>
            </w:r>
          </w:p>
          <w:p>
            <w:pPr>
              <w:bidi w:val="0"/>
              <w:ind w:firstLine="480" w:firstLineChars="200"/>
              <w:rPr>
                <w:color w:val="auto"/>
              </w:rPr>
            </w:pPr>
            <w:r>
              <w:rPr>
                <w:color w:val="auto"/>
              </w:rPr>
              <w:t>本项目升压站永久占地28800m</w:t>
            </w:r>
            <w:r>
              <w:rPr>
                <w:color w:val="auto"/>
                <w:vertAlign w:val="superscript"/>
              </w:rPr>
              <w:t>2</w:t>
            </w:r>
            <w:r>
              <w:rPr>
                <w:color w:val="auto"/>
              </w:rPr>
              <w:t>，因此会减少项目区的生物量，但通过将对场址区域采取植被恢复等方式进行生态补偿后，对区域生态环境质量不会造成明显的不利影响。</w:t>
            </w:r>
          </w:p>
          <w:p>
            <w:pPr>
              <w:bidi w:val="0"/>
              <w:ind w:firstLine="480" w:firstLineChars="200"/>
              <w:rPr>
                <w:rFonts w:hint="default"/>
                <w:color w:val="auto"/>
              </w:rPr>
            </w:pPr>
            <w:r>
              <w:rPr>
                <w:color w:val="auto"/>
              </w:rPr>
              <w:t>本项目运行期升压站产生的噪声和人员活动是对野生动物的主要影响因素。项目在运行期需加强管理和宣传，对野生动物采取相关保护措施。因此对野生动物的影响十分有限。</w:t>
            </w:r>
          </w:p>
          <w:p>
            <w:pPr>
              <w:spacing w:line="360" w:lineRule="auto"/>
              <w:ind w:firstLine="482"/>
              <w:rPr>
                <w:rFonts w:hint="default" w:ascii="Times New Roman" w:hAnsi="Times New Roman" w:eastAsia="宋体" w:cs="Times New Roman"/>
                <w:b/>
                <w:bCs/>
                <w:color w:val="auto"/>
                <w:sz w:val="24"/>
                <w:szCs w:val="24"/>
                <w:highlight w:val="none"/>
              </w:rPr>
            </w:pPr>
            <w:r>
              <w:rPr>
                <w:rFonts w:hint="eastAsia"/>
                <w:b/>
                <w:bCs/>
                <w:color w:val="auto"/>
                <w:lang w:val="en-US" w:eastAsia="zh-CN"/>
              </w:rPr>
              <w:t>3、</w:t>
            </w:r>
            <w:r>
              <w:rPr>
                <w:rFonts w:hint="default" w:ascii="Times New Roman" w:hAnsi="Times New Roman" w:eastAsia="宋体" w:cs="Times New Roman"/>
                <w:b/>
                <w:bCs/>
                <w:color w:val="auto"/>
                <w:sz w:val="24"/>
                <w:szCs w:val="24"/>
                <w:highlight w:val="none"/>
              </w:rPr>
              <w:t>大气环境影响分析</w:t>
            </w:r>
          </w:p>
          <w:p>
            <w:pPr>
              <w:bidi w:val="0"/>
              <w:ind w:firstLine="480" w:firstLineChars="200"/>
              <w:rPr>
                <w:color w:val="auto"/>
              </w:rPr>
            </w:pPr>
            <w:r>
              <w:rPr>
                <w:color w:val="auto"/>
              </w:rPr>
              <w:t>本项目运营期产生的废气主要为食堂油烟。</w:t>
            </w:r>
          </w:p>
          <w:p>
            <w:pPr>
              <w:bidi w:val="0"/>
              <w:ind w:firstLine="480" w:firstLineChars="200"/>
              <w:rPr>
                <w:color w:val="auto"/>
              </w:rPr>
            </w:pPr>
            <w:r>
              <w:rPr>
                <w:color w:val="auto"/>
              </w:rPr>
              <w:t>本项目就餐人数按最大4人/d考虑，基准灶头数以1个计，规模属于小型灶头。根据《环境保护使用数据手册》资料，人均日食用油用量25g/人</w:t>
            </w:r>
            <w:r>
              <w:rPr>
                <w:rFonts w:hint="eastAsia"/>
                <w:color w:val="auto"/>
              </w:rPr>
              <w:t>·</w:t>
            </w:r>
            <w:r>
              <w:rPr>
                <w:color w:val="auto"/>
              </w:rPr>
              <w:t>d，则项目耗油量为0.10kg/d，一般油烟挥发量占总耗油量的2~4%，取平均值3%，油烟产生量约为1.10kg/a，油烟总排风量为1500m</w:t>
            </w:r>
            <w:r>
              <w:rPr>
                <w:color w:val="auto"/>
                <w:vertAlign w:val="superscript"/>
              </w:rPr>
              <w:t>3</w:t>
            </w:r>
            <w:r>
              <w:rPr>
                <w:color w:val="auto"/>
              </w:rPr>
              <w:t>/h，故油烟产生浓度为0.40mg/m</w:t>
            </w:r>
            <w:r>
              <w:rPr>
                <w:color w:val="auto"/>
                <w:vertAlign w:val="superscript"/>
              </w:rPr>
              <w:t>3</w:t>
            </w:r>
            <w:r>
              <w:rPr>
                <w:color w:val="auto"/>
              </w:rPr>
              <w:t>，经油烟净化装置处理后排放，油烟净化效率要求不低于60%，则排放油烟浓度为0. 16mg/m</w:t>
            </w:r>
            <w:r>
              <w:rPr>
                <w:color w:val="auto"/>
                <w:vertAlign w:val="superscript"/>
              </w:rPr>
              <w:t>3</w:t>
            </w:r>
            <w:r>
              <w:rPr>
                <w:color w:val="auto"/>
              </w:rPr>
              <w:t>，年排放量0.44kg/a，满足《饮食业油烟排放标准》（GB18483-2001）中小型规模最高允许排放浓度（2.0mg/m</w:t>
            </w:r>
            <w:r>
              <w:rPr>
                <w:color w:val="auto"/>
                <w:vertAlign w:val="superscript"/>
              </w:rPr>
              <w:t>3</w:t>
            </w:r>
            <w:r>
              <w:rPr>
                <w:color w:val="auto"/>
              </w:rPr>
              <w:t>）的要求。</w:t>
            </w:r>
          </w:p>
          <w:p>
            <w:pPr>
              <w:spacing w:line="360" w:lineRule="auto"/>
              <w:ind w:firstLine="482"/>
              <w:rPr>
                <w:rFonts w:hint="default" w:ascii="Times New Roman" w:hAnsi="Times New Roman" w:eastAsia="宋体" w:cs="Times New Roman"/>
                <w:b w:val="0"/>
                <w:bCs w:val="0"/>
                <w:color w:val="auto"/>
                <w:sz w:val="24"/>
                <w:szCs w:val="24"/>
                <w:highlight w:val="none"/>
              </w:rPr>
            </w:pPr>
            <w:r>
              <w:rPr>
                <w:rFonts w:hint="eastAsia" w:cs="Times New Roman"/>
                <w:b/>
                <w:bCs/>
                <w:color w:val="auto"/>
                <w:sz w:val="24"/>
                <w:szCs w:val="24"/>
                <w:highlight w:val="none"/>
                <w:lang w:val="en-US" w:eastAsia="zh-CN"/>
              </w:rPr>
              <w:t>4</w:t>
            </w:r>
            <w:r>
              <w:rPr>
                <w:rFonts w:hint="eastAsia"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水环境影响分析</w:t>
            </w:r>
          </w:p>
          <w:p>
            <w:pPr>
              <w:bidi w:val="0"/>
              <w:ind w:firstLine="482" w:firstLineChars="200"/>
              <w:rPr>
                <w:b/>
                <w:bCs/>
                <w:color w:val="auto"/>
              </w:rPr>
            </w:pPr>
            <w:r>
              <w:rPr>
                <w:b/>
                <w:bCs/>
                <w:color w:val="auto"/>
              </w:rPr>
              <w:t>（1）110KV北部滩升压站</w:t>
            </w:r>
          </w:p>
          <w:p>
            <w:pPr>
              <w:bidi w:val="0"/>
              <w:ind w:firstLine="480" w:firstLineChars="200"/>
              <w:rPr>
                <w:color w:val="auto"/>
              </w:rPr>
            </w:pPr>
            <w:r>
              <w:rPr>
                <w:color w:val="auto"/>
              </w:rPr>
              <w:t>本项目运营期产生的废水主要为生活污水。</w:t>
            </w:r>
          </w:p>
          <w:p>
            <w:pPr>
              <w:bidi w:val="0"/>
              <w:ind w:firstLine="480" w:firstLineChars="200"/>
              <w:rPr>
                <w:color w:val="auto"/>
              </w:rPr>
            </w:pPr>
            <w:r>
              <w:rPr>
                <w:color w:val="auto"/>
              </w:rPr>
              <w:t>本项目运营期办公人员为4人，用水量为60L/人</w:t>
            </w:r>
            <w:r>
              <w:rPr>
                <w:rFonts w:hint="eastAsia"/>
                <w:color w:val="auto"/>
              </w:rPr>
              <w:t>·</w:t>
            </w:r>
            <w:r>
              <w:rPr>
                <w:color w:val="auto"/>
              </w:rPr>
              <w:t>d，每日生活用水量为0.24m</w:t>
            </w:r>
            <w:r>
              <w:rPr>
                <w:color w:val="auto"/>
                <w:vertAlign w:val="superscript"/>
              </w:rPr>
              <w:t>3</w:t>
            </w:r>
            <w:r>
              <w:rPr>
                <w:color w:val="auto"/>
              </w:rPr>
              <w:t>/d。 生活污水产生量按用水量的80%计算，约为0.192m</w:t>
            </w:r>
            <w:r>
              <w:rPr>
                <w:color w:val="auto"/>
                <w:vertAlign w:val="superscript"/>
              </w:rPr>
              <w:t>3</w:t>
            </w:r>
            <w:r>
              <w:rPr>
                <w:color w:val="auto"/>
              </w:rPr>
              <w:t>/d。餐饮废水经隔油池（1.0m</w:t>
            </w:r>
            <w:r>
              <w:rPr>
                <w:color w:val="auto"/>
                <w:vertAlign w:val="superscript"/>
              </w:rPr>
              <w:t>3</w:t>
            </w:r>
            <w:r>
              <w:rPr>
                <w:color w:val="auto"/>
              </w:rPr>
              <w:t>）处理后，与生活污水经地埋式一体化污水处理设施（1.0m</w:t>
            </w:r>
            <w:r>
              <w:rPr>
                <w:color w:val="auto"/>
                <w:vertAlign w:val="superscript"/>
              </w:rPr>
              <w:t>3</w:t>
            </w:r>
            <w:r>
              <w:rPr>
                <w:color w:val="auto"/>
              </w:rPr>
              <w:t>/d）处理后达到《城市污水再生利用  城市杂用水水质》（GB/T 18920-2020）中表1城市绿化、道路清扫、消防、建筑施工限值后用于场区绿化、洒水降尘，不外排。</w:t>
            </w:r>
          </w:p>
          <w:p>
            <w:pPr>
              <w:bidi w:val="0"/>
              <w:ind w:firstLine="482" w:firstLineChars="200"/>
              <w:rPr>
                <w:b/>
                <w:bCs/>
                <w:color w:val="auto"/>
              </w:rPr>
            </w:pPr>
            <w:r>
              <w:rPr>
                <w:b/>
                <w:bCs/>
                <w:color w:val="auto"/>
              </w:rPr>
              <w:t>（2）110kV输电线路</w:t>
            </w:r>
          </w:p>
          <w:p>
            <w:pPr>
              <w:bidi w:val="0"/>
              <w:ind w:firstLine="480" w:firstLineChars="200"/>
              <w:rPr>
                <w:rFonts w:hint="eastAsia"/>
                <w:color w:val="auto"/>
                <w:lang w:val="en-US" w:eastAsia="zh-CN"/>
              </w:rPr>
            </w:pPr>
            <w:r>
              <w:rPr>
                <w:color w:val="auto"/>
              </w:rPr>
              <w:t>本工程输电线路运营期无废污水产生。</w:t>
            </w:r>
          </w:p>
          <w:p>
            <w:pPr>
              <w:numPr>
                <w:ilvl w:val="0"/>
                <w:numId w:val="0"/>
              </w:numPr>
              <w:bidi w:val="0"/>
              <w:ind w:leftChars="200"/>
              <w:rPr>
                <w:b/>
                <w:bCs/>
                <w:color w:val="auto"/>
              </w:rPr>
            </w:pPr>
            <w:r>
              <w:rPr>
                <w:rFonts w:hint="eastAsia"/>
                <w:b/>
                <w:bCs/>
                <w:color w:val="auto"/>
                <w:lang w:val="en-US" w:eastAsia="zh-CN"/>
              </w:rPr>
              <w:t>5、</w:t>
            </w:r>
            <w:r>
              <w:rPr>
                <w:b/>
                <w:bCs/>
                <w:color w:val="auto"/>
              </w:rPr>
              <w:t>声环境影响分析</w:t>
            </w:r>
          </w:p>
          <w:p>
            <w:pPr>
              <w:bidi w:val="0"/>
              <w:ind w:firstLine="482" w:firstLineChars="200"/>
              <w:rPr>
                <w:rFonts w:hint="eastAsia"/>
                <w:b/>
                <w:bCs/>
                <w:color w:val="auto"/>
                <w:lang w:eastAsia="zh-CN"/>
              </w:rPr>
            </w:pPr>
            <w:r>
              <w:rPr>
                <w:rFonts w:hint="eastAsia"/>
                <w:b/>
                <w:bCs/>
                <w:color w:val="auto"/>
                <w:lang w:val="en-US" w:eastAsia="zh-CN"/>
              </w:rPr>
              <w:t>（1）</w:t>
            </w:r>
            <w:r>
              <w:rPr>
                <w:b/>
                <w:bCs/>
                <w:color w:val="auto"/>
              </w:rPr>
              <w:t>新建110kV北部滩升压站噪声预测</w:t>
            </w:r>
          </w:p>
          <w:p>
            <w:pPr>
              <w:bidi w:val="0"/>
              <w:ind w:firstLine="482" w:firstLineChars="200"/>
              <w:rPr>
                <w:rFonts w:hint="default"/>
                <w:b/>
                <w:bCs/>
                <w:color w:val="auto"/>
              </w:rPr>
            </w:pPr>
            <w:r>
              <w:rPr>
                <w:rFonts w:hint="default"/>
                <w:b/>
                <w:bCs/>
                <w:color w:val="auto"/>
              </w:rPr>
              <w:t>①噪声来源及源强</w:t>
            </w:r>
          </w:p>
          <w:p>
            <w:pPr>
              <w:bidi w:val="0"/>
              <w:ind w:firstLine="480" w:firstLineChars="200"/>
              <w:jc w:val="left"/>
              <w:rPr>
                <w:color w:val="auto"/>
              </w:rPr>
            </w:pPr>
            <w:r>
              <w:rPr>
                <w:color w:val="auto"/>
              </w:rPr>
              <w:t>本次110kV北部滩升压站噪声预测按照《变电站噪声控制技术导则》（DL/T1518-2016）附录B中变电站声源和计算公式进行预测。本次按照“ 110kV油浸自冷”主变压器声压级为63.7dB（A）计算，预测时噪声源强取63.7dB(A)。</w:t>
            </w:r>
          </w:p>
          <w:p>
            <w:pPr>
              <w:bidi w:val="0"/>
              <w:ind w:firstLine="482" w:firstLineChars="200"/>
              <w:rPr>
                <w:rFonts w:hint="eastAsia" w:eastAsia="宋体"/>
                <w:color w:val="auto"/>
                <w:lang w:eastAsia="zh-CN"/>
              </w:rPr>
            </w:pPr>
            <w:r>
              <w:rPr>
                <w:rFonts w:hint="eastAsia"/>
                <w:b/>
                <w:bCs/>
                <w:color w:val="auto"/>
                <w:lang w:val="en-US" w:eastAsia="zh-CN"/>
              </w:rPr>
              <w:t>②预测结果及分析</w:t>
            </w:r>
          </w:p>
          <w:p>
            <w:pPr>
              <w:bidi w:val="0"/>
              <w:ind w:firstLine="480" w:firstLineChars="200"/>
              <w:jc w:val="left"/>
              <w:rPr>
                <w:color w:val="auto"/>
              </w:rPr>
            </w:pPr>
            <w:r>
              <w:rPr>
                <w:rFonts w:hint="default"/>
                <w:color w:val="auto"/>
              </w:rPr>
              <w:t>由预测结果可知</w:t>
            </w:r>
            <w:r>
              <w:rPr>
                <w:rFonts w:hint="eastAsia"/>
                <w:color w:val="auto"/>
                <w:lang w:eastAsia="zh-CN"/>
              </w:rPr>
              <w:t>，</w:t>
            </w:r>
            <w:r>
              <w:rPr>
                <w:color w:val="auto"/>
              </w:rPr>
              <w:t>110kV北部滩升压站运营后，升压站厂界噪声贡献值范围为 28~35dB(A)，满足《工业企业厂界环境噪声排放标准》（GB12348-2008）2类标准中昼间 60dB(A)、夜间50dB(A)的要求。</w:t>
            </w:r>
          </w:p>
          <w:p>
            <w:pPr>
              <w:bidi w:val="0"/>
              <w:ind w:firstLine="480" w:firstLineChars="200"/>
              <w:jc w:val="left"/>
              <w:rPr>
                <w:rFonts w:hint="default"/>
                <w:color w:val="auto"/>
              </w:rPr>
            </w:pPr>
            <w:r>
              <w:rPr>
                <w:color w:val="auto"/>
              </w:rPr>
              <w:t>因此，110kV北部滩升压站运行后，对周围声环境影响不大。</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根据现场调查，本项目风电机组点较为分散，单个风电机组周边</w:t>
            </w:r>
            <w:r>
              <w:rPr>
                <w:rFonts w:hint="default" w:ascii="Times New Roman" w:hAnsi="Times New Roman" w:eastAsia="宋体" w:cs="Times New Roman"/>
                <w:color w:val="auto"/>
                <w:sz w:val="24"/>
                <w:szCs w:val="24"/>
                <w:highlight w:val="none"/>
                <w:lang w:val="en-US" w:eastAsia="zh-CN"/>
              </w:rPr>
              <w:t>200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lang w:val="en-US" w:eastAsia="zh-CN"/>
              </w:rPr>
              <w:t>范围</w:t>
            </w:r>
            <w:r>
              <w:rPr>
                <w:rFonts w:hint="default" w:ascii="Times New Roman" w:hAnsi="Times New Roman" w:eastAsia="宋体" w:cs="Times New Roman"/>
                <w:color w:val="auto"/>
                <w:sz w:val="24"/>
                <w:szCs w:val="24"/>
                <w:highlight w:val="none"/>
              </w:rPr>
              <w:t>之内无</w:t>
            </w:r>
            <w:r>
              <w:rPr>
                <w:rFonts w:hint="eastAsia" w:ascii="Times New Roman" w:hAnsi="Times New Roman" w:eastAsia="宋体" w:cs="Times New Roman"/>
                <w:color w:val="auto"/>
                <w:sz w:val="24"/>
                <w:szCs w:val="24"/>
                <w:highlight w:val="none"/>
                <w:lang w:eastAsia="zh-CN"/>
              </w:rPr>
              <w:t>声环境</w:t>
            </w:r>
            <w:r>
              <w:rPr>
                <w:rFonts w:hint="default" w:ascii="Times New Roman" w:hAnsi="Times New Roman" w:eastAsia="宋体" w:cs="Times New Roman"/>
                <w:color w:val="auto"/>
                <w:sz w:val="24"/>
                <w:szCs w:val="24"/>
                <w:highlight w:val="none"/>
              </w:rPr>
              <w:t>敏感点</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highlight w:val="none"/>
              </w:rPr>
              <w:t>故</w:t>
            </w:r>
            <w:r>
              <w:rPr>
                <w:rFonts w:hint="default" w:ascii="Times New Roman" w:hAnsi="Times New Roman" w:eastAsia="宋体" w:cs="Times New Roman"/>
                <w:color w:val="auto"/>
                <w:sz w:val="24"/>
                <w:szCs w:val="24"/>
                <w:highlight w:val="none"/>
                <w:lang w:eastAsia="zh-CN"/>
              </w:rPr>
              <w:t>风电机组</w:t>
            </w:r>
            <w:r>
              <w:rPr>
                <w:rFonts w:hint="default" w:ascii="Times New Roman" w:hAnsi="Times New Roman" w:eastAsia="宋体" w:cs="Times New Roman"/>
                <w:color w:val="auto"/>
                <w:sz w:val="24"/>
                <w:szCs w:val="24"/>
                <w:highlight w:val="none"/>
              </w:rPr>
              <w:t>噪声对周边环境影响不大。</w:t>
            </w:r>
          </w:p>
          <w:p>
            <w:pPr>
              <w:bidi w:val="0"/>
              <w:ind w:firstLine="482" w:firstLineChars="200"/>
              <w:rPr>
                <w:rFonts w:hint="default"/>
                <w:b/>
                <w:bCs/>
                <w:color w:val="auto"/>
              </w:rPr>
            </w:pPr>
            <w:r>
              <w:rPr>
                <w:rFonts w:hint="default"/>
                <w:b/>
                <w:bCs/>
                <w:color w:val="auto"/>
                <w:lang w:val="en-US" w:eastAsia="zh-CN"/>
              </w:rPr>
              <w:t>（2）</w:t>
            </w:r>
            <w:r>
              <w:rPr>
                <w:b/>
                <w:bCs/>
                <w:color w:val="auto"/>
              </w:rPr>
              <w:t>输电线路声环境影响评价</w:t>
            </w:r>
          </w:p>
          <w:p>
            <w:pPr>
              <w:bidi w:val="0"/>
              <w:ind w:firstLine="480" w:firstLineChars="200"/>
              <w:rPr>
                <w:rFonts w:hint="eastAsia" w:eastAsia="宋体"/>
                <w:color w:val="auto"/>
                <w:spacing w:val="-2"/>
                <w:lang w:eastAsia="zh-CN"/>
              </w:rPr>
            </w:pPr>
            <w:r>
              <w:rPr>
                <w:color w:val="auto"/>
              </w:rPr>
              <w:t>为预测本期工程建成运行后输电线路噪声对周围环境的影响，本次环评选取与本项 目建设规模、电压等级、容量、架线型式、线高、环境条件及运行工况类似的“甘肃天水白沙110千伏输变电工程”进行类比</w:t>
            </w:r>
            <w:r>
              <w:rPr>
                <w:rFonts w:hint="eastAsia"/>
                <w:color w:val="auto"/>
                <w:lang w:eastAsia="zh-CN"/>
              </w:rPr>
              <w:t>。</w:t>
            </w:r>
            <w:r>
              <w:rPr>
                <w:color w:val="auto"/>
              </w:rPr>
              <w:t>甘肃天水白沙110千伏输电线路监测断面上昼间噪声值在33~37dB(A)之间，夜间噪声值在32~37dB(A)之间，由类比测量结果可以预测，新建 110kV输电线路路段建成投运后对周围的声环境影响较小，昼、夜间均满足《声环境质量标准》（GB3096-2008）</w:t>
            </w:r>
            <w:r>
              <w:rPr>
                <w:color w:val="auto"/>
                <w:spacing w:val="-6"/>
              </w:rPr>
              <w:t>中</w:t>
            </w:r>
            <w:r>
              <w:rPr>
                <w:color w:val="auto"/>
                <w:spacing w:val="-51"/>
              </w:rPr>
              <w:t xml:space="preserve"> </w:t>
            </w:r>
            <w:r>
              <w:rPr>
                <w:rFonts w:ascii="Times New Roman" w:hAnsi="Times New Roman" w:eastAsia="Times New Roman" w:cs="Times New Roman"/>
                <w:color w:val="auto"/>
                <w:spacing w:val="-6"/>
              </w:rPr>
              <w:t xml:space="preserve">2 </w:t>
            </w:r>
            <w:r>
              <w:rPr>
                <w:color w:val="auto"/>
                <w:spacing w:val="-6"/>
              </w:rPr>
              <w:t>类标准。</w:t>
            </w:r>
          </w:p>
          <w:p>
            <w:pPr>
              <w:bidi w:val="0"/>
              <w:ind w:firstLine="482" w:firstLineChars="200"/>
              <w:rPr>
                <w:b/>
                <w:bCs/>
                <w:color w:val="auto"/>
              </w:rPr>
            </w:pPr>
            <w:r>
              <w:rPr>
                <w:rFonts w:hint="eastAsia"/>
                <w:b/>
                <w:bCs/>
                <w:color w:val="auto"/>
                <w:lang w:val="en-US" w:eastAsia="zh-CN"/>
              </w:rPr>
              <w:t>6、</w:t>
            </w:r>
            <w:r>
              <w:rPr>
                <w:b/>
                <w:bCs/>
                <w:color w:val="auto"/>
              </w:rPr>
              <w:t>固体废物环境影响分析</w:t>
            </w:r>
          </w:p>
          <w:p>
            <w:pPr>
              <w:bidi w:val="0"/>
              <w:ind w:firstLine="480" w:firstLineChars="200"/>
              <w:rPr>
                <w:color w:val="auto"/>
              </w:rPr>
            </w:pPr>
            <w:r>
              <w:rPr>
                <w:color w:val="auto"/>
              </w:rPr>
              <w:t>本项目产生的固体废物为生活垃圾、废铅蓄电池、事故油。</w:t>
            </w:r>
          </w:p>
          <w:p>
            <w:pPr>
              <w:bidi w:val="0"/>
              <w:ind w:firstLine="482" w:firstLineChars="200"/>
              <w:rPr>
                <w:b/>
                <w:bCs/>
                <w:color w:val="auto"/>
              </w:rPr>
            </w:pPr>
            <w:r>
              <w:rPr>
                <w:b/>
                <w:bCs/>
                <w:color w:val="auto"/>
              </w:rPr>
              <w:t>（1）生活垃圾</w:t>
            </w:r>
          </w:p>
          <w:p>
            <w:pPr>
              <w:bidi w:val="0"/>
              <w:ind w:firstLine="480" w:firstLineChars="200"/>
              <w:rPr>
                <w:color w:val="auto"/>
              </w:rPr>
            </w:pPr>
            <w:r>
              <w:rPr>
                <w:color w:val="auto"/>
              </w:rPr>
              <w:t>项目运营期劳动定员为4人，每人每天产生1kg生活垃圾，每年产生1.46t/a，集中收集后运往环卫部门指定地点处置。</w:t>
            </w:r>
          </w:p>
          <w:p>
            <w:pPr>
              <w:bidi w:val="0"/>
              <w:ind w:firstLine="482" w:firstLineChars="200"/>
              <w:rPr>
                <w:b/>
                <w:bCs/>
                <w:color w:val="auto"/>
              </w:rPr>
            </w:pPr>
            <w:r>
              <w:rPr>
                <w:b/>
                <w:bCs/>
                <w:color w:val="auto"/>
              </w:rPr>
              <w:t>（2）一般工业固体废物</w:t>
            </w:r>
          </w:p>
          <w:p>
            <w:pPr>
              <w:bidi w:val="0"/>
              <w:ind w:firstLine="482" w:firstLineChars="200"/>
              <w:rPr>
                <w:b/>
                <w:bCs/>
                <w:color w:val="auto"/>
              </w:rPr>
            </w:pPr>
            <w:r>
              <w:rPr>
                <w:rFonts w:hint="eastAsia"/>
                <w:b/>
                <w:bCs/>
                <w:color w:val="auto"/>
              </w:rPr>
              <w:t>①</w:t>
            </w:r>
            <w:r>
              <w:rPr>
                <w:b/>
                <w:bCs/>
                <w:color w:val="auto"/>
              </w:rPr>
              <w:t>废储能电池</w:t>
            </w:r>
          </w:p>
          <w:p>
            <w:pPr>
              <w:bidi w:val="0"/>
              <w:ind w:firstLine="480" w:firstLineChars="200"/>
              <w:rPr>
                <w:color w:val="auto"/>
              </w:rPr>
            </w:pPr>
            <w:r>
              <w:rPr>
                <w:color w:val="auto"/>
              </w:rPr>
              <w:t>储能系统使用磷酸铁锂电池，根据《一般工业固体废物分类名录及废物代码》（2021 版实施），储能系统产生的废锂电池固废代码为“废弃资源 13（废电池”），储能系统退役的磷酸铁锂电池由电力公司物资部门统一回收，站内不储存。</w:t>
            </w:r>
          </w:p>
          <w:p>
            <w:pPr>
              <w:bidi w:val="0"/>
              <w:ind w:firstLine="482" w:firstLineChars="200"/>
              <w:rPr>
                <w:b/>
                <w:bCs/>
                <w:color w:val="auto"/>
              </w:rPr>
            </w:pPr>
            <w:r>
              <w:rPr>
                <w:b/>
                <w:bCs/>
                <w:color w:val="auto"/>
              </w:rPr>
              <w:t>（3）危险废物</w:t>
            </w:r>
          </w:p>
          <w:p>
            <w:pPr>
              <w:bidi w:val="0"/>
              <w:ind w:firstLine="482" w:firstLineChars="200"/>
              <w:rPr>
                <w:b/>
                <w:bCs/>
                <w:color w:val="auto"/>
              </w:rPr>
            </w:pPr>
            <w:r>
              <w:rPr>
                <w:rFonts w:hint="eastAsia"/>
                <w:b/>
                <w:bCs/>
                <w:color w:val="auto"/>
              </w:rPr>
              <w:t>①</w:t>
            </w:r>
            <w:r>
              <w:rPr>
                <w:b/>
                <w:bCs/>
                <w:color w:val="auto"/>
              </w:rPr>
              <w:t>废铅蓄电池</w:t>
            </w:r>
          </w:p>
          <w:p>
            <w:pPr>
              <w:bidi w:val="0"/>
              <w:ind w:firstLine="480" w:firstLineChars="200"/>
              <w:rPr>
                <w:color w:val="auto"/>
              </w:rPr>
            </w:pPr>
            <w:r>
              <w:rPr>
                <w:color w:val="auto"/>
              </w:rPr>
              <w:t>110kV北部滩升压站设备维修、更新产生废蓄电池，根据《国家危险废物名录》（2021  年版），废弃的铅酸蓄属于危险废物，废物类别为HW31含铅废物，危废代码900-052-31， 1组主变压器需配备蓄电池约200块，变电站内蓄电池使用寿命一般为8年，待蓄电池到寿命周期时，暂存于10m</w:t>
            </w:r>
            <w:r>
              <w:rPr>
                <w:color w:val="auto"/>
                <w:vertAlign w:val="superscript"/>
              </w:rPr>
              <w:t>2</w:t>
            </w:r>
            <w:r>
              <w:rPr>
                <w:color w:val="auto"/>
              </w:rPr>
              <w:t>的危废暂存间，交由有危废处置资质的单位处置，不随意丢弃。</w:t>
            </w:r>
          </w:p>
          <w:p>
            <w:pPr>
              <w:bidi w:val="0"/>
              <w:ind w:firstLine="480" w:firstLineChars="200"/>
              <w:rPr>
                <w:rFonts w:hint="eastAsia"/>
                <w:color w:val="auto"/>
                <w:lang w:val="en-US" w:eastAsia="zh-CN"/>
              </w:rPr>
            </w:pPr>
            <w:r>
              <w:rPr>
                <w:color w:val="auto"/>
              </w:rPr>
              <w:t>废蓄电池产生周期较长，更换时由厂家进行更换新蓄电池，并委托有资质单位进行回收并安全处置，符合《危险废物污染防治技术政策》（环发〔2001〕199号）文件要求。</w:t>
            </w:r>
            <w:r>
              <w:rPr>
                <w:rFonts w:hint="eastAsia"/>
                <w:color w:val="auto"/>
                <w:lang w:val="en-US" w:eastAsia="zh-CN"/>
              </w:rPr>
              <w:t xml:space="preserve">  </w:t>
            </w:r>
          </w:p>
          <w:p>
            <w:pPr>
              <w:bidi w:val="0"/>
              <w:ind w:firstLine="480" w:firstLineChars="200"/>
              <w:rPr>
                <w:color w:val="auto"/>
              </w:rPr>
            </w:pPr>
            <w:r>
              <w:rPr>
                <w:color w:val="auto"/>
              </w:rPr>
              <w:t>为严格落实危废处理处置相关政策，运营期建设单位在处置废蓄电池时需对危险废物处置单位提出严格要求，并遵守以下规定：</w:t>
            </w:r>
          </w:p>
          <w:p>
            <w:pPr>
              <w:bidi w:val="0"/>
              <w:ind w:firstLine="480" w:firstLineChars="200"/>
              <w:rPr>
                <w:color w:val="auto"/>
              </w:rPr>
            </w:pPr>
            <w:r>
              <w:rPr>
                <w:color w:val="auto"/>
              </w:rPr>
              <w:t>A 签约的废蓄电池更换企业需具备危险废物经营许可证，且核准经营危险废物具有HW31电池制造中384-004-31类别；</w:t>
            </w:r>
          </w:p>
          <w:p>
            <w:pPr>
              <w:bidi w:val="0"/>
              <w:ind w:firstLine="480" w:firstLineChars="200"/>
              <w:rPr>
                <w:color w:val="auto"/>
              </w:rPr>
            </w:pPr>
            <w:r>
              <w:rPr>
                <w:color w:val="auto"/>
              </w:rPr>
              <w:t>B 危险废物转移过程应按《危险废物转移联单管理办法》执行；</w:t>
            </w:r>
          </w:p>
          <w:p>
            <w:pPr>
              <w:bidi w:val="0"/>
              <w:ind w:firstLine="480" w:firstLineChars="200"/>
              <w:rPr>
                <w:color w:val="auto"/>
              </w:rPr>
            </w:pPr>
            <w:r>
              <w:rPr>
                <w:color w:val="auto"/>
              </w:rPr>
              <w:t>C 废铅酸蓄电池的收集、运输过程应满足《废铅酸蓄电池处理污染控制技术规范》（HJ519-2020）的相关技术要求。</w:t>
            </w:r>
          </w:p>
          <w:p>
            <w:pPr>
              <w:bidi w:val="0"/>
              <w:ind w:firstLine="482" w:firstLineChars="200"/>
              <w:rPr>
                <w:b/>
                <w:bCs/>
                <w:color w:val="auto"/>
              </w:rPr>
            </w:pPr>
            <w:r>
              <w:rPr>
                <w:rFonts w:hint="eastAsia"/>
                <w:b/>
                <w:bCs/>
                <w:color w:val="auto"/>
              </w:rPr>
              <w:t>②</w:t>
            </w:r>
            <w:r>
              <w:rPr>
                <w:b/>
                <w:bCs/>
                <w:color w:val="auto"/>
              </w:rPr>
              <w:t>事故油</w:t>
            </w:r>
          </w:p>
          <w:p>
            <w:pPr>
              <w:bidi w:val="0"/>
              <w:ind w:firstLine="480" w:firstLineChars="200"/>
              <w:rPr>
                <w:rFonts w:hint="default"/>
                <w:color w:val="auto"/>
                <w:spacing w:val="-2"/>
              </w:rPr>
            </w:pPr>
            <w:r>
              <w:rPr>
                <w:color w:val="auto"/>
              </w:rPr>
              <w:t>根据《火力发电厂与变电站设计防火标准》（GB50229-2019）中 6.7.7“户内单台总油量为100kg以上的电气设备，应设置挡油设施及将事故油排至安全处的设施。挡油设施的容积宜按油量的20%设计，设计修建一座7m</w:t>
            </w:r>
            <w:r>
              <w:rPr>
                <w:color w:val="auto"/>
                <w:vertAlign w:val="superscript"/>
              </w:rPr>
              <w:t>3</w:t>
            </w:r>
            <w:r>
              <w:rPr>
                <w:color w:val="auto"/>
              </w:rPr>
              <w:t>的油坑，当不能满足上述要求时，应设置能容纳全部油量的贮油设施。因此，本升压站事故油池应能容纳单台油重最大的一台变压器的全部排油。本期工程建成后升压站配套4台主变压器，规模为4× 120MVA，单台变压器油重为28.29t，按变压器事故时100%的最大泄油量考虑（油的密度为0.895t/m</w:t>
            </w:r>
            <w:r>
              <w:rPr>
                <w:color w:val="auto"/>
                <w:vertAlign w:val="superscript"/>
              </w:rPr>
              <w:t>3</w:t>
            </w:r>
            <w:r>
              <w:rPr>
                <w:color w:val="auto"/>
              </w:rPr>
              <w:t>），升压站主变压器单台最大泄油量为31.61m</w:t>
            </w:r>
            <w:r>
              <w:rPr>
                <w:color w:val="auto"/>
                <w:vertAlign w:val="superscript"/>
              </w:rPr>
              <w:t>3</w:t>
            </w:r>
            <w:r>
              <w:rPr>
                <w:color w:val="auto"/>
              </w:rPr>
              <w:t>，事故油池设计容量为34m</w:t>
            </w:r>
            <w:r>
              <w:rPr>
                <w:color w:val="auto"/>
                <w:vertAlign w:val="superscript"/>
              </w:rPr>
              <w:t>3</w:t>
            </w:r>
            <w:r>
              <w:rPr>
                <w:color w:val="auto"/>
              </w:rPr>
              <w:t>，容积可以满足本期需要。升压站主变下设有事故油坑，铺设卵石层，四周设有排油槽并与事故油池相连。变压器排油时，所有的废油将渗过卵石层并通过排油槽到达事故油池，交由有资质的单位统一处理。</w:t>
            </w:r>
          </w:p>
          <w:p>
            <w:pPr>
              <w:bidi w:val="0"/>
              <w:ind w:firstLine="482" w:firstLineChars="200"/>
              <w:rPr>
                <w:rFonts w:hint="eastAsia"/>
                <w:b/>
                <w:bCs/>
                <w:color w:val="auto"/>
                <w:lang w:val="en-US" w:eastAsia="zh-CN"/>
              </w:rPr>
            </w:pPr>
            <w:r>
              <w:rPr>
                <w:rFonts w:hint="eastAsia"/>
                <w:b/>
                <w:bCs/>
                <w:color w:val="auto"/>
                <w:lang w:val="en-US" w:eastAsia="zh-CN"/>
              </w:rPr>
              <w:t>三、环境风险分析</w:t>
            </w:r>
          </w:p>
          <w:p>
            <w:pPr>
              <w:bidi w:val="0"/>
              <w:ind w:firstLine="480" w:firstLineChars="200"/>
              <w:rPr>
                <w:color w:val="auto"/>
              </w:rPr>
            </w:pPr>
            <w:r>
              <w:rPr>
                <w:color w:val="auto"/>
              </w:rPr>
              <w:t>本项目建设区域不涉及居住、医疗卫生、文化教育、科研、行政办公等为主要功能的区域，且升压站运行期产生的环境影响主要为噪声及电磁环境影响，输电线路、升压站生态环境影响主要在施工期。本项目施工结束后对临时占地及时恢复，因此，本项目运行期不会对周围的生态环境造成不良影响。</w:t>
            </w:r>
          </w:p>
          <w:p>
            <w:pPr>
              <w:bidi w:val="0"/>
              <w:ind w:firstLine="482" w:firstLineChars="200"/>
              <w:rPr>
                <w:b/>
                <w:bCs/>
                <w:color w:val="auto"/>
              </w:rPr>
            </w:pPr>
            <w:r>
              <w:rPr>
                <w:b/>
                <w:bCs/>
                <w:color w:val="auto"/>
              </w:rPr>
              <w:t>（1）输变电工程环境风险识别</w:t>
            </w:r>
          </w:p>
          <w:p>
            <w:pPr>
              <w:bidi w:val="0"/>
              <w:ind w:firstLine="480" w:firstLineChars="200"/>
              <w:rPr>
                <w:color w:val="auto"/>
              </w:rPr>
            </w:pPr>
            <w:r>
              <w:rPr>
                <w:color w:val="auto"/>
              </w:rPr>
              <w:t>结合《建设项目环境风险评价技术导则》（HJ 169-2018）及《危险化学品重大危险源辨识》（GB18218-2018）筛选出本项目环境风险物质为变压器油，风险物质存在火灾和爆炸风险。</w:t>
            </w:r>
          </w:p>
          <w:p>
            <w:pPr>
              <w:bidi w:val="0"/>
              <w:ind w:firstLine="480" w:firstLineChars="200"/>
              <w:rPr>
                <w:color w:val="auto"/>
              </w:rPr>
            </w:pPr>
            <w:r>
              <w:rPr>
                <w:color w:val="auto"/>
              </w:rPr>
              <w:t>本项目在施工期、运行期可能引发环境风险事故的主要隐患为变压器绝缘油外泄。</w:t>
            </w:r>
          </w:p>
          <w:p>
            <w:pPr>
              <w:bidi w:val="0"/>
              <w:spacing w:line="240" w:lineRule="auto"/>
              <w:jc w:val="center"/>
              <w:rPr>
                <w:color w:val="auto"/>
              </w:rPr>
            </w:pPr>
            <w:r>
              <w:rPr>
                <w:b/>
                <w:bCs/>
                <w:color w:val="auto"/>
              </w:rPr>
              <w:t>表</w:t>
            </w:r>
            <w:r>
              <w:rPr>
                <w:rFonts w:hint="eastAsia"/>
                <w:b/>
                <w:bCs/>
                <w:color w:val="auto"/>
                <w:lang w:val="en-US" w:eastAsia="zh-CN"/>
              </w:rPr>
              <w:t>5-1</w:t>
            </w:r>
            <w:r>
              <w:rPr>
                <w:b/>
                <w:bCs/>
                <w:color w:val="auto"/>
              </w:rPr>
              <w:t xml:space="preserve">    建设项目环境风险简单分析内容表</w:t>
            </w:r>
          </w:p>
          <w:tbl>
            <w:tblPr>
              <w:tblStyle w:val="15"/>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18"/>
              <w:gridCol w:w="763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19" w:type="pct"/>
                  <w:vAlign w:val="center"/>
                </w:tcPr>
                <w:p>
                  <w:pPr>
                    <w:bidi w:val="0"/>
                    <w:spacing w:line="240" w:lineRule="auto"/>
                    <w:jc w:val="center"/>
                    <w:rPr>
                      <w:color w:val="auto"/>
                      <w:sz w:val="21"/>
                      <w:szCs w:val="21"/>
                    </w:rPr>
                  </w:pPr>
                  <w:r>
                    <w:rPr>
                      <w:color w:val="auto"/>
                      <w:sz w:val="21"/>
                      <w:szCs w:val="21"/>
                    </w:rPr>
                    <w:t>建设项目名称</w:t>
                  </w:r>
                </w:p>
              </w:tc>
              <w:tc>
                <w:tcPr>
                  <w:tcW w:w="4080" w:type="pct"/>
                  <w:vAlign w:val="center"/>
                </w:tcPr>
                <w:p>
                  <w:pPr>
                    <w:bidi w:val="0"/>
                    <w:spacing w:line="240" w:lineRule="auto"/>
                    <w:jc w:val="center"/>
                    <w:rPr>
                      <w:color w:val="auto"/>
                      <w:sz w:val="21"/>
                      <w:szCs w:val="21"/>
                    </w:rPr>
                  </w:pPr>
                  <w:r>
                    <w:rPr>
                      <w:color w:val="auto"/>
                      <w:sz w:val="21"/>
                      <w:szCs w:val="21"/>
                    </w:rPr>
                    <w:t>高台县北部滩百万千瓦风电基地40万千瓦风电项目110kV升压站及送出线路工程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19" w:type="pct"/>
                  <w:vAlign w:val="center"/>
                </w:tcPr>
                <w:p>
                  <w:pPr>
                    <w:bidi w:val="0"/>
                    <w:spacing w:line="240" w:lineRule="auto"/>
                    <w:jc w:val="center"/>
                    <w:rPr>
                      <w:color w:val="auto"/>
                      <w:sz w:val="21"/>
                      <w:szCs w:val="21"/>
                    </w:rPr>
                  </w:pPr>
                  <w:r>
                    <w:rPr>
                      <w:color w:val="auto"/>
                      <w:sz w:val="21"/>
                      <w:szCs w:val="21"/>
                    </w:rPr>
                    <w:t>建设地点</w:t>
                  </w:r>
                </w:p>
              </w:tc>
              <w:tc>
                <w:tcPr>
                  <w:tcW w:w="4080" w:type="pct"/>
                  <w:vAlign w:val="center"/>
                </w:tcPr>
                <w:p>
                  <w:pPr>
                    <w:bidi w:val="0"/>
                    <w:spacing w:line="240" w:lineRule="auto"/>
                    <w:jc w:val="center"/>
                    <w:rPr>
                      <w:color w:val="auto"/>
                      <w:sz w:val="21"/>
                      <w:szCs w:val="21"/>
                    </w:rPr>
                  </w:pPr>
                  <w:r>
                    <w:rPr>
                      <w:color w:val="auto"/>
                      <w:sz w:val="21"/>
                      <w:szCs w:val="21"/>
                    </w:rPr>
                    <w:t>甘肃省张掖市高台县北部滩百万千瓦风电基地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19" w:type="pct"/>
                  <w:vAlign w:val="center"/>
                </w:tcPr>
                <w:p>
                  <w:pPr>
                    <w:bidi w:val="0"/>
                    <w:spacing w:line="240" w:lineRule="auto"/>
                    <w:jc w:val="center"/>
                    <w:rPr>
                      <w:color w:val="auto"/>
                      <w:sz w:val="21"/>
                      <w:szCs w:val="21"/>
                    </w:rPr>
                  </w:pPr>
                  <w:r>
                    <w:rPr>
                      <w:color w:val="auto"/>
                      <w:sz w:val="21"/>
                      <w:szCs w:val="21"/>
                    </w:rPr>
                    <w:t>地理坐标</w:t>
                  </w:r>
                </w:p>
              </w:tc>
              <w:tc>
                <w:tcPr>
                  <w:tcW w:w="4080" w:type="pct"/>
                  <w:vAlign w:val="center"/>
                </w:tcPr>
                <w:p>
                  <w:pPr>
                    <w:bidi w:val="0"/>
                    <w:spacing w:line="240" w:lineRule="auto"/>
                    <w:jc w:val="center"/>
                    <w:rPr>
                      <w:color w:val="auto"/>
                      <w:sz w:val="21"/>
                      <w:szCs w:val="21"/>
                    </w:rPr>
                  </w:pPr>
                  <w:r>
                    <w:rPr>
                      <w:color w:val="auto"/>
                      <w:sz w:val="21"/>
                      <w:szCs w:val="21"/>
                    </w:rPr>
                    <w:t>110kV北部滩升压站中心：E99°34' 10.850" ，N39°47'33.530"；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19" w:type="pct"/>
                  <w:vAlign w:val="center"/>
                </w:tcPr>
                <w:p>
                  <w:pPr>
                    <w:bidi w:val="0"/>
                    <w:spacing w:line="240" w:lineRule="auto"/>
                    <w:jc w:val="center"/>
                    <w:rPr>
                      <w:color w:val="auto"/>
                      <w:sz w:val="21"/>
                      <w:szCs w:val="21"/>
                    </w:rPr>
                  </w:pPr>
                  <w:r>
                    <w:rPr>
                      <w:color w:val="auto"/>
                      <w:sz w:val="21"/>
                      <w:szCs w:val="21"/>
                    </w:rPr>
                    <w:t>主要危险物质</w:t>
                  </w:r>
                </w:p>
                <w:p>
                  <w:pPr>
                    <w:bidi w:val="0"/>
                    <w:spacing w:line="240" w:lineRule="auto"/>
                    <w:jc w:val="center"/>
                    <w:rPr>
                      <w:color w:val="auto"/>
                      <w:sz w:val="21"/>
                      <w:szCs w:val="21"/>
                    </w:rPr>
                  </w:pPr>
                  <w:r>
                    <w:rPr>
                      <w:color w:val="auto"/>
                      <w:sz w:val="21"/>
                      <w:szCs w:val="21"/>
                    </w:rPr>
                    <w:t>及分 布</w:t>
                  </w:r>
                </w:p>
              </w:tc>
              <w:tc>
                <w:tcPr>
                  <w:tcW w:w="4080" w:type="pct"/>
                  <w:vAlign w:val="center"/>
                </w:tcPr>
                <w:p>
                  <w:pPr>
                    <w:bidi w:val="0"/>
                    <w:spacing w:line="240" w:lineRule="auto"/>
                    <w:jc w:val="center"/>
                    <w:rPr>
                      <w:color w:val="auto"/>
                      <w:sz w:val="21"/>
                      <w:szCs w:val="21"/>
                    </w:rPr>
                  </w:pPr>
                  <w:r>
                    <w:rPr>
                      <w:color w:val="auto"/>
                      <w:sz w:val="21"/>
                      <w:szCs w:val="21"/>
                    </w:rPr>
                    <w:t>变压器油、升压站主变压器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19" w:type="pct"/>
                  <w:vAlign w:val="center"/>
                </w:tcPr>
                <w:p>
                  <w:pPr>
                    <w:bidi w:val="0"/>
                    <w:spacing w:line="240" w:lineRule="auto"/>
                    <w:jc w:val="center"/>
                    <w:rPr>
                      <w:color w:val="auto"/>
                      <w:sz w:val="21"/>
                      <w:szCs w:val="21"/>
                    </w:rPr>
                  </w:pPr>
                  <w:r>
                    <w:rPr>
                      <w:color w:val="auto"/>
                      <w:sz w:val="21"/>
                      <w:szCs w:val="21"/>
                    </w:rPr>
                    <w:t>环境影响途径及危 害后果（大气、地 表水、地下水等）</w:t>
                  </w:r>
                </w:p>
              </w:tc>
              <w:tc>
                <w:tcPr>
                  <w:tcW w:w="4080" w:type="pct"/>
                  <w:vAlign w:val="center"/>
                </w:tcPr>
                <w:p>
                  <w:pPr>
                    <w:bidi w:val="0"/>
                    <w:spacing w:line="240" w:lineRule="auto"/>
                    <w:jc w:val="left"/>
                    <w:rPr>
                      <w:color w:val="auto"/>
                      <w:sz w:val="21"/>
                      <w:szCs w:val="21"/>
                    </w:rPr>
                  </w:pPr>
                  <w:r>
                    <w:rPr>
                      <w:color w:val="auto"/>
                      <w:sz w:val="21"/>
                      <w:szCs w:val="21"/>
                    </w:rPr>
                    <w:t>影响途径：主变压器发生泄漏，进而引发发生火灾、爆炸等事故。</w:t>
                  </w:r>
                </w:p>
                <w:p>
                  <w:pPr>
                    <w:bidi w:val="0"/>
                    <w:spacing w:line="240" w:lineRule="auto"/>
                    <w:jc w:val="left"/>
                    <w:rPr>
                      <w:color w:val="auto"/>
                      <w:sz w:val="21"/>
                      <w:szCs w:val="21"/>
                    </w:rPr>
                  </w:pPr>
                  <w:r>
                    <w:rPr>
                      <w:color w:val="auto"/>
                      <w:sz w:val="21"/>
                      <w:szCs w:val="21"/>
                    </w:rPr>
                    <w:t>危害后果：对大气环境的污染，对人员及建筑物的损伤。</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19" w:type="pct"/>
                  <w:vAlign w:val="center"/>
                </w:tcPr>
                <w:p>
                  <w:pPr>
                    <w:bidi w:val="0"/>
                    <w:spacing w:line="240" w:lineRule="auto"/>
                    <w:jc w:val="center"/>
                    <w:rPr>
                      <w:color w:val="auto"/>
                      <w:sz w:val="21"/>
                      <w:szCs w:val="21"/>
                    </w:rPr>
                  </w:pPr>
                  <w:r>
                    <w:rPr>
                      <w:color w:val="auto"/>
                      <w:sz w:val="21"/>
                      <w:szCs w:val="21"/>
                    </w:rPr>
                    <w:t>风险防范措施要求</w:t>
                  </w:r>
                </w:p>
              </w:tc>
              <w:tc>
                <w:tcPr>
                  <w:tcW w:w="4080" w:type="pct"/>
                  <w:vAlign w:val="center"/>
                </w:tcPr>
                <w:p>
                  <w:pPr>
                    <w:bidi w:val="0"/>
                    <w:spacing w:line="240" w:lineRule="auto"/>
                    <w:jc w:val="left"/>
                    <w:rPr>
                      <w:color w:val="auto"/>
                      <w:sz w:val="21"/>
                      <w:szCs w:val="21"/>
                    </w:rPr>
                  </w:pPr>
                  <w:r>
                    <w:rPr>
                      <w:color w:val="auto"/>
                      <w:sz w:val="21"/>
                      <w:szCs w:val="21"/>
                    </w:rPr>
                    <w:t>1、主变压器外壳配备泄漏检测报警装置；</w:t>
                  </w:r>
                </w:p>
                <w:p>
                  <w:pPr>
                    <w:bidi w:val="0"/>
                    <w:spacing w:line="240" w:lineRule="auto"/>
                    <w:jc w:val="left"/>
                    <w:rPr>
                      <w:color w:val="auto"/>
                      <w:sz w:val="21"/>
                      <w:szCs w:val="21"/>
                    </w:rPr>
                  </w:pPr>
                  <w:r>
                    <w:rPr>
                      <w:color w:val="auto"/>
                      <w:sz w:val="21"/>
                      <w:szCs w:val="21"/>
                    </w:rPr>
                    <w:t>2、变压器油储存设施取防渗、防火处理，并定期巡检；</w:t>
                  </w:r>
                </w:p>
                <w:p>
                  <w:pPr>
                    <w:bidi w:val="0"/>
                    <w:spacing w:line="240" w:lineRule="auto"/>
                    <w:jc w:val="left"/>
                    <w:rPr>
                      <w:color w:val="auto"/>
                      <w:sz w:val="21"/>
                      <w:szCs w:val="21"/>
                    </w:rPr>
                  </w:pPr>
                  <w:r>
                    <w:rPr>
                      <w:color w:val="auto"/>
                      <w:sz w:val="21"/>
                      <w:szCs w:val="21"/>
                    </w:rPr>
                    <w:t>3、按照《危险废物贮存污染控制标准》（GB 18597-2001）及其修改单要求设置事故油池，以妥善收集事故状态下泄漏的变压器废油；</w:t>
                  </w:r>
                </w:p>
                <w:p>
                  <w:pPr>
                    <w:bidi w:val="0"/>
                    <w:spacing w:line="240" w:lineRule="auto"/>
                    <w:jc w:val="left"/>
                    <w:rPr>
                      <w:color w:val="auto"/>
                      <w:sz w:val="21"/>
                      <w:szCs w:val="21"/>
                    </w:rPr>
                  </w:pPr>
                  <w:r>
                    <w:rPr>
                      <w:color w:val="auto"/>
                      <w:sz w:val="21"/>
                      <w:szCs w:val="21"/>
                    </w:rPr>
                    <w:t>4、总图布置按照功能分区，各单元之间间距必须符合《建筑设计防火规范》中相应的防火、防爆要求；</w:t>
                  </w:r>
                </w:p>
                <w:p>
                  <w:pPr>
                    <w:bidi w:val="0"/>
                    <w:spacing w:line="240" w:lineRule="auto"/>
                    <w:jc w:val="left"/>
                    <w:rPr>
                      <w:color w:val="auto"/>
                      <w:sz w:val="21"/>
                      <w:szCs w:val="21"/>
                    </w:rPr>
                  </w:pPr>
                  <w:r>
                    <w:rPr>
                      <w:color w:val="auto"/>
                      <w:sz w:val="21"/>
                      <w:szCs w:val="21"/>
                    </w:rPr>
                    <w:t xml:space="preserve">5、密切关注事故易发部位，做好运行检查与维修保养，防患于未然； </w:t>
                  </w:r>
                </w:p>
                <w:p>
                  <w:pPr>
                    <w:bidi w:val="0"/>
                    <w:spacing w:line="240" w:lineRule="auto"/>
                    <w:jc w:val="left"/>
                    <w:rPr>
                      <w:color w:val="auto"/>
                      <w:sz w:val="21"/>
                      <w:szCs w:val="21"/>
                    </w:rPr>
                  </w:pPr>
                  <w:r>
                    <w:rPr>
                      <w:color w:val="auto"/>
                      <w:sz w:val="21"/>
                      <w:szCs w:val="21"/>
                    </w:rPr>
                    <w:t>6、配备足量的消防设施；</w:t>
                  </w:r>
                </w:p>
                <w:p>
                  <w:pPr>
                    <w:bidi w:val="0"/>
                    <w:spacing w:line="240" w:lineRule="auto"/>
                    <w:jc w:val="left"/>
                    <w:rPr>
                      <w:color w:val="auto"/>
                      <w:sz w:val="21"/>
                      <w:szCs w:val="21"/>
                    </w:rPr>
                  </w:pPr>
                  <w:r>
                    <w:rPr>
                      <w:color w:val="auto"/>
                      <w:sz w:val="21"/>
                      <w:szCs w:val="21"/>
                    </w:rPr>
                    <w:t>7、定期开展安全技术规范培训，安全操作规程悬挂于厂区醒目位置；</w:t>
                  </w:r>
                </w:p>
                <w:p>
                  <w:pPr>
                    <w:bidi w:val="0"/>
                    <w:spacing w:line="240" w:lineRule="auto"/>
                    <w:jc w:val="left"/>
                    <w:rPr>
                      <w:color w:val="auto"/>
                      <w:sz w:val="21"/>
                      <w:szCs w:val="21"/>
                    </w:rPr>
                  </w:pPr>
                  <w:r>
                    <w:rPr>
                      <w:color w:val="auto"/>
                      <w:sz w:val="21"/>
                      <w:szCs w:val="21"/>
                    </w:rPr>
                    <w:t>8、工作人员须经过专业培训，熟悉危险物质的特性、事故处理办法和防护 知识；</w:t>
                  </w:r>
                </w:p>
                <w:p>
                  <w:pPr>
                    <w:bidi w:val="0"/>
                    <w:spacing w:line="240" w:lineRule="auto"/>
                    <w:jc w:val="left"/>
                    <w:rPr>
                      <w:color w:val="auto"/>
                      <w:sz w:val="21"/>
                      <w:szCs w:val="21"/>
                    </w:rPr>
                  </w:pPr>
                  <w:r>
                    <w:rPr>
                      <w:color w:val="auto"/>
                      <w:sz w:val="21"/>
                      <w:szCs w:val="21"/>
                    </w:rPr>
                    <w:t>9、编制应急预案并适时修订；</w:t>
                  </w:r>
                </w:p>
                <w:p>
                  <w:pPr>
                    <w:bidi w:val="0"/>
                    <w:spacing w:line="240" w:lineRule="auto"/>
                    <w:jc w:val="left"/>
                    <w:rPr>
                      <w:color w:val="auto"/>
                      <w:sz w:val="21"/>
                      <w:szCs w:val="21"/>
                    </w:rPr>
                  </w:pPr>
                  <w:r>
                    <w:rPr>
                      <w:color w:val="auto"/>
                      <w:sz w:val="21"/>
                      <w:szCs w:val="21"/>
                    </w:rPr>
                    <w:t>10、建立健全升压站安全、环境管理体系，加强站内管理，定期举行安全教育，开展突发环境事件应急演练。</w:t>
                  </w:r>
                </w:p>
              </w:tc>
            </w:tr>
          </w:tbl>
          <w:p>
            <w:pPr>
              <w:bidi w:val="0"/>
              <w:ind w:firstLine="482" w:firstLineChars="200"/>
              <w:rPr>
                <w:b/>
                <w:bCs/>
                <w:color w:val="auto"/>
              </w:rPr>
            </w:pPr>
            <w:r>
              <w:rPr>
                <w:b/>
                <w:bCs/>
                <w:color w:val="auto"/>
              </w:rPr>
              <w:t>（2）事故漏油风险分析</w:t>
            </w:r>
          </w:p>
          <w:p>
            <w:pPr>
              <w:bidi w:val="0"/>
              <w:ind w:firstLine="480" w:firstLineChars="200"/>
              <w:rPr>
                <w:color w:val="auto"/>
              </w:rPr>
            </w:pPr>
            <w:r>
              <w:rPr>
                <w:color w:val="auto"/>
              </w:rPr>
              <w:t>在正常运行状态下，站内含油设备无油外排。正常检修过程中，变压器油由专用工具收集，存放在事先准备好的容器内，在检修工作完毕后，再将变压器油注入用油设备，无变压器油外排，一般只有事故发生并失控时才会发生变压器油外泄。</w:t>
            </w:r>
          </w:p>
          <w:p>
            <w:pPr>
              <w:bidi w:val="0"/>
              <w:ind w:firstLine="480" w:firstLineChars="200"/>
              <w:rPr>
                <w:color w:val="auto"/>
              </w:rPr>
            </w:pPr>
            <w:r>
              <w:rPr>
                <w:color w:val="auto"/>
              </w:rPr>
              <w:t>环境风险事故发生的原因可能为违章作业、误操作、设备出现故障、遇明火或微电引起的火灾事故等。另外，自然灾害、人为破坏等因素也可能引发环境风险事故。站内一般均设置有事故油排蓄系统。每台主变压器下设置有事故油挡油设施，其内铺设卵石层，底部四周设有排油槽并与事故油池相连。</w:t>
            </w:r>
          </w:p>
          <w:p>
            <w:pPr>
              <w:bidi w:val="0"/>
              <w:ind w:firstLine="480" w:firstLineChars="200"/>
              <w:rPr>
                <w:color w:val="auto"/>
              </w:rPr>
            </w:pPr>
            <w:r>
              <w:rPr>
                <w:color w:val="auto"/>
              </w:rPr>
              <w:t>一旦设备发生事故时，所有的外泄绝缘油或油水混合物将渗过卵石层，经排油槽收 集，通过事故排油管道排至事故油池，事故油池具有油水分类功能。通过油水分离设施进行油水分离，变压器油由厂家回收，形成的油污水交由有危废处理资质的单位处置，不外排。</w:t>
            </w:r>
          </w:p>
          <w:p>
            <w:pPr>
              <w:bidi w:val="0"/>
              <w:ind w:firstLine="482" w:firstLineChars="200"/>
              <w:rPr>
                <w:b/>
                <w:bCs/>
                <w:color w:val="auto"/>
              </w:rPr>
            </w:pPr>
            <w:r>
              <w:rPr>
                <w:b/>
                <w:bCs/>
                <w:color w:val="auto"/>
              </w:rPr>
              <w:t>（3）环境风险防范措施</w:t>
            </w:r>
          </w:p>
          <w:p>
            <w:pPr>
              <w:bidi w:val="0"/>
              <w:ind w:firstLine="482" w:firstLineChars="200"/>
              <w:rPr>
                <w:b/>
                <w:bCs/>
                <w:color w:val="auto"/>
              </w:rPr>
            </w:pPr>
            <w:r>
              <w:rPr>
                <w:rFonts w:hint="eastAsia"/>
                <w:b/>
                <w:bCs/>
                <w:color w:val="auto"/>
              </w:rPr>
              <w:t>①</w:t>
            </w:r>
            <w:r>
              <w:rPr>
                <w:b/>
                <w:bCs/>
                <w:color w:val="auto"/>
              </w:rPr>
              <w:t>人员设置</w:t>
            </w:r>
          </w:p>
          <w:p>
            <w:pPr>
              <w:bidi w:val="0"/>
              <w:ind w:firstLine="480" w:firstLineChars="200"/>
              <w:rPr>
                <w:color w:val="auto"/>
              </w:rPr>
            </w:pPr>
            <w:r>
              <w:rPr>
                <w:color w:val="auto"/>
              </w:rPr>
              <w:t>建设单位应设有兼职的安全环保管理人员，通过技能培训，承担工程运行后的环保安全工作。落实各项安全管理制度、生产操作规则和事故应急计划及相应的应急处理手段和设施。</w:t>
            </w:r>
          </w:p>
          <w:p>
            <w:pPr>
              <w:bidi w:val="0"/>
              <w:ind w:firstLine="482" w:firstLineChars="200"/>
              <w:rPr>
                <w:b/>
                <w:bCs/>
                <w:color w:val="auto"/>
              </w:rPr>
            </w:pPr>
            <w:r>
              <w:rPr>
                <w:rFonts w:hint="eastAsia"/>
                <w:b/>
                <w:bCs/>
                <w:color w:val="auto"/>
              </w:rPr>
              <w:t>②</w:t>
            </w:r>
            <w:r>
              <w:rPr>
                <w:b/>
                <w:bCs/>
                <w:color w:val="auto"/>
              </w:rPr>
              <w:t>风险防范措施</w:t>
            </w:r>
          </w:p>
          <w:p>
            <w:pPr>
              <w:bidi w:val="0"/>
              <w:ind w:firstLine="480" w:firstLineChars="200"/>
              <w:rPr>
                <w:color w:val="auto"/>
              </w:rPr>
            </w:pPr>
            <w:r>
              <w:rPr>
                <w:rFonts w:hint="eastAsia"/>
                <w:color w:val="auto"/>
              </w:rPr>
              <w:t>❶</w:t>
            </w:r>
            <w:r>
              <w:rPr>
                <w:color w:val="auto"/>
              </w:rPr>
              <w:t>本项目110kV北部滩升压站设置1座总容积为34m</w:t>
            </w:r>
            <w:r>
              <w:rPr>
                <w:color w:val="auto"/>
                <w:vertAlign w:val="superscript"/>
              </w:rPr>
              <w:t>3</w:t>
            </w:r>
            <w:r>
              <w:rPr>
                <w:color w:val="auto"/>
              </w:rPr>
              <w:t>事故油池收集事故状态下产生的变压器油，最终委托有资质的单位处置。建设单位应设有消防设施布置图、互救信息等，并明确应急物资存放地点。</w:t>
            </w:r>
          </w:p>
          <w:p>
            <w:pPr>
              <w:bidi w:val="0"/>
              <w:ind w:firstLine="480" w:firstLineChars="200"/>
              <w:rPr>
                <w:color w:val="auto"/>
              </w:rPr>
            </w:pPr>
            <w:r>
              <w:rPr>
                <w:rFonts w:hint="eastAsia"/>
                <w:color w:val="auto"/>
              </w:rPr>
              <w:t>❷</w:t>
            </w:r>
            <w:r>
              <w:rPr>
                <w:color w:val="auto"/>
              </w:rPr>
              <w:t>事故油池在该项目生产和安全管理中要密切注意事故易发部位，做好监督检查，防患于未然；</w:t>
            </w:r>
          </w:p>
          <w:p>
            <w:pPr>
              <w:bidi w:val="0"/>
              <w:ind w:firstLine="480" w:firstLineChars="200"/>
              <w:rPr>
                <w:color w:val="auto"/>
              </w:rPr>
            </w:pPr>
            <w:r>
              <w:rPr>
                <w:rFonts w:hint="eastAsia"/>
                <w:color w:val="auto"/>
              </w:rPr>
              <w:t>❸</w:t>
            </w:r>
            <w:r>
              <w:rPr>
                <w:color w:val="auto"/>
              </w:rPr>
              <w:t>对事故油池管理人员进行定期培训，并将国家要求和安全技术规范转化为各自岗位的安全操作规程，并悬挂在岗位醒目位置，规范岗位操作，降低事故概率；</w:t>
            </w:r>
          </w:p>
          <w:p>
            <w:pPr>
              <w:bidi w:val="0"/>
              <w:ind w:firstLine="480" w:firstLineChars="200"/>
              <w:rPr>
                <w:color w:val="auto"/>
              </w:rPr>
            </w:pPr>
            <w:r>
              <w:rPr>
                <w:rFonts w:hint="eastAsia"/>
                <w:color w:val="auto"/>
              </w:rPr>
              <w:t>❹</w:t>
            </w:r>
            <w:r>
              <w:rPr>
                <w:color w:val="auto"/>
              </w:rPr>
              <w:t>加强员工的安全意识。</w:t>
            </w:r>
          </w:p>
          <w:p>
            <w:pPr>
              <w:bidi w:val="0"/>
              <w:ind w:firstLine="482" w:firstLineChars="200"/>
              <w:rPr>
                <w:b/>
                <w:bCs/>
                <w:color w:val="auto"/>
              </w:rPr>
            </w:pPr>
            <w:r>
              <w:rPr>
                <w:b/>
                <w:bCs/>
                <w:color w:val="auto"/>
              </w:rPr>
              <w:t>（4）应急预案制定</w:t>
            </w:r>
          </w:p>
          <w:p>
            <w:pPr>
              <w:bidi w:val="0"/>
              <w:ind w:firstLine="480" w:firstLineChars="200"/>
              <w:rPr>
                <w:rFonts w:hint="eastAsia" w:eastAsia="宋体"/>
                <w:color w:val="auto"/>
                <w:lang w:eastAsia="zh-CN"/>
              </w:rPr>
            </w:pPr>
            <w:r>
              <w:rPr>
                <w:color w:val="auto"/>
              </w:rPr>
              <w:t>为预防运行期110kV北部滩升压站的事故风险，应根据具体情况依据《中华人民共和国突发事件应对法》、《国家突发环境事件应急预案》、《突发环境事件应急预案管理暂行办法》等的要求，集合相关规程、规范和行业标准，以及工程实际情况，编制突发环境事件应急预案。</w:t>
            </w:r>
          </w:p>
          <w:p>
            <w:pPr>
              <w:numPr>
                <w:ilvl w:val="0"/>
                <w:numId w:val="0"/>
              </w:numPr>
              <w:bidi w:val="0"/>
              <w:ind w:firstLine="482" w:firstLineChars="200"/>
              <w:rPr>
                <w:rFonts w:hint="eastAsia"/>
                <w:b/>
                <w:bCs/>
                <w:color w:val="auto"/>
                <w:lang w:val="en-US" w:eastAsia="zh-CN"/>
              </w:rPr>
            </w:pPr>
            <w:r>
              <w:rPr>
                <w:rFonts w:hint="eastAsia"/>
                <w:b/>
                <w:bCs/>
                <w:color w:val="auto"/>
                <w:lang w:val="en-US" w:eastAsia="zh-CN"/>
              </w:rPr>
              <w:t>四、环评总结论</w:t>
            </w:r>
          </w:p>
          <w:p>
            <w:pPr>
              <w:bidi w:val="0"/>
              <w:ind w:firstLine="480" w:firstLineChars="200"/>
              <w:rPr>
                <w:rFonts w:hint="default"/>
                <w:color w:val="auto"/>
                <w:lang w:val="en-US" w:eastAsia="zh-CN"/>
              </w:rPr>
            </w:pPr>
            <w:r>
              <w:rPr>
                <w:color w:val="auto"/>
              </w:rPr>
              <w:t>本项目的建设符合产业政策，符合相关规划，项目施工期和运营期产生的污染物均合理处置。因此，工程建设在认真落实本环评报告中提出的各项环境 保护措施、严格执行“三同时”环境保护制度前提下，从环境保护角度分析，高台北部滩百万千瓦风电基地40万千瓦风电项目110kV升压站及送出线路工程建设是可行的。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11" w:hRule="atLeast"/>
        </w:trPr>
        <w:tc>
          <w:tcPr>
            <w:tcW w:w="9367" w:type="dxa"/>
            <w:vAlign w:val="top"/>
          </w:tcPr>
          <w:p>
            <w:pPr>
              <w:bidi w:val="0"/>
              <w:rPr>
                <w:b/>
                <w:bCs/>
                <w:color w:val="auto"/>
              </w:rPr>
            </w:pPr>
            <w:r>
              <w:rPr>
                <w:b/>
                <w:bCs/>
                <w:color w:val="auto"/>
              </w:rPr>
              <w:t>环境影响评价文件批复意见</w:t>
            </w:r>
          </w:p>
          <w:p>
            <w:pPr>
              <w:bidi w:val="0"/>
              <w:rPr>
                <w:color w:val="auto"/>
              </w:rPr>
            </w:pPr>
            <w:r>
              <w:rPr>
                <w:color w:val="auto"/>
              </w:rPr>
              <w:t>张掖市立陇新能源开发有限公司：</w:t>
            </w:r>
          </w:p>
          <w:p>
            <w:pPr>
              <w:bidi w:val="0"/>
              <w:ind w:firstLine="480" w:firstLineChars="200"/>
              <w:rPr>
                <w:color w:val="auto"/>
              </w:rPr>
            </w:pPr>
            <w:r>
              <w:rPr>
                <w:color w:val="auto"/>
              </w:rPr>
              <w:t>你公司报来的《高台县北部滩百万千瓦风电基地40万千瓦风电项目110kV升压站及送出线路工程环境影响报告表》(以下简称《报告表》)收悉。依据张掖市生态环境局《张掖市建设项目环境影响评价审批改革分级审批目录(2022年本)》,经审查，现对该《报告表》批复如下：</w:t>
            </w:r>
          </w:p>
          <w:p>
            <w:pPr>
              <w:bidi w:val="0"/>
              <w:ind w:firstLine="482" w:firstLineChars="200"/>
              <w:rPr>
                <w:b/>
                <w:bCs/>
                <w:color w:val="auto"/>
              </w:rPr>
            </w:pPr>
            <w:r>
              <w:rPr>
                <w:b/>
                <w:bCs/>
                <w:color w:val="auto"/>
              </w:rPr>
              <w:t>一、项目建设内容</w:t>
            </w:r>
          </w:p>
          <w:p>
            <w:pPr>
              <w:bidi w:val="0"/>
              <w:ind w:firstLine="480" w:firstLineChars="200"/>
              <w:rPr>
                <w:color w:val="auto"/>
              </w:rPr>
            </w:pPr>
            <w:r>
              <w:rPr>
                <w:color w:val="auto"/>
              </w:rPr>
              <w:t>高台县北部滩百万千瓦风电基地40万千瓦风电项目110kV升压站及送出线路工程位于张掖市高台县北部滩百万千瓦风电基地，项目包括新建110kV北部滩升压站和新建110kV北部滩升压站至330kV罗城滩输电线路。项目总投资为35344.43万元，环保投资为128.50万元，占总投资的0.36%。</w:t>
            </w:r>
          </w:p>
          <w:p>
            <w:pPr>
              <w:bidi w:val="0"/>
              <w:ind w:firstLine="480" w:firstLineChars="200"/>
              <w:rPr>
                <w:color w:val="auto"/>
              </w:rPr>
            </w:pPr>
            <w:r>
              <w:rPr>
                <w:color w:val="auto"/>
              </w:rPr>
              <w:t>(一)新建110kV北部滩升压站，本期建设4台主变，规模为4×120MVA,</w:t>
            </w:r>
            <w:r>
              <w:rPr>
                <w:rFonts w:hint="eastAsia"/>
                <w:color w:val="auto"/>
                <w:lang w:eastAsia="zh-CN"/>
              </w:rPr>
              <w:t>，</w:t>
            </w:r>
            <w:r>
              <w:rPr>
                <w:color w:val="auto"/>
              </w:rPr>
              <w:t>采用户外布置；新建110kV出线2回，储能电站配置在生产区东侧，采用32套2.5MW升压变换舱和64套2.5MWh储能电池集装箱，电化学储能80MW/160MWh,</w:t>
            </w:r>
            <w:r>
              <w:rPr>
                <w:rFonts w:hint="eastAsia"/>
                <w:color w:val="auto"/>
                <w:lang w:eastAsia="zh-CN"/>
              </w:rPr>
              <w:t>，</w:t>
            </w:r>
            <w:r>
              <w:rPr>
                <w:color w:val="auto"/>
              </w:rPr>
              <w:t>储能时长为2h。</w:t>
            </w:r>
          </w:p>
          <w:p>
            <w:pPr>
              <w:bidi w:val="0"/>
              <w:ind w:firstLine="480" w:firstLineChars="200"/>
              <w:rPr>
                <w:color w:val="auto"/>
              </w:rPr>
            </w:pPr>
            <w:r>
              <w:rPr>
                <w:color w:val="auto"/>
              </w:rPr>
              <w:t>(二)新建110kV北部滩升压站至330kV罗城滩的输电线路：本工程新建110kV北部滩升压站至330kV罗城滩升压站同塔双回输电线路，双回架空线路长度为2×5.4km,</w:t>
            </w:r>
            <w:r>
              <w:rPr>
                <w:rFonts w:hint="eastAsia"/>
                <w:color w:val="auto"/>
                <w:lang w:eastAsia="zh-CN"/>
              </w:rPr>
              <w:t>，</w:t>
            </w:r>
            <w:r>
              <w:rPr>
                <w:color w:val="auto"/>
              </w:rPr>
              <w:t>导线型号为2 ×JL/GIA-300/40型钢芯铝绞线。地线分别采用两根OGPW-24B1-90光纤复合光缆。</w:t>
            </w:r>
          </w:p>
          <w:p>
            <w:pPr>
              <w:bidi w:val="0"/>
              <w:ind w:firstLine="480" w:firstLineChars="200"/>
              <w:rPr>
                <w:color w:val="auto"/>
              </w:rPr>
            </w:pPr>
            <w:r>
              <w:rPr>
                <w:color w:val="auto"/>
              </w:rPr>
              <w:t>该项目属于《产业结构调整指导目录(2019年本)》鼓励类，符合国家产业政策。项目位于张掖市“三线一单”中的“高台县一般管控单元”</w:t>
            </w:r>
            <w:r>
              <w:rPr>
                <w:rFonts w:hint="eastAsia"/>
                <w:color w:val="auto"/>
                <w:lang w:eastAsia="zh-CN"/>
              </w:rPr>
              <w:t>，</w:t>
            </w:r>
            <w:r>
              <w:rPr>
                <w:color w:val="auto"/>
              </w:rPr>
              <w:t>采取有效的污染防治措施之后，符合和“一般管控单元”管控要求。项目实施将对环境产生一定不利影响，在全面落实报告表和本批复提出的各项环境保护措施后，不利影响能够得到有效地缓解或控制。我局原则同意报告表的环境影响评价总体结论和环境保护措施。</w:t>
            </w:r>
          </w:p>
          <w:p>
            <w:pPr>
              <w:bidi w:val="0"/>
              <w:ind w:firstLine="480" w:firstLineChars="200"/>
              <w:rPr>
                <w:color w:val="auto"/>
              </w:rPr>
            </w:pPr>
            <w:r>
              <w:rPr>
                <w:color w:val="auto"/>
              </w:rPr>
              <w:t>你公司应按照国家环保法律法规的有关规定，认真落实《报告表》提出的各项环保措施(主要环境保护设施及标准清单详见附件)</w:t>
            </w:r>
            <w:r>
              <w:rPr>
                <w:rFonts w:hint="eastAsia"/>
                <w:color w:val="auto"/>
                <w:lang w:eastAsia="zh-CN"/>
              </w:rPr>
              <w:t>，</w:t>
            </w:r>
            <w:r>
              <w:rPr>
                <w:color w:val="auto"/>
              </w:rPr>
              <w:t>确保128.5万元环保投资及时足额到位，项目建成后进行环保投资资金审计，作为环保“三同时”验收的依据，充分发挥环保资金效益。</w:t>
            </w:r>
          </w:p>
          <w:p>
            <w:pPr>
              <w:bidi w:val="0"/>
              <w:ind w:firstLine="482" w:firstLineChars="200"/>
              <w:rPr>
                <w:b/>
                <w:bCs/>
                <w:color w:val="auto"/>
              </w:rPr>
            </w:pPr>
            <w:r>
              <w:rPr>
                <w:b/>
                <w:bCs/>
                <w:color w:val="auto"/>
              </w:rPr>
              <w:t>二、项目建设及运行中应重点做好的工作</w:t>
            </w:r>
          </w:p>
          <w:p>
            <w:pPr>
              <w:bidi w:val="0"/>
              <w:ind w:firstLine="480" w:firstLineChars="200"/>
              <w:rPr>
                <w:color w:val="auto"/>
              </w:rPr>
            </w:pPr>
            <w:r>
              <w:rPr>
                <w:color w:val="auto"/>
              </w:rPr>
              <w:t>(一)严格落实防治工频电场、工频磁场等的环保措施，确保该工程运行后产生的工频电场强度、工频磁感应强度小于《电磁环境控制限值》 (GB8702-2014)中规定的电场强度控制限值4kV/m</w:t>
            </w:r>
            <w:r>
              <w:rPr>
                <w:rFonts w:hint="eastAsia"/>
                <w:color w:val="auto"/>
                <w:lang w:eastAsia="zh-CN"/>
              </w:rPr>
              <w:t>，</w:t>
            </w:r>
            <w:r>
              <w:rPr>
                <w:color w:val="auto"/>
              </w:rPr>
              <w:t>磁感应强度控制限值100μT的评价标准，且应给出警示和防护指示标志。严格依照《报告表》第五章主要生态环境保护 措施中环境监控计划要求，在升压站四周各设1个监测点位，根据线路架设方式在线路沿线设置衰减监测断面及敏感点，每年开展一次工频电场及工频磁场监测，并形成有效报告留档备查。</w:t>
            </w:r>
          </w:p>
          <w:p>
            <w:pPr>
              <w:bidi w:val="0"/>
              <w:ind w:firstLine="480" w:firstLineChars="200"/>
              <w:rPr>
                <w:color w:val="auto"/>
              </w:rPr>
            </w:pPr>
            <w:r>
              <w:rPr>
                <w:color w:val="auto"/>
              </w:rPr>
              <w:t>(二)施工期噪声严格执行《建筑施工厂界环境噪声排放标准》(GB12523-2011) 的要求。运营期升压站厂界噪声满足《工业企业厂界环境噪声排放标准》 (GB12348-2008)2类标准，同时确保线路工程周围区域噪声符合《声环境质量标准》 (GB3096-2008)相应功能区要求，防止噪声扰民。严格依照《报告表》第五章主要生态环境保护措施中环境监控计划要求在变电 站四周和线路沿线敏感点设置监测点位，每年开展一次等效连续A声级监测，并形成有效报告留档备查。</w:t>
            </w:r>
          </w:p>
          <w:p>
            <w:pPr>
              <w:bidi w:val="0"/>
              <w:ind w:firstLine="480" w:firstLineChars="200"/>
              <w:rPr>
                <w:color w:val="auto"/>
              </w:rPr>
            </w:pPr>
            <w:r>
              <w:rPr>
                <w:color w:val="auto"/>
              </w:rPr>
              <w:t>(三)严格生活污水和生活垃圾管理。施工期施工废水主要为车辆清洗废水经沉淀池沉淀后回用。生活污水用于泼洒抑尘。运营期餐饮废水经隔油池(1.0m³) 处理后，与生活污水经地埋式一体化污水处理设施(1.0m³/d) 处理后达到《城市污水再生利用城市杂用水水质》(GB/T18920-2020)中表1城市绿化、道路清扫、消防、建筑施工限值后排入冬季暂存池(30m³)</w:t>
            </w:r>
            <w:r>
              <w:rPr>
                <w:rFonts w:hint="eastAsia"/>
                <w:color w:val="auto"/>
                <w:lang w:eastAsia="zh-CN"/>
              </w:rPr>
              <w:t>，</w:t>
            </w:r>
            <w:r>
              <w:rPr>
                <w:color w:val="auto"/>
              </w:rPr>
              <w:t>用于场区洒水降尘，不外排。生活垃圾集中收集后运送至环卫部门指定地点妥善处置。</w:t>
            </w:r>
          </w:p>
          <w:p>
            <w:pPr>
              <w:bidi w:val="0"/>
              <w:ind w:firstLine="480" w:firstLineChars="200"/>
              <w:rPr>
                <w:color w:val="auto"/>
              </w:rPr>
            </w:pPr>
            <w:r>
              <w:rPr>
                <w:color w:val="auto"/>
              </w:rPr>
              <w:t>(四)加强危险废物和一般废物管理。升压站内规范建设10m²的危废暂存间，对产生的废铅蓄电池暂存于危废暂存间；在110kV北部滩升压站设置1座34m³防渗漏事故油池</w:t>
            </w:r>
            <w:r>
              <w:rPr>
                <w:rFonts w:hint="eastAsia"/>
                <w:color w:val="auto"/>
                <w:lang w:eastAsia="zh-CN"/>
              </w:rPr>
              <w:t>，</w:t>
            </w:r>
            <w:r>
              <w:rPr>
                <w:color w:val="auto"/>
              </w:rPr>
              <w:t>4台主变下方各设置一座7m³的防渗漏事故油坑，四周设有排油槽并与事故油池相连。对产生的废变压器油、废旧蓄电池及油抹布等危险废物及时委托有资质单位安全处置，严格按照“甘肃省固体废物生态环境保护监管平台”相关要求，录入资质单位基本信息及转移情况记录备查。不得随意处置危险废物。一般废物废储能电池(磷酸铁锂电池),根据《一般工业固体废物分类名录及废物代码》(2021版实施)</w:t>
            </w:r>
            <w:r>
              <w:rPr>
                <w:rFonts w:hint="eastAsia"/>
                <w:color w:val="auto"/>
                <w:lang w:eastAsia="zh-CN"/>
              </w:rPr>
              <w:t>，</w:t>
            </w:r>
            <w:r>
              <w:rPr>
                <w:color w:val="auto"/>
              </w:rPr>
              <w:t>储能系统产生的废锂电池固废代码为“废弃资源13(废电池”),退役的磷酸铁锂电池由电力公司物资部门统一回收，升压站内不储存。</w:t>
            </w:r>
          </w:p>
          <w:p>
            <w:pPr>
              <w:bidi w:val="0"/>
              <w:ind w:firstLine="480" w:firstLineChars="200"/>
              <w:rPr>
                <w:color w:val="auto"/>
              </w:rPr>
            </w:pPr>
            <w:r>
              <w:rPr>
                <w:color w:val="auto"/>
              </w:rPr>
              <w:t>(五)工程走线跨越电力线、通信线、河流等，要严格按《110～750KV架空输电线路设计规范》(GB50545-2010)要求进行设计和施工建设，控制各种交叉跨越最小距离及导线对地高度。线路经过张掖黑河湿地国家级自然保护区等生态敏感区时，应采取较小塔型、高塔跨越、档距加大等各项环境保护措施，选择影响较小区域通过，减少占地和林木砍伐，防止破坏生态环境和景观。</w:t>
            </w:r>
          </w:p>
          <w:p>
            <w:pPr>
              <w:bidi w:val="0"/>
              <w:ind w:firstLine="480" w:firstLineChars="200"/>
              <w:rPr>
                <w:color w:val="auto"/>
              </w:rPr>
            </w:pPr>
            <w:r>
              <w:rPr>
                <w:color w:val="auto"/>
              </w:rPr>
              <w:t>(六)工程设计、施工中要落实具体的生态保护、水土保持和污染防治措施，并加强施工期的环境监理工作。施工过程中，要合理安排工期，尽量减少施工临时占地面积和对植被的破坏，并采取有效防尘、降噪措施，防止施工扰民。工程完成后，及时进行施工迹地恢复，恢复地表原有植被，不得将施工垃圾、弃土弃渣遗弃。</w:t>
            </w:r>
          </w:p>
          <w:p>
            <w:pPr>
              <w:bidi w:val="0"/>
              <w:ind w:firstLine="480" w:firstLineChars="200"/>
              <w:rPr>
                <w:color w:val="auto"/>
              </w:rPr>
            </w:pPr>
            <w:r>
              <w:rPr>
                <w:color w:val="auto"/>
              </w:rPr>
              <w:t>(七)项目初步设计及建设过程中，项目的性质、规模、地点或生态保护、污染防治措施发生重大变动的，应当按要求重新报批环境影响报告表，发生一般变动的应报我局备案。</w:t>
            </w:r>
          </w:p>
          <w:p>
            <w:pPr>
              <w:bidi w:val="0"/>
              <w:ind w:firstLine="480" w:firstLineChars="200"/>
              <w:rPr>
                <w:color w:val="auto"/>
              </w:rPr>
            </w:pPr>
            <w:r>
              <w:rPr>
                <w:color w:val="auto"/>
              </w:rPr>
              <w:t>(八)加强公众沟通和科普宣传，及时解决公众提出的合理环境诉求，及时公开项目建设与环境保护信息，主动接受社会监督。</w:t>
            </w:r>
          </w:p>
          <w:p>
            <w:pPr>
              <w:bidi w:val="0"/>
              <w:ind w:firstLine="480" w:firstLineChars="200"/>
              <w:rPr>
                <w:color w:val="auto"/>
              </w:rPr>
            </w:pPr>
            <w:r>
              <w:rPr>
                <w:color w:val="auto"/>
              </w:rPr>
              <w:t>三、项目建设应严格执行配套建设的环境保护设施与主体工程同时设计、同时施工、同时投产使用的环境保护“三同时”制度，并落实各项生态环保措施。项目竣工后，须按规定程序及时 开展竣工环境保护自主验收，经验收合格后，项目方可投入正式运行。</w:t>
            </w:r>
          </w:p>
          <w:p>
            <w:pPr>
              <w:bidi w:val="0"/>
              <w:ind w:firstLine="480" w:firstLineChars="200"/>
              <w:rPr>
                <w:color w:val="auto"/>
              </w:rPr>
            </w:pPr>
            <w:r>
              <w:rPr>
                <w:color w:val="auto"/>
              </w:rPr>
              <w:t>四、严格执行《报告表》提出的各项污染源环境管理和监测计划。市生态环境局高台分局、县生态环境保护综合行政执法队切实履行事中事后监管责任，按照《关于进一步完善建设项目环境保护“三同时”及竣工环境保护自主验收监管工作机制的意见》(环执法〔2021〕70号)要求，加强环境保护“三同时”及自主验收监管。</w:t>
            </w:r>
          </w:p>
          <w:p>
            <w:pPr>
              <w:bidi w:val="0"/>
              <w:rPr>
                <w:color w:val="auto"/>
              </w:rPr>
            </w:pPr>
          </w:p>
          <w:p>
            <w:pPr>
              <w:bidi w:val="0"/>
              <w:ind w:firstLine="480" w:firstLineChars="200"/>
              <w:rPr>
                <w:color w:val="auto"/>
              </w:rPr>
            </w:pPr>
            <w:r>
              <w:rPr>
                <w:color w:val="auto"/>
              </w:rPr>
              <w:t>附件：主要环境保护设施及标准清单</w:t>
            </w:r>
          </w:p>
          <w:p>
            <w:pPr>
              <w:bidi w:val="0"/>
              <w:rPr>
                <w:color w:val="auto"/>
              </w:rPr>
            </w:pPr>
          </w:p>
          <w:p>
            <w:pPr>
              <w:bidi w:val="0"/>
              <w:rPr>
                <w:color w:val="auto"/>
              </w:rPr>
            </w:pPr>
          </w:p>
          <w:p>
            <w:pPr>
              <w:bidi w:val="0"/>
              <w:rPr>
                <w:color w:val="auto"/>
              </w:rPr>
            </w:pPr>
          </w:p>
          <w:p>
            <w:pPr>
              <w:bidi w:val="0"/>
              <w:rPr>
                <w:color w:val="auto"/>
              </w:rPr>
            </w:pPr>
          </w:p>
          <w:p>
            <w:pPr>
              <w:bidi w:val="0"/>
              <w:jc w:val="right"/>
              <w:rPr>
                <w:color w:val="auto"/>
              </w:rPr>
            </w:pPr>
            <w:r>
              <w:rPr>
                <w:color w:val="auto"/>
              </w:rPr>
              <w:t>张掖市生态环境局高台分局</w:t>
            </w:r>
          </w:p>
          <w:p>
            <w:pPr>
              <w:bidi w:val="0"/>
              <w:jc w:val="right"/>
              <w:rPr>
                <w:color w:val="auto"/>
              </w:rPr>
            </w:pPr>
            <w:r>
              <w:rPr>
                <w:color w:val="auto"/>
              </w:rPr>
              <w:t>2023年2月13日</w:t>
            </w:r>
          </w:p>
          <w:p>
            <w:pPr>
              <w:bidi w:val="0"/>
              <w:jc w:val="right"/>
              <w:rPr>
                <w:color w:val="auto"/>
              </w:rPr>
            </w:pPr>
          </w:p>
          <w:p>
            <w:pPr>
              <w:bidi w:val="0"/>
              <w:jc w:val="right"/>
              <w:rPr>
                <w:color w:val="auto"/>
              </w:rPr>
            </w:pPr>
          </w:p>
          <w:p>
            <w:pPr>
              <w:bidi w:val="0"/>
              <w:jc w:val="right"/>
              <w:rPr>
                <w:color w:val="auto"/>
              </w:rPr>
            </w:pPr>
          </w:p>
          <w:p>
            <w:pPr>
              <w:bidi w:val="0"/>
              <w:jc w:val="right"/>
              <w:rPr>
                <w:color w:val="auto"/>
              </w:rPr>
            </w:pPr>
          </w:p>
        </w:tc>
      </w:tr>
    </w:tbl>
    <w:p>
      <w:pPr>
        <w:bidi w:val="0"/>
        <w:jc w:val="center"/>
        <w:rPr>
          <w:color w:val="auto"/>
        </w:rPr>
        <w:sectPr>
          <w:headerReference r:id="rId13" w:type="default"/>
          <w:footerReference r:id="rId14" w:type="default"/>
          <w:pgSz w:w="11907" w:h="16839"/>
          <w:pgMar w:top="1608" w:right="1130" w:bottom="1358" w:left="1248" w:header="1459" w:footer="1197" w:gutter="0"/>
          <w:pgNumType w:fmt="decimal"/>
          <w:cols w:space="720" w:num="1"/>
        </w:sectPr>
      </w:pPr>
    </w:p>
    <w:p>
      <w:pPr>
        <w:bidi w:val="0"/>
        <w:spacing w:line="360" w:lineRule="auto"/>
        <w:jc w:val="center"/>
        <w:rPr>
          <w:rFonts w:ascii="Times New Roman" w:hAnsi="Times New Roman" w:eastAsia="宋体"/>
          <w:b/>
          <w:bCs/>
          <w:color w:val="auto"/>
          <w:sz w:val="28"/>
          <w:szCs w:val="28"/>
        </w:rPr>
      </w:pPr>
      <w:r>
        <w:rPr>
          <w:rFonts w:ascii="Times New Roman" w:hAnsi="Times New Roman" w:eastAsia="宋体"/>
          <w:b/>
          <w:bCs/>
          <w:color w:val="auto"/>
          <w:sz w:val="28"/>
          <w:szCs w:val="28"/>
        </w:rPr>
        <w:t>表 6    环境保护设施、环境保护措施落实情况</w:t>
      </w:r>
    </w:p>
    <w:p>
      <w:pPr>
        <w:bidi w:val="0"/>
        <w:spacing w:line="240" w:lineRule="auto"/>
        <w:jc w:val="center"/>
        <w:rPr>
          <w:b/>
          <w:bCs/>
          <w:color w:val="auto"/>
        </w:rPr>
      </w:pPr>
      <w:r>
        <w:rPr>
          <w:b/>
          <w:bCs/>
          <w:color w:val="auto"/>
          <w:spacing w:val="-1"/>
        </w:rPr>
        <w:t>表</w:t>
      </w:r>
      <w:r>
        <w:rPr>
          <w:b/>
          <w:bCs/>
          <w:color w:val="auto"/>
          <w:spacing w:val="-43"/>
        </w:rPr>
        <w:t xml:space="preserve"> </w:t>
      </w:r>
      <w:r>
        <w:rPr>
          <w:rFonts w:ascii="Times New Roman" w:hAnsi="Times New Roman" w:eastAsia="Times New Roman" w:cs="Times New Roman"/>
          <w:b/>
          <w:bCs/>
          <w:color w:val="auto"/>
          <w:spacing w:val="-1"/>
        </w:rPr>
        <w:t xml:space="preserve">6-1    </w:t>
      </w:r>
      <w:r>
        <w:rPr>
          <w:b/>
          <w:bCs/>
          <w:color w:val="auto"/>
          <w:spacing w:val="-1"/>
        </w:rPr>
        <w:t>环评报告表中环保措施的落实情况一览表</w:t>
      </w:r>
    </w:p>
    <w:tbl>
      <w:tblPr>
        <w:tblStyle w:val="15"/>
        <w:tblW w:w="51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98"/>
        <w:gridCol w:w="585"/>
        <w:gridCol w:w="701"/>
        <w:gridCol w:w="5804"/>
        <w:gridCol w:w="650"/>
        <w:gridCol w:w="64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2" w:type="pct"/>
            <w:vAlign w:val="center"/>
          </w:tcPr>
          <w:p>
            <w:pPr>
              <w:bidi w:val="0"/>
              <w:spacing w:line="240" w:lineRule="auto"/>
              <w:jc w:val="center"/>
              <w:rPr>
                <w:b/>
                <w:bCs/>
                <w:color w:val="auto"/>
                <w:sz w:val="21"/>
                <w:szCs w:val="21"/>
              </w:rPr>
            </w:pPr>
            <w:r>
              <w:rPr>
                <w:b/>
                <w:bCs/>
                <w:color w:val="auto"/>
                <w:sz w:val="21"/>
                <w:szCs w:val="21"/>
              </w:rPr>
              <w:t>阶段</w:t>
            </w:r>
          </w:p>
        </w:tc>
        <w:tc>
          <w:tcPr>
            <w:tcW w:w="202" w:type="pct"/>
            <w:vAlign w:val="center"/>
          </w:tcPr>
          <w:p>
            <w:pPr>
              <w:bidi w:val="0"/>
              <w:spacing w:line="240" w:lineRule="auto"/>
              <w:jc w:val="center"/>
              <w:rPr>
                <w:b/>
                <w:bCs/>
                <w:color w:val="auto"/>
                <w:sz w:val="21"/>
                <w:szCs w:val="21"/>
              </w:rPr>
            </w:pPr>
            <w:r>
              <w:rPr>
                <w:b/>
                <w:bCs/>
                <w:color w:val="auto"/>
                <w:sz w:val="21"/>
                <w:szCs w:val="21"/>
              </w:rPr>
              <w:t>影响类别</w:t>
            </w:r>
          </w:p>
        </w:tc>
        <w:tc>
          <w:tcPr>
            <w:tcW w:w="2242" w:type="pct"/>
            <w:gridSpan w:val="2"/>
            <w:vAlign w:val="center"/>
          </w:tcPr>
          <w:p>
            <w:pPr>
              <w:bidi w:val="0"/>
              <w:spacing w:line="240" w:lineRule="auto"/>
              <w:jc w:val="center"/>
              <w:rPr>
                <w:b/>
                <w:bCs/>
                <w:color w:val="auto"/>
                <w:sz w:val="21"/>
                <w:szCs w:val="21"/>
              </w:rPr>
            </w:pPr>
            <w:r>
              <w:rPr>
                <w:b/>
                <w:bCs/>
                <w:color w:val="auto"/>
                <w:sz w:val="21"/>
                <w:szCs w:val="21"/>
              </w:rPr>
              <w:t>环境影响报告表和审批文件中要求的环境保护设施、环境保护措施</w:t>
            </w:r>
          </w:p>
        </w:tc>
        <w:tc>
          <w:tcPr>
            <w:tcW w:w="2451" w:type="pct"/>
            <w:gridSpan w:val="2"/>
            <w:vAlign w:val="center"/>
          </w:tcPr>
          <w:p>
            <w:pPr>
              <w:bidi w:val="0"/>
              <w:spacing w:line="240" w:lineRule="auto"/>
              <w:jc w:val="center"/>
              <w:rPr>
                <w:b/>
                <w:bCs/>
                <w:color w:val="auto"/>
                <w:sz w:val="21"/>
                <w:szCs w:val="21"/>
              </w:rPr>
            </w:pPr>
            <w:r>
              <w:rPr>
                <w:b/>
                <w:bCs/>
                <w:color w:val="auto"/>
                <w:sz w:val="21"/>
                <w:szCs w:val="21"/>
              </w:rPr>
              <w:t>环境保护设施、环境保护措施的落实情况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2" w:type="pct"/>
            <w:vMerge w:val="restart"/>
            <w:textDirection w:val="tbRlV"/>
            <w:vAlign w:val="center"/>
          </w:tcPr>
          <w:p>
            <w:pPr>
              <w:bidi w:val="0"/>
              <w:spacing w:line="240" w:lineRule="auto"/>
              <w:jc w:val="center"/>
              <w:rPr>
                <w:color w:val="auto"/>
                <w:sz w:val="21"/>
                <w:szCs w:val="21"/>
              </w:rPr>
            </w:pPr>
            <w:r>
              <w:rPr>
                <w:color w:val="auto"/>
                <w:sz w:val="21"/>
                <w:szCs w:val="21"/>
              </w:rPr>
              <w:t>施 工 期</w:t>
            </w:r>
          </w:p>
        </w:tc>
        <w:tc>
          <w:tcPr>
            <w:tcW w:w="202" w:type="pct"/>
            <w:vMerge w:val="restart"/>
            <w:vAlign w:val="center"/>
          </w:tcPr>
          <w:p>
            <w:pPr>
              <w:bidi w:val="0"/>
              <w:spacing w:line="240" w:lineRule="auto"/>
              <w:jc w:val="center"/>
              <w:rPr>
                <w:color w:val="auto"/>
                <w:sz w:val="21"/>
                <w:szCs w:val="21"/>
              </w:rPr>
            </w:pPr>
            <w:r>
              <w:rPr>
                <w:color w:val="auto"/>
                <w:sz w:val="21"/>
                <w:szCs w:val="21"/>
              </w:rPr>
              <w:t>生态影响</w:t>
            </w:r>
          </w:p>
        </w:tc>
        <w:tc>
          <w:tcPr>
            <w:tcW w:w="242" w:type="pct"/>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植被保护措施</w:t>
            </w:r>
          </w:p>
        </w:tc>
        <w:tc>
          <w:tcPr>
            <w:tcW w:w="1999" w:type="pct"/>
            <w:vAlign w:val="center"/>
          </w:tcPr>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严格控制施工作业面，最小范围的扰动主体工程，对开挖范围内表层的熟土在取土前推置一旁集中堆放，待施工完毕后覆盖平铺，以便尽快恢复其生产力，规范施工行为、车辆行驶线路，减少对植被的破坏。</w:t>
            </w:r>
          </w:p>
        </w:tc>
        <w:tc>
          <w:tcPr>
            <w:tcW w:w="224" w:type="pct"/>
            <w:vAlign w:val="center"/>
          </w:tcPr>
          <w:p>
            <w:pPr>
              <w:bidi w:val="0"/>
              <w:spacing w:line="240" w:lineRule="auto"/>
              <w:jc w:val="center"/>
              <w:rPr>
                <w:color w:val="auto"/>
                <w:sz w:val="21"/>
                <w:szCs w:val="21"/>
                <w:lang w:val="en-US" w:eastAsia="zh-CN"/>
              </w:rPr>
            </w:pPr>
            <w:r>
              <w:rPr>
                <w:rFonts w:hint="default"/>
                <w:color w:val="auto"/>
                <w:sz w:val="21"/>
                <w:szCs w:val="21"/>
                <w:lang w:val="en-US" w:eastAsia="zh-CN"/>
              </w:rPr>
              <w:t>植被保护措施</w:t>
            </w:r>
          </w:p>
        </w:tc>
        <w:tc>
          <w:tcPr>
            <w:tcW w:w="2226" w:type="pct"/>
            <w:vAlign w:val="center"/>
          </w:tcPr>
          <w:p>
            <w:pPr>
              <w:bidi w:val="0"/>
              <w:spacing w:line="240" w:lineRule="auto"/>
              <w:ind w:firstLine="420" w:firstLineChars="200"/>
              <w:jc w:val="both"/>
              <w:rPr>
                <w:color w:val="auto"/>
                <w:sz w:val="21"/>
                <w:szCs w:val="21"/>
                <w:lang w:val="en-US" w:eastAsia="zh-CN"/>
              </w:rPr>
            </w:pPr>
            <w:r>
              <w:rPr>
                <w:rFonts w:hint="eastAsia"/>
                <w:color w:val="auto"/>
                <w:sz w:val="21"/>
                <w:szCs w:val="21"/>
                <w:lang w:val="en-US" w:eastAsia="zh-CN"/>
              </w:rPr>
              <w:t>已落实。项目建设时</w:t>
            </w:r>
            <w:r>
              <w:rPr>
                <w:rFonts w:hint="default"/>
                <w:color w:val="auto"/>
                <w:sz w:val="21"/>
                <w:szCs w:val="21"/>
                <w:lang w:val="en-US" w:eastAsia="zh-CN"/>
              </w:rPr>
              <w:t>严格控制施工作业面，最小范围的扰动主体工程，对开挖范围内表层的熟土在取土前推置一旁集中堆放，待施工完毕后覆盖平铺，以便尽快恢复其生产力，规范施工行为、车辆行驶线路，减少</w:t>
            </w:r>
            <w:r>
              <w:rPr>
                <w:rFonts w:hint="eastAsia"/>
                <w:color w:val="auto"/>
                <w:sz w:val="21"/>
                <w:szCs w:val="21"/>
                <w:lang w:val="en-US" w:eastAsia="zh-CN"/>
              </w:rPr>
              <w:t>了</w:t>
            </w:r>
            <w:r>
              <w:rPr>
                <w:rFonts w:hint="default"/>
                <w:color w:val="auto"/>
                <w:sz w:val="21"/>
                <w:szCs w:val="21"/>
                <w:lang w:val="en-US" w:eastAsia="zh-CN"/>
              </w:rPr>
              <w:t>对植被的破坏。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2" w:type="pct"/>
            <w:vMerge w:val="continue"/>
            <w:textDirection w:val="tbRlV"/>
            <w:vAlign w:val="center"/>
          </w:tcPr>
          <w:p>
            <w:pPr>
              <w:bidi w:val="0"/>
              <w:spacing w:line="240" w:lineRule="auto"/>
              <w:jc w:val="center"/>
              <w:rPr>
                <w:color w:val="auto"/>
                <w:sz w:val="21"/>
                <w:szCs w:val="21"/>
              </w:rPr>
            </w:pPr>
          </w:p>
        </w:tc>
        <w:tc>
          <w:tcPr>
            <w:tcW w:w="202" w:type="pct"/>
            <w:vMerge w:val="continue"/>
            <w:vAlign w:val="center"/>
          </w:tcPr>
          <w:p>
            <w:pPr>
              <w:bidi w:val="0"/>
              <w:spacing w:line="240" w:lineRule="auto"/>
              <w:jc w:val="center"/>
              <w:rPr>
                <w:color w:val="auto"/>
                <w:sz w:val="21"/>
                <w:szCs w:val="21"/>
              </w:rPr>
            </w:pPr>
          </w:p>
        </w:tc>
        <w:tc>
          <w:tcPr>
            <w:tcW w:w="242" w:type="pct"/>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野生动物保护措施</w:t>
            </w:r>
          </w:p>
          <w:p>
            <w:pPr>
              <w:bidi w:val="0"/>
              <w:spacing w:line="240" w:lineRule="auto"/>
              <w:jc w:val="center"/>
              <w:rPr>
                <w:rFonts w:hint="default"/>
                <w:color w:val="auto"/>
                <w:sz w:val="21"/>
                <w:szCs w:val="21"/>
                <w:lang w:val="en-US" w:eastAsia="zh-CN"/>
              </w:rPr>
            </w:pPr>
          </w:p>
        </w:tc>
        <w:tc>
          <w:tcPr>
            <w:tcW w:w="1999" w:type="pct"/>
            <w:vAlign w:val="center"/>
          </w:tcPr>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选用低噪声的施工设备，施工活动主要集中在白天进行，减少夜间作业，避免灯光、噪声对夜间动物活动的惊扰。在施工过程中若发现野生动物的活动处，应进行避让和保护，以防影响野生动物的栖息。施工期如发现珍稀保护动物应采取妥善措施进行保护，不得杀害和损伤珍稀保护动物。</w:t>
            </w:r>
          </w:p>
        </w:tc>
        <w:tc>
          <w:tcPr>
            <w:tcW w:w="224" w:type="pct"/>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野生动物保护措施</w:t>
            </w:r>
          </w:p>
        </w:tc>
        <w:tc>
          <w:tcPr>
            <w:tcW w:w="2226" w:type="pct"/>
            <w:vAlign w:val="center"/>
          </w:tcPr>
          <w:p>
            <w:pPr>
              <w:bidi w:val="0"/>
              <w:spacing w:line="240" w:lineRule="auto"/>
              <w:ind w:firstLine="420" w:firstLineChars="200"/>
              <w:jc w:val="both"/>
              <w:rPr>
                <w:rFonts w:hint="default"/>
                <w:color w:val="auto"/>
                <w:sz w:val="21"/>
                <w:szCs w:val="21"/>
                <w:lang w:val="en-US" w:eastAsia="zh-CN"/>
              </w:rPr>
            </w:pPr>
            <w:r>
              <w:rPr>
                <w:rFonts w:hint="eastAsia"/>
                <w:color w:val="auto"/>
                <w:sz w:val="21"/>
                <w:szCs w:val="21"/>
                <w:lang w:val="en-US" w:eastAsia="zh-CN"/>
              </w:rPr>
              <w:t>已落实。</w:t>
            </w:r>
            <w:r>
              <w:rPr>
                <w:rFonts w:hint="default"/>
                <w:color w:val="auto"/>
                <w:sz w:val="21"/>
                <w:szCs w:val="21"/>
                <w:lang w:val="en-US" w:eastAsia="zh-CN"/>
              </w:rPr>
              <w:t>选用</w:t>
            </w:r>
            <w:r>
              <w:rPr>
                <w:rFonts w:hint="eastAsia"/>
                <w:color w:val="auto"/>
                <w:sz w:val="21"/>
                <w:szCs w:val="21"/>
                <w:lang w:val="en-US" w:eastAsia="zh-CN"/>
              </w:rPr>
              <w:t>了</w:t>
            </w:r>
            <w:r>
              <w:rPr>
                <w:rFonts w:hint="default"/>
                <w:color w:val="auto"/>
                <w:sz w:val="21"/>
                <w:szCs w:val="21"/>
                <w:lang w:val="en-US" w:eastAsia="zh-CN"/>
              </w:rPr>
              <w:t>低噪声的施工设备，施工活动主要集中在白天进行。在施工过程中发现野生动物的活动处，进行避让和保护，</w:t>
            </w:r>
            <w:r>
              <w:rPr>
                <w:rFonts w:hint="eastAsia"/>
                <w:color w:val="auto"/>
                <w:sz w:val="21"/>
                <w:szCs w:val="21"/>
                <w:lang w:val="en-US" w:eastAsia="zh-CN"/>
              </w:rPr>
              <w:t>未</w:t>
            </w:r>
            <w:r>
              <w:rPr>
                <w:rFonts w:hint="default"/>
                <w:color w:val="auto"/>
                <w:sz w:val="21"/>
                <w:szCs w:val="21"/>
                <w:lang w:val="en-US" w:eastAsia="zh-CN"/>
              </w:rPr>
              <w:t>影响野生动物的栖息。施工期</w:t>
            </w:r>
            <w:r>
              <w:rPr>
                <w:rFonts w:hint="eastAsia"/>
                <w:color w:val="auto"/>
                <w:sz w:val="21"/>
                <w:szCs w:val="21"/>
                <w:lang w:val="en-US" w:eastAsia="zh-CN"/>
              </w:rPr>
              <w:t>未</w:t>
            </w:r>
            <w:r>
              <w:rPr>
                <w:rFonts w:hint="default"/>
                <w:color w:val="auto"/>
                <w:sz w:val="21"/>
                <w:szCs w:val="21"/>
                <w:lang w:val="en-US" w:eastAsia="zh-CN"/>
              </w:rPr>
              <w:t>发现珍稀保护动物。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2" w:type="pct"/>
            <w:vMerge w:val="continue"/>
            <w:textDirection w:val="tbRlV"/>
            <w:vAlign w:val="center"/>
          </w:tcPr>
          <w:p>
            <w:pPr>
              <w:bidi w:val="0"/>
              <w:spacing w:line="240" w:lineRule="auto"/>
              <w:jc w:val="center"/>
              <w:rPr>
                <w:rFonts w:hint="default"/>
                <w:color w:val="auto"/>
                <w:sz w:val="21"/>
                <w:szCs w:val="21"/>
                <w:lang w:val="en-US" w:eastAsia="zh-CN"/>
              </w:rPr>
            </w:pPr>
          </w:p>
        </w:tc>
        <w:tc>
          <w:tcPr>
            <w:tcW w:w="202" w:type="pct"/>
            <w:vMerge w:val="continue"/>
            <w:vAlign w:val="center"/>
          </w:tcPr>
          <w:p>
            <w:pPr>
              <w:bidi w:val="0"/>
              <w:spacing w:line="240" w:lineRule="auto"/>
              <w:jc w:val="center"/>
              <w:rPr>
                <w:rFonts w:hint="default"/>
                <w:color w:val="auto"/>
                <w:sz w:val="21"/>
                <w:szCs w:val="21"/>
                <w:lang w:val="en-US" w:eastAsia="zh-CN"/>
              </w:rPr>
            </w:pPr>
          </w:p>
        </w:tc>
        <w:tc>
          <w:tcPr>
            <w:tcW w:w="242" w:type="pct"/>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临时工程的措施</w:t>
            </w:r>
          </w:p>
          <w:p>
            <w:pPr>
              <w:bidi w:val="0"/>
              <w:spacing w:line="240" w:lineRule="auto"/>
              <w:jc w:val="center"/>
              <w:rPr>
                <w:rFonts w:hint="default"/>
                <w:color w:val="auto"/>
                <w:sz w:val="21"/>
                <w:szCs w:val="21"/>
                <w:lang w:val="en-US" w:eastAsia="zh-CN"/>
              </w:rPr>
            </w:pPr>
          </w:p>
        </w:tc>
        <w:tc>
          <w:tcPr>
            <w:tcW w:w="1999" w:type="pct"/>
            <w:vAlign w:val="center"/>
          </w:tcPr>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严格控制塔基开挖面积，严格控制临时占地面积，尽及时清运施工废物，尽量保护周围植被。施工期严格限定施工范围，不允许随意破坏和占用额外土地。</w:t>
            </w:r>
          </w:p>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施工中尽量减少植被占压、破坏，尽量选择裸土地为临时用地。</w:t>
            </w:r>
          </w:p>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牵张场及材料堆放场地采取下垫措施。</w:t>
            </w:r>
          </w:p>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施工结束后对施工便道、牵张场、塔基施工区域等临时施工场地进行土地整治，恢复为原有地貌类型。合理选择施工便道，尽可能利用已有道路，减少施工便道的修筑。</w:t>
            </w:r>
          </w:p>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临时堆土用密目网进行苫盖，降低水土流失。</w:t>
            </w:r>
          </w:p>
        </w:tc>
        <w:tc>
          <w:tcPr>
            <w:tcW w:w="224" w:type="pct"/>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临时工程的措施</w:t>
            </w:r>
          </w:p>
        </w:tc>
        <w:tc>
          <w:tcPr>
            <w:tcW w:w="2226" w:type="pct"/>
            <w:vAlign w:val="center"/>
          </w:tcPr>
          <w:p>
            <w:pPr>
              <w:bidi w:val="0"/>
              <w:spacing w:line="240" w:lineRule="auto"/>
              <w:ind w:firstLine="420" w:firstLineChars="200"/>
              <w:jc w:val="both"/>
              <w:rPr>
                <w:rFonts w:hint="default"/>
                <w:color w:val="auto"/>
                <w:sz w:val="21"/>
                <w:szCs w:val="21"/>
                <w:lang w:val="en-US" w:eastAsia="zh-CN"/>
              </w:rPr>
            </w:pPr>
            <w:r>
              <w:rPr>
                <w:rFonts w:hint="eastAsia"/>
                <w:color w:val="auto"/>
                <w:sz w:val="21"/>
                <w:szCs w:val="21"/>
                <w:lang w:val="en-US" w:eastAsia="zh-CN"/>
              </w:rPr>
              <w:t>已落实。项目建设时</w:t>
            </w:r>
            <w:r>
              <w:rPr>
                <w:rFonts w:hint="default"/>
                <w:color w:val="auto"/>
                <w:sz w:val="21"/>
                <w:szCs w:val="21"/>
                <w:lang w:val="en-US" w:eastAsia="zh-CN"/>
              </w:rPr>
              <w:t>严格控制塔基开挖面积，严格控制临时占地面积，尽及时清运施工废物，尽量保护周围植被。施工期严格限定施工范围，不允许随意破坏和占用额外土地。</w:t>
            </w:r>
          </w:p>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施工中尽量减少植被占压、破坏，尽量选择裸土地为临时用地。</w:t>
            </w:r>
          </w:p>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牵张场及材料堆放场地采取下垫措施。</w:t>
            </w:r>
          </w:p>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施工结束后对施工便道、牵张场、塔基施工区域等临时施工场地进行</w:t>
            </w:r>
            <w:r>
              <w:rPr>
                <w:rFonts w:hint="eastAsia"/>
                <w:color w:val="auto"/>
                <w:sz w:val="21"/>
                <w:szCs w:val="21"/>
                <w:lang w:val="en-US" w:eastAsia="zh-CN"/>
              </w:rPr>
              <w:t>了</w:t>
            </w:r>
            <w:r>
              <w:rPr>
                <w:rFonts w:hint="default"/>
                <w:color w:val="auto"/>
                <w:sz w:val="21"/>
                <w:szCs w:val="21"/>
                <w:lang w:val="en-US" w:eastAsia="zh-CN"/>
              </w:rPr>
              <w:t>土地整治。合理选择施工便道，尽可能利用已有道路。</w:t>
            </w:r>
          </w:p>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临时堆土用密目网进行</w:t>
            </w:r>
            <w:r>
              <w:rPr>
                <w:rFonts w:hint="eastAsia"/>
                <w:color w:val="auto"/>
                <w:sz w:val="21"/>
                <w:szCs w:val="21"/>
                <w:lang w:val="en-US" w:eastAsia="zh-CN"/>
              </w:rPr>
              <w:t>了</w:t>
            </w:r>
            <w:r>
              <w:rPr>
                <w:rFonts w:hint="default"/>
                <w:color w:val="auto"/>
                <w:sz w:val="21"/>
                <w:szCs w:val="21"/>
                <w:lang w:val="en-US" w:eastAsia="zh-CN"/>
              </w:rPr>
              <w:t>苫盖，降低水土流失。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4" w:hRule="atLeast"/>
          <w:jc w:val="center"/>
        </w:trPr>
        <w:tc>
          <w:tcPr>
            <w:tcW w:w="102" w:type="pct"/>
            <w:vMerge w:val="continue"/>
            <w:textDirection w:val="tbRlV"/>
            <w:vAlign w:val="center"/>
          </w:tcPr>
          <w:p>
            <w:pPr>
              <w:bidi w:val="0"/>
              <w:spacing w:line="240" w:lineRule="auto"/>
              <w:jc w:val="center"/>
              <w:rPr>
                <w:color w:val="auto"/>
                <w:sz w:val="21"/>
                <w:szCs w:val="21"/>
              </w:rPr>
            </w:pPr>
          </w:p>
        </w:tc>
        <w:tc>
          <w:tcPr>
            <w:tcW w:w="202" w:type="pct"/>
            <w:vMerge w:val="restart"/>
            <w:vAlign w:val="center"/>
          </w:tcPr>
          <w:p>
            <w:pPr>
              <w:bidi w:val="0"/>
              <w:spacing w:line="240" w:lineRule="auto"/>
              <w:jc w:val="center"/>
              <w:rPr>
                <w:color w:val="auto"/>
                <w:sz w:val="21"/>
                <w:szCs w:val="21"/>
              </w:rPr>
            </w:pPr>
            <w:r>
              <w:rPr>
                <w:color w:val="auto"/>
                <w:sz w:val="21"/>
                <w:szCs w:val="21"/>
              </w:rPr>
              <w:t>污染影响</w:t>
            </w:r>
          </w:p>
        </w:tc>
        <w:tc>
          <w:tcPr>
            <w:tcW w:w="242" w:type="pct"/>
            <w:vAlign w:val="center"/>
          </w:tcPr>
          <w:p>
            <w:pPr>
              <w:bidi w:val="0"/>
              <w:spacing w:line="240" w:lineRule="auto"/>
              <w:jc w:val="center"/>
              <w:rPr>
                <w:rFonts w:hint="default"/>
                <w:color w:val="auto"/>
                <w:spacing w:val="-2"/>
                <w:lang w:val="en-US" w:eastAsia="zh-CN"/>
              </w:rPr>
            </w:pPr>
            <w:r>
              <w:rPr>
                <w:rFonts w:hint="default"/>
                <w:color w:val="auto"/>
                <w:sz w:val="21"/>
                <w:szCs w:val="21"/>
                <w:lang w:val="en-US" w:eastAsia="zh-CN"/>
              </w:rPr>
              <w:t>大气污染</w:t>
            </w:r>
          </w:p>
        </w:tc>
        <w:tc>
          <w:tcPr>
            <w:tcW w:w="1999" w:type="pct"/>
            <w:vAlign w:val="center"/>
          </w:tcPr>
          <w:p>
            <w:pPr>
              <w:bidi w:val="0"/>
              <w:spacing w:line="240" w:lineRule="auto"/>
              <w:ind w:firstLine="420" w:firstLineChars="200"/>
              <w:jc w:val="both"/>
              <w:rPr>
                <w:color w:val="auto"/>
                <w:sz w:val="21"/>
                <w:szCs w:val="21"/>
              </w:rPr>
            </w:pPr>
            <w:r>
              <w:rPr>
                <w:color w:val="auto"/>
                <w:sz w:val="21"/>
                <w:szCs w:val="21"/>
              </w:rPr>
              <w:t>（1）110kV北部滩升压站</w:t>
            </w:r>
          </w:p>
          <w:p>
            <w:pPr>
              <w:bidi w:val="0"/>
              <w:spacing w:line="240" w:lineRule="auto"/>
              <w:ind w:firstLine="420" w:firstLineChars="200"/>
              <w:jc w:val="both"/>
              <w:rPr>
                <w:color w:val="auto"/>
                <w:sz w:val="21"/>
                <w:szCs w:val="21"/>
              </w:rPr>
            </w:pPr>
            <w:r>
              <w:rPr>
                <w:color w:val="auto"/>
                <w:sz w:val="21"/>
                <w:szCs w:val="21"/>
              </w:rPr>
              <w:t>为减少施工扬尘对大气环境的影响，升压站施工期拟采取的扬尘防护措施如下：</w:t>
            </w:r>
          </w:p>
          <w:p>
            <w:pPr>
              <w:bidi w:val="0"/>
              <w:spacing w:line="240" w:lineRule="auto"/>
              <w:ind w:firstLine="420" w:firstLineChars="200"/>
              <w:jc w:val="both"/>
              <w:rPr>
                <w:color w:val="auto"/>
                <w:sz w:val="21"/>
                <w:szCs w:val="21"/>
              </w:rPr>
            </w:pPr>
            <w:r>
              <w:rPr>
                <w:color w:val="auto"/>
                <w:sz w:val="21"/>
                <w:szCs w:val="21"/>
              </w:rPr>
              <w:t>1）施工单位文明施工，加强施工期的环境管理和环境监控工作；</w:t>
            </w:r>
          </w:p>
          <w:p>
            <w:pPr>
              <w:bidi w:val="0"/>
              <w:spacing w:line="240" w:lineRule="auto"/>
              <w:ind w:firstLine="420" w:firstLineChars="200"/>
              <w:jc w:val="both"/>
              <w:rPr>
                <w:color w:val="auto"/>
                <w:sz w:val="21"/>
                <w:szCs w:val="21"/>
              </w:rPr>
            </w:pPr>
            <w:r>
              <w:rPr>
                <w:color w:val="auto"/>
                <w:sz w:val="21"/>
                <w:szCs w:val="21"/>
              </w:rPr>
              <w:t>2）施工建筑材料应集中、合理堆放，尽可能采用堆棚统一存放，若采用露天堆放，应采取苫盖等措施；</w:t>
            </w:r>
          </w:p>
          <w:p>
            <w:pPr>
              <w:bidi w:val="0"/>
              <w:spacing w:line="240" w:lineRule="auto"/>
              <w:ind w:firstLine="420" w:firstLineChars="200"/>
              <w:jc w:val="both"/>
              <w:rPr>
                <w:color w:val="auto"/>
                <w:sz w:val="21"/>
                <w:szCs w:val="21"/>
              </w:rPr>
            </w:pPr>
            <w:r>
              <w:rPr>
                <w:color w:val="auto"/>
                <w:sz w:val="21"/>
                <w:szCs w:val="21"/>
              </w:rPr>
              <w:t>3）加强材料转运与使用的管理，合理装卸，规范操作，以防止扬尘对环境空气质 量的影响。施工场地应定期洒水抑尘，当出现风速过大或不利天气状况时应停止施工作业；</w:t>
            </w:r>
          </w:p>
          <w:p>
            <w:pPr>
              <w:bidi w:val="0"/>
              <w:spacing w:line="240" w:lineRule="auto"/>
              <w:ind w:firstLine="420" w:firstLineChars="200"/>
              <w:jc w:val="both"/>
              <w:rPr>
                <w:color w:val="auto"/>
                <w:sz w:val="21"/>
                <w:szCs w:val="21"/>
              </w:rPr>
            </w:pPr>
            <w:r>
              <w:rPr>
                <w:color w:val="auto"/>
                <w:sz w:val="21"/>
                <w:szCs w:val="21"/>
              </w:rPr>
              <w:t>4）对土、石料等可能产生扬尘的材料，在运输时用防水布覆盖。对附近的运输道 路定期洒水，使其保持一定的湿度，防止道路扬尘。严禁运输车辆装载过满，不得超出车厢板高度，并采取遮盖、密闭措施防止沿途抛洒、散落。定期冲洗轮胎，车辆不得带泥砂出现场，进出场地的车辆应限制车速；</w:t>
            </w:r>
          </w:p>
          <w:p>
            <w:pPr>
              <w:bidi w:val="0"/>
              <w:spacing w:line="240" w:lineRule="auto"/>
              <w:ind w:firstLine="420" w:firstLineChars="200"/>
              <w:jc w:val="both"/>
              <w:rPr>
                <w:color w:val="auto"/>
                <w:sz w:val="21"/>
                <w:szCs w:val="21"/>
              </w:rPr>
            </w:pPr>
            <w:r>
              <w:rPr>
                <w:color w:val="auto"/>
                <w:sz w:val="21"/>
                <w:szCs w:val="21"/>
              </w:rPr>
              <w:t>5）设立施工保洁责任区，确保施工工地周围环境清洁等措施防治土方作业等施工扬尘。</w:t>
            </w:r>
          </w:p>
          <w:p>
            <w:pPr>
              <w:bidi w:val="0"/>
              <w:spacing w:line="240" w:lineRule="auto"/>
              <w:ind w:firstLine="420" w:firstLineChars="200"/>
              <w:jc w:val="both"/>
              <w:rPr>
                <w:color w:val="auto"/>
                <w:sz w:val="21"/>
                <w:szCs w:val="21"/>
              </w:rPr>
            </w:pPr>
            <w:r>
              <w:rPr>
                <w:color w:val="auto"/>
                <w:sz w:val="21"/>
                <w:szCs w:val="21"/>
              </w:rPr>
              <w:t>（2）输电线路</w:t>
            </w:r>
          </w:p>
          <w:p>
            <w:pPr>
              <w:bidi w:val="0"/>
              <w:spacing w:line="240" w:lineRule="auto"/>
              <w:ind w:firstLine="420" w:firstLineChars="200"/>
              <w:jc w:val="both"/>
              <w:rPr>
                <w:color w:val="auto"/>
                <w:sz w:val="21"/>
                <w:szCs w:val="21"/>
              </w:rPr>
            </w:pPr>
            <w:r>
              <w:rPr>
                <w:color w:val="auto"/>
                <w:sz w:val="21"/>
                <w:szCs w:val="21"/>
              </w:rPr>
              <w:t>为减少施工扬尘对大气环境的影响，输电线路施工期拟采取的扬尘防护措施如下：</w:t>
            </w:r>
          </w:p>
          <w:p>
            <w:pPr>
              <w:bidi w:val="0"/>
              <w:spacing w:line="240" w:lineRule="auto"/>
              <w:ind w:firstLine="420" w:firstLineChars="200"/>
              <w:jc w:val="both"/>
              <w:rPr>
                <w:color w:val="auto"/>
                <w:sz w:val="21"/>
                <w:szCs w:val="21"/>
              </w:rPr>
            </w:pPr>
            <w:r>
              <w:rPr>
                <w:color w:val="auto"/>
                <w:sz w:val="21"/>
                <w:szCs w:val="21"/>
              </w:rPr>
              <w:t>1）塔基基础开挖过程中，应定时、及时洒水使施工区域保持一定的湿度；对施工场地内松散、干涸的表土，也应定时、及时洒水；</w:t>
            </w:r>
          </w:p>
          <w:p>
            <w:pPr>
              <w:bidi w:val="0"/>
              <w:spacing w:line="240" w:lineRule="auto"/>
              <w:ind w:firstLine="420" w:firstLineChars="200"/>
              <w:jc w:val="both"/>
              <w:rPr>
                <w:color w:val="auto"/>
                <w:sz w:val="21"/>
                <w:szCs w:val="21"/>
              </w:rPr>
            </w:pPr>
            <w:r>
              <w:rPr>
                <w:color w:val="auto"/>
                <w:sz w:val="21"/>
                <w:szCs w:val="21"/>
              </w:rPr>
              <w:t>2）对施工场地内临时堆土采取苫盖等措施防止起尘；</w:t>
            </w:r>
          </w:p>
          <w:p>
            <w:pPr>
              <w:bidi w:val="0"/>
              <w:spacing w:line="240" w:lineRule="auto"/>
              <w:ind w:firstLine="420" w:firstLineChars="200"/>
              <w:jc w:val="both"/>
              <w:rPr>
                <w:color w:val="auto"/>
                <w:sz w:val="21"/>
                <w:szCs w:val="21"/>
              </w:rPr>
            </w:pPr>
            <w:r>
              <w:rPr>
                <w:color w:val="auto"/>
                <w:sz w:val="21"/>
                <w:szCs w:val="21"/>
              </w:rPr>
              <w:t>3）车辆及时冲洗，限制车速，对附近的运输道路定期洒水，使其保持一定的湿度，防止道路扬尘；</w:t>
            </w:r>
          </w:p>
          <w:p>
            <w:pPr>
              <w:bidi w:val="0"/>
              <w:spacing w:line="240" w:lineRule="auto"/>
              <w:ind w:firstLine="420" w:firstLineChars="200"/>
              <w:jc w:val="both"/>
              <w:rPr>
                <w:color w:val="auto"/>
                <w:sz w:val="21"/>
                <w:szCs w:val="21"/>
              </w:rPr>
            </w:pPr>
            <w:r>
              <w:rPr>
                <w:color w:val="auto"/>
                <w:sz w:val="21"/>
                <w:szCs w:val="21"/>
              </w:rPr>
              <w:t>4）对铁塔施工区域围挡，划定施工区域，不得随意扩大；</w:t>
            </w:r>
          </w:p>
          <w:p>
            <w:pPr>
              <w:bidi w:val="0"/>
              <w:spacing w:line="240" w:lineRule="auto"/>
              <w:ind w:firstLine="420" w:firstLineChars="200"/>
              <w:jc w:val="both"/>
              <w:rPr>
                <w:color w:val="auto"/>
                <w:sz w:val="21"/>
                <w:szCs w:val="21"/>
              </w:rPr>
            </w:pPr>
            <w:r>
              <w:rPr>
                <w:color w:val="auto"/>
                <w:sz w:val="21"/>
                <w:szCs w:val="21"/>
              </w:rPr>
              <w:t>5）对土、石料、水泥等可能产生扬尘的材料，在运输时用防水布覆盖。</w:t>
            </w:r>
          </w:p>
        </w:tc>
        <w:tc>
          <w:tcPr>
            <w:tcW w:w="224" w:type="pct"/>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大气污染</w:t>
            </w:r>
          </w:p>
        </w:tc>
        <w:tc>
          <w:tcPr>
            <w:tcW w:w="2226" w:type="pct"/>
            <w:vAlign w:val="center"/>
          </w:tcPr>
          <w:p>
            <w:pPr>
              <w:bidi w:val="0"/>
              <w:spacing w:line="240" w:lineRule="auto"/>
              <w:ind w:firstLine="420" w:firstLineChars="200"/>
              <w:jc w:val="both"/>
              <w:rPr>
                <w:rFonts w:hint="eastAsia"/>
                <w:color w:val="auto"/>
                <w:sz w:val="21"/>
                <w:szCs w:val="21"/>
                <w:lang w:val="en-US" w:eastAsia="zh-CN"/>
              </w:rPr>
            </w:pPr>
            <w:r>
              <w:rPr>
                <w:rFonts w:hint="eastAsia"/>
                <w:color w:val="auto"/>
                <w:sz w:val="21"/>
                <w:szCs w:val="21"/>
                <w:lang w:val="en-US" w:eastAsia="zh-CN"/>
              </w:rPr>
              <w:t>已落实。</w:t>
            </w:r>
          </w:p>
          <w:p>
            <w:pPr>
              <w:bidi w:val="0"/>
              <w:spacing w:line="240" w:lineRule="auto"/>
              <w:ind w:firstLine="420" w:firstLineChars="200"/>
              <w:jc w:val="both"/>
              <w:rPr>
                <w:color w:val="auto"/>
                <w:sz w:val="21"/>
                <w:szCs w:val="21"/>
              </w:rPr>
            </w:pPr>
            <w:r>
              <w:rPr>
                <w:color w:val="auto"/>
                <w:sz w:val="21"/>
                <w:szCs w:val="21"/>
              </w:rPr>
              <w:t>（1）110kV北部滩升压站</w:t>
            </w:r>
          </w:p>
          <w:p>
            <w:pPr>
              <w:bidi w:val="0"/>
              <w:spacing w:line="240" w:lineRule="auto"/>
              <w:ind w:firstLine="420" w:firstLineChars="200"/>
              <w:jc w:val="both"/>
              <w:rPr>
                <w:color w:val="auto"/>
                <w:sz w:val="21"/>
                <w:szCs w:val="21"/>
              </w:rPr>
            </w:pPr>
            <w:r>
              <w:rPr>
                <w:color w:val="auto"/>
                <w:sz w:val="21"/>
                <w:szCs w:val="21"/>
              </w:rPr>
              <w:t>施工单位文明施工，加强施工期的环境管理和环境监控工作</w:t>
            </w:r>
            <w:r>
              <w:rPr>
                <w:rFonts w:hint="eastAsia"/>
                <w:color w:val="auto"/>
                <w:sz w:val="21"/>
                <w:szCs w:val="21"/>
                <w:lang w:eastAsia="zh-CN"/>
              </w:rPr>
              <w:t>；</w:t>
            </w:r>
            <w:r>
              <w:rPr>
                <w:color w:val="auto"/>
                <w:sz w:val="21"/>
                <w:szCs w:val="21"/>
              </w:rPr>
              <w:t>施工建筑材料集中、合理堆放，采用露天堆放，采取苫盖等措施；</w:t>
            </w:r>
          </w:p>
          <w:p>
            <w:pPr>
              <w:bidi w:val="0"/>
              <w:spacing w:line="240" w:lineRule="auto"/>
              <w:jc w:val="both"/>
              <w:rPr>
                <w:color w:val="auto"/>
                <w:sz w:val="21"/>
                <w:szCs w:val="21"/>
              </w:rPr>
            </w:pPr>
            <w:r>
              <w:rPr>
                <w:color w:val="auto"/>
                <w:sz w:val="21"/>
                <w:szCs w:val="21"/>
              </w:rPr>
              <w:t>合理装卸，规范操作，防止扬尘对环境空气质量的影响。施工场地定期洒水抑尘，当出现风速过大或不利天气状况时停止施工作业；对土、石料等材料，在运输时用防水布覆盖。对附近的运输道路定期洒水，使其保持一定的湿度，防止道路扬尘。严禁运输车辆装载过满，并采取遮盖、密闭措施防止沿途抛洒、散落。定期冲洗轮胎；</w:t>
            </w:r>
          </w:p>
          <w:p>
            <w:pPr>
              <w:bidi w:val="0"/>
              <w:spacing w:line="240" w:lineRule="auto"/>
              <w:ind w:firstLine="420" w:firstLineChars="200"/>
              <w:jc w:val="both"/>
              <w:rPr>
                <w:color w:val="auto"/>
                <w:sz w:val="21"/>
                <w:szCs w:val="21"/>
              </w:rPr>
            </w:pPr>
          </w:p>
          <w:p>
            <w:pPr>
              <w:bidi w:val="0"/>
              <w:spacing w:line="240" w:lineRule="auto"/>
              <w:ind w:firstLine="420" w:firstLineChars="200"/>
              <w:jc w:val="both"/>
              <w:rPr>
                <w:color w:val="auto"/>
                <w:sz w:val="21"/>
                <w:szCs w:val="21"/>
              </w:rPr>
            </w:pPr>
            <w:r>
              <w:rPr>
                <w:color w:val="auto"/>
                <w:sz w:val="21"/>
                <w:szCs w:val="21"/>
              </w:rPr>
              <w:t>（2）输电线路</w:t>
            </w:r>
          </w:p>
          <w:p>
            <w:pPr>
              <w:bidi w:val="0"/>
              <w:spacing w:line="240" w:lineRule="auto"/>
              <w:ind w:firstLine="420" w:firstLineChars="200"/>
              <w:jc w:val="both"/>
              <w:rPr>
                <w:rFonts w:hint="default"/>
                <w:color w:val="auto"/>
                <w:sz w:val="21"/>
                <w:szCs w:val="21"/>
                <w:lang w:val="en-US" w:eastAsia="zh-CN"/>
              </w:rPr>
            </w:pPr>
            <w:r>
              <w:rPr>
                <w:color w:val="auto"/>
                <w:sz w:val="21"/>
                <w:szCs w:val="21"/>
              </w:rPr>
              <w:t>塔基基础开挖过程中，定时、及时洒水使施工区域保持一定的湿度；对施工场地内松散、干涸的表土，定时、及时洒水；对施工场地内临时堆土采取</w:t>
            </w:r>
            <w:r>
              <w:rPr>
                <w:rFonts w:hint="eastAsia"/>
                <w:color w:val="auto"/>
                <w:sz w:val="21"/>
                <w:szCs w:val="21"/>
                <w:lang w:val="en-US" w:eastAsia="zh-CN"/>
              </w:rPr>
              <w:t>了</w:t>
            </w:r>
            <w:r>
              <w:rPr>
                <w:color w:val="auto"/>
                <w:sz w:val="21"/>
                <w:szCs w:val="21"/>
              </w:rPr>
              <w:t>苫盖等措施防止起尘</w:t>
            </w:r>
            <w:r>
              <w:rPr>
                <w:rFonts w:hint="eastAsia"/>
                <w:color w:val="auto"/>
                <w:sz w:val="21"/>
                <w:szCs w:val="21"/>
                <w:lang w:eastAsia="zh-CN"/>
              </w:rPr>
              <w:t>；</w:t>
            </w:r>
            <w:r>
              <w:rPr>
                <w:color w:val="auto"/>
                <w:sz w:val="21"/>
                <w:szCs w:val="21"/>
              </w:rPr>
              <w:t>车辆及时冲洗，限制车速，对附近的运输道路定期洒水，使其保持一定的湿度，防止道路扬尘；对铁塔施工区域围挡，划定施工区域，</w:t>
            </w:r>
            <w:r>
              <w:rPr>
                <w:rFonts w:hint="eastAsia"/>
                <w:color w:val="auto"/>
                <w:sz w:val="21"/>
                <w:szCs w:val="21"/>
                <w:lang w:val="en-US" w:eastAsia="zh-CN"/>
              </w:rPr>
              <w:t>未</w:t>
            </w:r>
            <w:r>
              <w:rPr>
                <w:color w:val="auto"/>
                <w:sz w:val="21"/>
                <w:szCs w:val="21"/>
              </w:rPr>
              <w:t>随意扩大；对土、石料、水泥等可能产生扬尘的材料，在运输时用防水布覆盖。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4" w:hRule="atLeast"/>
          <w:jc w:val="center"/>
        </w:trPr>
        <w:tc>
          <w:tcPr>
            <w:tcW w:w="102" w:type="pct"/>
            <w:vMerge w:val="continue"/>
            <w:textDirection w:val="tbRlV"/>
            <w:vAlign w:val="center"/>
          </w:tcPr>
          <w:p>
            <w:pPr>
              <w:bidi w:val="0"/>
              <w:spacing w:line="240" w:lineRule="auto"/>
              <w:jc w:val="both"/>
              <w:rPr>
                <w:color w:val="auto"/>
              </w:rPr>
            </w:pPr>
          </w:p>
        </w:tc>
        <w:tc>
          <w:tcPr>
            <w:tcW w:w="202" w:type="pct"/>
            <w:vMerge w:val="continue"/>
            <w:vAlign w:val="center"/>
          </w:tcPr>
          <w:p>
            <w:pPr>
              <w:bidi w:val="0"/>
              <w:spacing w:line="240" w:lineRule="auto"/>
              <w:jc w:val="both"/>
              <w:rPr>
                <w:color w:val="auto"/>
              </w:rPr>
            </w:pPr>
          </w:p>
        </w:tc>
        <w:tc>
          <w:tcPr>
            <w:tcW w:w="242" w:type="pct"/>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水环境</w:t>
            </w:r>
          </w:p>
        </w:tc>
        <w:tc>
          <w:tcPr>
            <w:tcW w:w="1999" w:type="pct"/>
            <w:vAlign w:val="center"/>
          </w:tcPr>
          <w:p>
            <w:pPr>
              <w:bidi w:val="0"/>
              <w:spacing w:line="240" w:lineRule="auto"/>
              <w:ind w:firstLine="420" w:firstLineChars="200"/>
              <w:rPr>
                <w:color w:val="auto"/>
                <w:sz w:val="21"/>
                <w:szCs w:val="21"/>
              </w:rPr>
            </w:pPr>
            <w:r>
              <w:rPr>
                <w:color w:val="auto"/>
                <w:sz w:val="21"/>
                <w:szCs w:val="21"/>
              </w:rPr>
              <w:t>（1）110kV北部滩升压站</w:t>
            </w:r>
          </w:p>
          <w:p>
            <w:pPr>
              <w:bidi w:val="0"/>
              <w:spacing w:line="240" w:lineRule="auto"/>
              <w:ind w:firstLine="420" w:firstLineChars="200"/>
              <w:rPr>
                <w:color w:val="auto"/>
                <w:sz w:val="21"/>
                <w:szCs w:val="21"/>
              </w:rPr>
            </w:pPr>
            <w:r>
              <w:rPr>
                <w:color w:val="auto"/>
                <w:sz w:val="21"/>
                <w:szCs w:val="21"/>
              </w:rPr>
              <w:t>施工期废污水主要为施工废水和施工人员产生的生活污水。施工场地依托风电场，施工废水收集沉淀后回用。施工期生活污水主要来自施工人员，因此主要废污水为洗漱废水，依托施工场地环保厕所集中收集，定期清运。</w:t>
            </w:r>
          </w:p>
          <w:p>
            <w:pPr>
              <w:bidi w:val="0"/>
              <w:spacing w:line="240" w:lineRule="auto"/>
              <w:ind w:firstLine="420" w:firstLineChars="200"/>
              <w:rPr>
                <w:color w:val="auto"/>
                <w:sz w:val="21"/>
                <w:szCs w:val="21"/>
              </w:rPr>
            </w:pPr>
            <w:r>
              <w:rPr>
                <w:color w:val="auto"/>
                <w:sz w:val="21"/>
                <w:szCs w:val="21"/>
              </w:rPr>
              <w:t>（2）输电线路</w:t>
            </w:r>
          </w:p>
          <w:p>
            <w:pPr>
              <w:bidi w:val="0"/>
              <w:spacing w:line="240" w:lineRule="auto"/>
              <w:ind w:firstLine="420" w:firstLineChars="200"/>
              <w:rPr>
                <w:rFonts w:hint="eastAsia"/>
                <w:color w:val="auto"/>
                <w:szCs w:val="21"/>
                <w:lang w:val="en-US" w:eastAsia="zh-CN"/>
              </w:rPr>
            </w:pPr>
            <w:r>
              <w:rPr>
                <w:color w:val="auto"/>
                <w:sz w:val="21"/>
                <w:szCs w:val="21"/>
              </w:rPr>
              <w:t>塔基浇筑采用商品混凝土，不产生生产废水，本期110kV 线路施工人员产生的生活污水可利用施工场地设置的环保厕所进行收集，不外排。</w:t>
            </w:r>
          </w:p>
        </w:tc>
        <w:tc>
          <w:tcPr>
            <w:tcW w:w="224" w:type="pct"/>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水环境</w:t>
            </w:r>
          </w:p>
        </w:tc>
        <w:tc>
          <w:tcPr>
            <w:tcW w:w="2226" w:type="pct"/>
            <w:vAlign w:val="center"/>
          </w:tcPr>
          <w:p>
            <w:pPr>
              <w:bidi w:val="0"/>
              <w:spacing w:line="240" w:lineRule="auto"/>
              <w:ind w:firstLine="420" w:firstLineChars="200"/>
              <w:rPr>
                <w:rFonts w:hint="eastAsia"/>
                <w:color w:val="auto"/>
                <w:sz w:val="21"/>
                <w:szCs w:val="21"/>
                <w:lang w:val="en-US" w:eastAsia="zh-CN"/>
              </w:rPr>
            </w:pPr>
            <w:r>
              <w:rPr>
                <w:rFonts w:hint="eastAsia"/>
                <w:color w:val="auto"/>
                <w:sz w:val="21"/>
                <w:szCs w:val="21"/>
                <w:lang w:val="en-US" w:eastAsia="zh-CN"/>
              </w:rPr>
              <w:t>已落实。</w:t>
            </w:r>
          </w:p>
          <w:p>
            <w:pPr>
              <w:bidi w:val="0"/>
              <w:spacing w:line="240" w:lineRule="auto"/>
              <w:ind w:firstLine="420" w:firstLineChars="200"/>
              <w:rPr>
                <w:color w:val="auto"/>
                <w:sz w:val="21"/>
                <w:szCs w:val="21"/>
              </w:rPr>
            </w:pPr>
            <w:r>
              <w:rPr>
                <w:color w:val="auto"/>
                <w:sz w:val="21"/>
                <w:szCs w:val="21"/>
              </w:rPr>
              <w:t>（1）110kV北部滩升压站</w:t>
            </w:r>
          </w:p>
          <w:p>
            <w:pPr>
              <w:bidi w:val="0"/>
              <w:spacing w:line="240" w:lineRule="auto"/>
              <w:ind w:firstLine="420" w:firstLineChars="200"/>
              <w:rPr>
                <w:color w:val="auto"/>
                <w:sz w:val="21"/>
                <w:szCs w:val="21"/>
              </w:rPr>
            </w:pPr>
            <w:r>
              <w:rPr>
                <w:color w:val="auto"/>
                <w:sz w:val="21"/>
                <w:szCs w:val="21"/>
              </w:rPr>
              <w:t>施工场地依托风电场，施工废水收集沉淀后回用。施工期生活污水依托施工场地环保厕所集中收集，定期清运。</w:t>
            </w:r>
          </w:p>
          <w:p>
            <w:pPr>
              <w:bidi w:val="0"/>
              <w:spacing w:line="240" w:lineRule="auto"/>
              <w:ind w:firstLine="420" w:firstLineChars="200"/>
              <w:rPr>
                <w:color w:val="auto"/>
                <w:sz w:val="21"/>
                <w:szCs w:val="21"/>
              </w:rPr>
            </w:pPr>
            <w:r>
              <w:rPr>
                <w:color w:val="auto"/>
                <w:sz w:val="21"/>
                <w:szCs w:val="21"/>
              </w:rPr>
              <w:t>（2）输电线路</w:t>
            </w:r>
          </w:p>
          <w:p>
            <w:pPr>
              <w:bidi w:val="0"/>
              <w:spacing w:line="240" w:lineRule="auto"/>
              <w:ind w:firstLine="420" w:firstLineChars="200"/>
              <w:rPr>
                <w:rFonts w:hint="eastAsia"/>
                <w:color w:val="auto"/>
                <w:sz w:val="21"/>
                <w:szCs w:val="21"/>
                <w:lang w:val="en-US" w:eastAsia="zh-CN"/>
              </w:rPr>
            </w:pPr>
            <w:r>
              <w:rPr>
                <w:color w:val="auto"/>
                <w:sz w:val="21"/>
                <w:szCs w:val="21"/>
              </w:rPr>
              <w:t>塔基浇筑采用商品混凝土，不产生生产废水，本期110kV线路施工人员产生的生活污水利用施工场地设置的环保厕所进行收集，不外排。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4" w:hRule="atLeast"/>
          <w:jc w:val="center"/>
        </w:trPr>
        <w:tc>
          <w:tcPr>
            <w:tcW w:w="102" w:type="pct"/>
            <w:vMerge w:val="continue"/>
            <w:textDirection w:val="tbRlV"/>
            <w:vAlign w:val="center"/>
          </w:tcPr>
          <w:p>
            <w:pPr>
              <w:bidi w:val="0"/>
              <w:spacing w:line="240" w:lineRule="auto"/>
              <w:jc w:val="both"/>
              <w:rPr>
                <w:rFonts w:hint="eastAsia"/>
                <w:color w:val="auto"/>
                <w:sz w:val="21"/>
                <w:szCs w:val="21"/>
                <w:lang w:val="en-US" w:eastAsia="zh-CN"/>
              </w:rPr>
            </w:pPr>
          </w:p>
        </w:tc>
        <w:tc>
          <w:tcPr>
            <w:tcW w:w="202" w:type="pct"/>
            <w:vMerge w:val="continue"/>
            <w:vAlign w:val="center"/>
          </w:tcPr>
          <w:p>
            <w:pPr>
              <w:bidi w:val="0"/>
              <w:spacing w:line="240" w:lineRule="auto"/>
              <w:jc w:val="both"/>
              <w:rPr>
                <w:rFonts w:hint="eastAsia"/>
                <w:color w:val="auto"/>
                <w:sz w:val="21"/>
                <w:szCs w:val="21"/>
                <w:lang w:val="en-US" w:eastAsia="zh-CN"/>
              </w:rPr>
            </w:pPr>
          </w:p>
        </w:tc>
        <w:tc>
          <w:tcPr>
            <w:tcW w:w="242" w:type="pct"/>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声环境</w:t>
            </w:r>
          </w:p>
        </w:tc>
        <w:tc>
          <w:tcPr>
            <w:tcW w:w="1999" w:type="pct"/>
            <w:vAlign w:val="center"/>
          </w:tcPr>
          <w:p>
            <w:pPr>
              <w:bidi w:val="0"/>
              <w:spacing w:line="240" w:lineRule="auto"/>
              <w:ind w:firstLine="420" w:firstLineChars="200"/>
              <w:rPr>
                <w:color w:val="auto"/>
                <w:sz w:val="21"/>
                <w:szCs w:val="21"/>
              </w:rPr>
            </w:pPr>
            <w:r>
              <w:rPr>
                <w:color w:val="auto"/>
                <w:sz w:val="21"/>
                <w:szCs w:val="21"/>
              </w:rPr>
              <w:t>（1）降低设备噪声：尽量采用低噪声设备；装卸车辆进出场地应限速；加强机械设备、运输车辆的保养维修，使其处于良好的工作状态。</w:t>
            </w:r>
          </w:p>
          <w:p>
            <w:pPr>
              <w:bidi w:val="0"/>
              <w:spacing w:line="240" w:lineRule="auto"/>
              <w:ind w:firstLine="420" w:firstLineChars="200"/>
              <w:rPr>
                <w:color w:val="auto"/>
                <w:sz w:val="21"/>
                <w:szCs w:val="21"/>
              </w:rPr>
            </w:pPr>
            <w:r>
              <w:rPr>
                <w:color w:val="auto"/>
                <w:sz w:val="21"/>
                <w:szCs w:val="21"/>
              </w:rPr>
              <w:t>（2）合理安排时间：根据季节制定作息时间，合理安排施工计划，避免高噪声设备同时施工、持续作业，夜间不施工；</w:t>
            </w:r>
          </w:p>
          <w:p>
            <w:pPr>
              <w:bidi w:val="0"/>
              <w:spacing w:line="240" w:lineRule="auto"/>
              <w:ind w:firstLine="420" w:firstLineChars="200"/>
              <w:rPr>
                <w:color w:val="auto"/>
                <w:sz w:val="21"/>
                <w:szCs w:val="21"/>
              </w:rPr>
            </w:pPr>
            <w:r>
              <w:rPr>
                <w:color w:val="auto"/>
                <w:sz w:val="21"/>
                <w:szCs w:val="21"/>
              </w:rPr>
              <w:t>（3）优化操作方式：对于位置相对固定的设备，尽量置于操作间内。</w:t>
            </w:r>
          </w:p>
          <w:p>
            <w:pPr>
              <w:bidi w:val="0"/>
              <w:spacing w:line="240" w:lineRule="auto"/>
              <w:ind w:firstLine="420" w:firstLineChars="200"/>
              <w:rPr>
                <w:color w:val="auto"/>
                <w:sz w:val="21"/>
                <w:szCs w:val="21"/>
              </w:rPr>
            </w:pPr>
            <w:r>
              <w:rPr>
                <w:color w:val="auto"/>
                <w:sz w:val="21"/>
                <w:szCs w:val="21"/>
              </w:rPr>
              <w:t>（4）严格遵守操作规程，降低人为噪声。</w:t>
            </w:r>
          </w:p>
          <w:p>
            <w:pPr>
              <w:bidi w:val="0"/>
              <w:spacing w:line="240" w:lineRule="auto"/>
              <w:ind w:firstLine="420" w:firstLineChars="200"/>
              <w:rPr>
                <w:rFonts w:hint="default"/>
                <w:color w:val="auto"/>
                <w:szCs w:val="21"/>
                <w:lang w:val="en-US" w:eastAsia="zh-CN"/>
              </w:rPr>
            </w:pPr>
            <w:r>
              <w:rPr>
                <w:color w:val="auto"/>
                <w:sz w:val="21"/>
                <w:szCs w:val="21"/>
              </w:rPr>
              <w:t>本项目周边200m范围内无声环境保护目标，采取上述措施后，可有效减轻施工噪声影响，并满足《建筑施工场界环境噪声排放标准》（GB12523-2011）中规定的限值，措施可行。</w:t>
            </w:r>
          </w:p>
        </w:tc>
        <w:tc>
          <w:tcPr>
            <w:tcW w:w="224" w:type="pct"/>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声环境</w:t>
            </w:r>
          </w:p>
        </w:tc>
        <w:tc>
          <w:tcPr>
            <w:tcW w:w="2226" w:type="pct"/>
            <w:vAlign w:val="center"/>
          </w:tcPr>
          <w:p>
            <w:pPr>
              <w:bidi w:val="0"/>
              <w:spacing w:line="240" w:lineRule="auto"/>
              <w:ind w:firstLine="420" w:firstLineChars="200"/>
              <w:rPr>
                <w:color w:val="auto"/>
                <w:sz w:val="21"/>
                <w:szCs w:val="21"/>
              </w:rPr>
            </w:pPr>
            <w:r>
              <w:rPr>
                <w:rFonts w:hint="eastAsia"/>
                <w:color w:val="auto"/>
                <w:sz w:val="21"/>
                <w:szCs w:val="21"/>
                <w:lang w:val="en-US" w:eastAsia="zh-CN"/>
              </w:rPr>
              <w:t>已落实。</w:t>
            </w:r>
            <w:r>
              <w:rPr>
                <w:color w:val="auto"/>
                <w:sz w:val="21"/>
                <w:szCs w:val="21"/>
              </w:rPr>
              <w:t>尽量采用低噪声设备；装卸车辆进出场地限速；加强机械设备、运输车辆的保养维修，使其处于良好的工作状态。根据季节制定作息时间，合理安排施工计划，避免高噪声设备同时施工、持续作业，夜间不施工；优化操作方式：对于位置相对固定的设备，置于操作间内。严格遵守操作规程，降低人为噪声。</w:t>
            </w:r>
          </w:p>
          <w:p>
            <w:pPr>
              <w:bidi w:val="0"/>
              <w:spacing w:line="240" w:lineRule="auto"/>
              <w:ind w:firstLine="420" w:firstLineChars="200"/>
              <w:rPr>
                <w:color w:val="auto"/>
              </w:rPr>
            </w:pPr>
            <w:r>
              <w:rPr>
                <w:color w:val="auto"/>
                <w:sz w:val="21"/>
                <w:szCs w:val="21"/>
              </w:rPr>
              <w:t>本项目周边200m范围内无声环境保护目标，采取上述措施后，有效减轻</w:t>
            </w:r>
            <w:r>
              <w:rPr>
                <w:rFonts w:hint="eastAsia"/>
                <w:color w:val="auto"/>
                <w:sz w:val="21"/>
                <w:szCs w:val="21"/>
                <w:lang w:val="en-US" w:eastAsia="zh-CN"/>
              </w:rPr>
              <w:t>了</w:t>
            </w:r>
            <w:r>
              <w:rPr>
                <w:color w:val="auto"/>
                <w:sz w:val="21"/>
                <w:szCs w:val="21"/>
              </w:rPr>
              <w:t>施工噪声影响，并满足《建筑施工场界环境噪声排放标准》（GB12523-2011）中规定的限值，措施可行。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4" w:hRule="atLeast"/>
          <w:jc w:val="center"/>
        </w:trPr>
        <w:tc>
          <w:tcPr>
            <w:tcW w:w="102" w:type="pct"/>
            <w:vMerge w:val="continue"/>
            <w:textDirection w:val="tbRlV"/>
            <w:vAlign w:val="center"/>
          </w:tcPr>
          <w:p>
            <w:pPr>
              <w:bidi w:val="0"/>
              <w:spacing w:line="240" w:lineRule="auto"/>
              <w:jc w:val="both"/>
              <w:rPr>
                <w:rFonts w:hint="eastAsia"/>
                <w:color w:val="auto"/>
                <w:sz w:val="21"/>
                <w:szCs w:val="21"/>
                <w:lang w:val="en-US" w:eastAsia="zh-CN"/>
              </w:rPr>
            </w:pPr>
          </w:p>
        </w:tc>
        <w:tc>
          <w:tcPr>
            <w:tcW w:w="202" w:type="pct"/>
            <w:vMerge w:val="continue"/>
            <w:vAlign w:val="center"/>
          </w:tcPr>
          <w:p>
            <w:pPr>
              <w:bidi w:val="0"/>
              <w:spacing w:line="240" w:lineRule="auto"/>
              <w:jc w:val="both"/>
              <w:rPr>
                <w:rFonts w:hint="eastAsia"/>
                <w:color w:val="auto"/>
                <w:sz w:val="21"/>
                <w:szCs w:val="21"/>
                <w:lang w:val="en-US" w:eastAsia="zh-CN"/>
              </w:rPr>
            </w:pPr>
          </w:p>
        </w:tc>
        <w:tc>
          <w:tcPr>
            <w:tcW w:w="242" w:type="pct"/>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固体废物</w:t>
            </w:r>
          </w:p>
        </w:tc>
        <w:tc>
          <w:tcPr>
            <w:tcW w:w="1999" w:type="pct"/>
            <w:vAlign w:val="center"/>
          </w:tcPr>
          <w:p>
            <w:pPr>
              <w:bidi w:val="0"/>
              <w:spacing w:line="240" w:lineRule="auto"/>
              <w:ind w:firstLine="420" w:firstLineChars="200"/>
              <w:rPr>
                <w:color w:val="auto"/>
                <w:sz w:val="21"/>
                <w:szCs w:val="21"/>
              </w:rPr>
            </w:pPr>
            <w:r>
              <w:rPr>
                <w:color w:val="auto"/>
                <w:sz w:val="21"/>
                <w:szCs w:val="21"/>
              </w:rPr>
              <w:t>本项目拟采取的固体废物影响保护措施如下：</w:t>
            </w:r>
          </w:p>
          <w:p>
            <w:pPr>
              <w:bidi w:val="0"/>
              <w:spacing w:line="240" w:lineRule="auto"/>
              <w:ind w:firstLine="420" w:firstLineChars="200"/>
              <w:rPr>
                <w:color w:val="auto"/>
                <w:sz w:val="21"/>
                <w:szCs w:val="21"/>
              </w:rPr>
            </w:pPr>
            <w:r>
              <w:rPr>
                <w:color w:val="auto"/>
                <w:sz w:val="21"/>
                <w:szCs w:val="21"/>
              </w:rPr>
              <w:t>（1）生活垃圾</w:t>
            </w:r>
          </w:p>
          <w:p>
            <w:pPr>
              <w:bidi w:val="0"/>
              <w:spacing w:line="240" w:lineRule="auto"/>
              <w:ind w:firstLine="420" w:firstLineChars="200"/>
              <w:rPr>
                <w:color w:val="auto"/>
                <w:sz w:val="21"/>
                <w:szCs w:val="21"/>
              </w:rPr>
            </w:pPr>
            <w:r>
              <w:rPr>
                <w:color w:val="auto"/>
                <w:sz w:val="21"/>
                <w:szCs w:val="21"/>
              </w:rPr>
              <w:t>施工人员生活垃圾集中收集、分类堆放，定期清运至环卫部门指定的地点位置。</w:t>
            </w:r>
          </w:p>
          <w:p>
            <w:pPr>
              <w:bidi w:val="0"/>
              <w:spacing w:line="240" w:lineRule="auto"/>
              <w:ind w:firstLine="420" w:firstLineChars="200"/>
              <w:rPr>
                <w:color w:val="auto"/>
                <w:sz w:val="21"/>
                <w:szCs w:val="21"/>
              </w:rPr>
            </w:pPr>
            <w:r>
              <w:rPr>
                <w:color w:val="auto"/>
                <w:sz w:val="21"/>
                <w:szCs w:val="21"/>
              </w:rPr>
              <w:t>（2）土石方</w:t>
            </w:r>
          </w:p>
          <w:p>
            <w:pPr>
              <w:bidi w:val="0"/>
              <w:spacing w:line="240" w:lineRule="auto"/>
              <w:ind w:firstLine="420" w:firstLineChars="200"/>
              <w:rPr>
                <w:color w:val="auto"/>
                <w:sz w:val="21"/>
                <w:szCs w:val="21"/>
              </w:rPr>
            </w:pPr>
            <w:r>
              <w:rPr>
                <w:color w:val="auto"/>
                <w:sz w:val="21"/>
                <w:szCs w:val="21"/>
              </w:rPr>
              <w:t>本项目施工过程中做到土石方平衡，不产生弃土，对施工临时堆土，集中、合理堆放，予以苫盖，遇干燥天气时进行洒水。</w:t>
            </w:r>
          </w:p>
          <w:p>
            <w:pPr>
              <w:bidi w:val="0"/>
              <w:spacing w:line="240" w:lineRule="auto"/>
              <w:ind w:firstLine="420" w:firstLineChars="200"/>
              <w:rPr>
                <w:color w:val="auto"/>
                <w:sz w:val="21"/>
                <w:szCs w:val="21"/>
              </w:rPr>
            </w:pPr>
            <w:r>
              <w:rPr>
                <w:color w:val="auto"/>
                <w:sz w:val="21"/>
                <w:szCs w:val="21"/>
              </w:rPr>
              <w:t>（3）建筑垃圾</w:t>
            </w:r>
          </w:p>
          <w:p>
            <w:pPr>
              <w:bidi w:val="0"/>
              <w:spacing w:line="240" w:lineRule="auto"/>
              <w:ind w:firstLine="420" w:firstLineChars="200"/>
              <w:rPr>
                <w:color w:val="auto"/>
                <w:sz w:val="21"/>
                <w:szCs w:val="21"/>
              </w:rPr>
            </w:pPr>
            <w:r>
              <w:rPr>
                <w:color w:val="auto"/>
                <w:sz w:val="21"/>
                <w:szCs w:val="21"/>
              </w:rPr>
              <w:t>建筑垃圾中可回收的废旧钢筋等外售至废品回收站，不可回收部分集中收集后清运至城建部门指定的建筑垃圾填埋场进行处置，严禁随意堆放、转移、倾倒和填埋；</w:t>
            </w:r>
          </w:p>
          <w:p>
            <w:pPr>
              <w:bidi w:val="0"/>
              <w:spacing w:line="240" w:lineRule="auto"/>
              <w:ind w:firstLine="420" w:firstLineChars="200"/>
              <w:rPr>
                <w:color w:val="auto"/>
                <w:sz w:val="21"/>
                <w:szCs w:val="21"/>
              </w:rPr>
            </w:pPr>
            <w:r>
              <w:rPr>
                <w:color w:val="auto"/>
                <w:sz w:val="21"/>
                <w:szCs w:val="21"/>
              </w:rPr>
              <w:t>（4）废包装材料</w:t>
            </w:r>
          </w:p>
          <w:p>
            <w:pPr>
              <w:bidi w:val="0"/>
              <w:spacing w:line="240" w:lineRule="auto"/>
              <w:ind w:firstLine="420" w:firstLineChars="200"/>
              <w:rPr>
                <w:rFonts w:hint="eastAsia"/>
                <w:color w:val="auto"/>
                <w:szCs w:val="21"/>
                <w:lang w:val="en-US" w:eastAsia="zh-CN"/>
              </w:rPr>
            </w:pPr>
            <w:r>
              <w:rPr>
                <w:color w:val="auto"/>
                <w:sz w:val="21"/>
                <w:szCs w:val="21"/>
              </w:rPr>
              <w:t>废包装材料运至城建部门指定的建筑垃圾填埋场进行处置。</w:t>
            </w:r>
          </w:p>
        </w:tc>
        <w:tc>
          <w:tcPr>
            <w:tcW w:w="224" w:type="pct"/>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固体废物</w:t>
            </w:r>
          </w:p>
        </w:tc>
        <w:tc>
          <w:tcPr>
            <w:tcW w:w="2226" w:type="pct"/>
            <w:vAlign w:val="center"/>
          </w:tcPr>
          <w:p>
            <w:pPr>
              <w:bidi w:val="0"/>
              <w:spacing w:line="240" w:lineRule="auto"/>
              <w:ind w:firstLine="420" w:firstLineChars="200"/>
              <w:rPr>
                <w:color w:val="auto"/>
                <w:sz w:val="21"/>
                <w:szCs w:val="21"/>
              </w:rPr>
            </w:pPr>
            <w:r>
              <w:rPr>
                <w:rFonts w:hint="eastAsia"/>
                <w:color w:val="auto"/>
                <w:sz w:val="21"/>
                <w:szCs w:val="21"/>
                <w:lang w:val="en-US" w:eastAsia="zh-CN"/>
              </w:rPr>
              <w:t>已落实。</w:t>
            </w:r>
          </w:p>
          <w:p>
            <w:pPr>
              <w:bidi w:val="0"/>
              <w:spacing w:line="240" w:lineRule="auto"/>
              <w:ind w:firstLine="420" w:firstLineChars="200"/>
              <w:rPr>
                <w:color w:val="auto"/>
              </w:rPr>
            </w:pPr>
            <w:r>
              <w:rPr>
                <w:color w:val="auto"/>
                <w:sz w:val="21"/>
                <w:szCs w:val="21"/>
              </w:rPr>
              <w:t>施工人员生活垃圾集中收集、分类堆放，定期清运至环卫部门指定的地点位置。本项目施工过程中做到土石方平衡，不产生弃土，对施工临时堆土，集中、合理堆放，予以苫盖，遇干燥天气时进行洒水。建筑垃圾中可回收的废旧钢筋等外售至废品回收站，不可回收部分集中收集后清运至城建部门指定的建筑垃圾填埋场进行处置，</w:t>
            </w:r>
            <w:r>
              <w:rPr>
                <w:rFonts w:hint="eastAsia"/>
                <w:color w:val="auto"/>
                <w:sz w:val="21"/>
                <w:szCs w:val="21"/>
                <w:lang w:val="en-US" w:eastAsia="zh-CN"/>
              </w:rPr>
              <w:t>未</w:t>
            </w:r>
            <w:r>
              <w:rPr>
                <w:color w:val="auto"/>
                <w:sz w:val="21"/>
                <w:szCs w:val="21"/>
              </w:rPr>
              <w:t>随意堆放、转移、倾倒和填埋；废包装材料运至城建部门指定的建筑垃圾填埋场进行处置。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2" w:type="pct"/>
            <w:vMerge w:val="restart"/>
            <w:vAlign w:val="center"/>
          </w:tcPr>
          <w:p>
            <w:pPr>
              <w:bidi w:val="0"/>
              <w:spacing w:line="240" w:lineRule="auto"/>
              <w:jc w:val="center"/>
              <w:rPr>
                <w:rFonts w:hint="eastAsia"/>
                <w:color w:val="auto"/>
                <w:sz w:val="21"/>
                <w:szCs w:val="21"/>
                <w:lang w:eastAsia="zh-CN"/>
              </w:rPr>
            </w:pPr>
            <w:r>
              <w:rPr>
                <w:rFonts w:hint="eastAsia"/>
                <w:color w:val="auto"/>
                <w:sz w:val="21"/>
                <w:szCs w:val="21"/>
                <w:lang w:val="en-US" w:eastAsia="zh-CN"/>
              </w:rPr>
              <w:t>运营期</w:t>
            </w:r>
          </w:p>
        </w:tc>
        <w:tc>
          <w:tcPr>
            <w:tcW w:w="202" w:type="pct"/>
            <w:vAlign w:val="center"/>
          </w:tcPr>
          <w:p>
            <w:pPr>
              <w:bidi w:val="0"/>
              <w:spacing w:line="240" w:lineRule="auto"/>
              <w:jc w:val="center"/>
              <w:rPr>
                <w:color w:val="auto"/>
                <w:sz w:val="21"/>
                <w:szCs w:val="21"/>
              </w:rPr>
            </w:pPr>
            <w:r>
              <w:rPr>
                <w:color w:val="auto"/>
                <w:sz w:val="21"/>
                <w:szCs w:val="21"/>
              </w:rPr>
              <w:t>生态影响</w:t>
            </w:r>
          </w:p>
        </w:tc>
        <w:tc>
          <w:tcPr>
            <w:tcW w:w="2242" w:type="pct"/>
            <w:gridSpan w:val="2"/>
            <w:vAlign w:val="center"/>
          </w:tcPr>
          <w:p>
            <w:pPr>
              <w:bidi w:val="0"/>
              <w:spacing w:line="240" w:lineRule="auto"/>
              <w:ind w:firstLine="420" w:firstLineChars="200"/>
              <w:rPr>
                <w:color w:val="auto"/>
                <w:sz w:val="21"/>
                <w:szCs w:val="21"/>
              </w:rPr>
            </w:pPr>
            <w:r>
              <w:rPr>
                <w:color w:val="auto"/>
                <w:sz w:val="21"/>
                <w:szCs w:val="21"/>
              </w:rPr>
              <w:t>（1）对植被的保护措施</w:t>
            </w:r>
          </w:p>
          <w:p>
            <w:pPr>
              <w:bidi w:val="0"/>
              <w:spacing w:line="240" w:lineRule="auto"/>
              <w:ind w:firstLine="420" w:firstLineChars="200"/>
              <w:rPr>
                <w:color w:val="auto"/>
                <w:sz w:val="21"/>
                <w:szCs w:val="21"/>
              </w:rPr>
            </w:pPr>
            <w:r>
              <w:rPr>
                <w:color w:val="auto"/>
                <w:sz w:val="21"/>
                <w:szCs w:val="21"/>
              </w:rPr>
              <w:t>1）跟进施工期生态措施实施效果，对临时占地采取土地整治等措施恢复原地貌。</w:t>
            </w:r>
          </w:p>
          <w:p>
            <w:pPr>
              <w:bidi w:val="0"/>
              <w:spacing w:line="240" w:lineRule="auto"/>
              <w:ind w:firstLine="420" w:firstLineChars="200"/>
              <w:rPr>
                <w:color w:val="auto"/>
                <w:sz w:val="21"/>
                <w:szCs w:val="21"/>
              </w:rPr>
            </w:pPr>
            <w:r>
              <w:rPr>
                <w:color w:val="auto"/>
                <w:sz w:val="21"/>
                <w:szCs w:val="21"/>
              </w:rPr>
              <w:t>2）运行期车辆需按照规定线路行驶，不得压占破坏植被。</w:t>
            </w:r>
          </w:p>
          <w:p>
            <w:pPr>
              <w:bidi w:val="0"/>
              <w:spacing w:line="240" w:lineRule="auto"/>
              <w:ind w:firstLine="420" w:firstLineChars="200"/>
              <w:rPr>
                <w:color w:val="auto"/>
                <w:sz w:val="21"/>
                <w:szCs w:val="21"/>
              </w:rPr>
            </w:pPr>
            <w:r>
              <w:rPr>
                <w:color w:val="auto"/>
                <w:sz w:val="21"/>
                <w:szCs w:val="21"/>
              </w:rPr>
              <w:t>（2）对动物保护措施</w:t>
            </w:r>
          </w:p>
          <w:p>
            <w:pPr>
              <w:bidi w:val="0"/>
              <w:spacing w:line="240" w:lineRule="auto"/>
              <w:ind w:firstLine="420" w:firstLineChars="200"/>
              <w:rPr>
                <w:rFonts w:hint="default"/>
                <w:color w:val="auto"/>
                <w:szCs w:val="21"/>
                <w:lang w:val="en-US" w:eastAsia="zh-CN"/>
              </w:rPr>
            </w:pPr>
            <w:r>
              <w:rPr>
                <w:color w:val="auto"/>
                <w:sz w:val="21"/>
                <w:szCs w:val="21"/>
              </w:rPr>
              <w:t>运营期设备检修和维护期间，任何工作人员均不得猎捕、杀害野生动物。</w:t>
            </w:r>
          </w:p>
        </w:tc>
        <w:tc>
          <w:tcPr>
            <w:tcW w:w="2451" w:type="pct"/>
            <w:gridSpan w:val="2"/>
            <w:vAlign w:val="center"/>
          </w:tcPr>
          <w:p>
            <w:pPr>
              <w:bidi w:val="0"/>
              <w:spacing w:line="240" w:lineRule="auto"/>
              <w:ind w:firstLine="420" w:firstLineChars="200"/>
              <w:rPr>
                <w:rFonts w:hint="default"/>
                <w:color w:val="auto"/>
                <w:sz w:val="21"/>
                <w:szCs w:val="21"/>
                <w:lang w:val="en-US" w:eastAsia="zh-CN"/>
              </w:rPr>
            </w:pPr>
            <w:r>
              <w:rPr>
                <w:rFonts w:hint="default"/>
                <w:color w:val="auto"/>
                <w:sz w:val="21"/>
                <w:szCs w:val="21"/>
                <w:lang w:val="en-US" w:eastAsia="zh-CN"/>
              </w:rPr>
              <w:t>已落实。</w:t>
            </w:r>
            <w:r>
              <w:rPr>
                <w:color w:val="auto"/>
                <w:sz w:val="21"/>
                <w:szCs w:val="21"/>
              </w:rPr>
              <w:t>跟进施工期生态措施实施效果，对临时占地采取</w:t>
            </w:r>
            <w:r>
              <w:rPr>
                <w:rFonts w:hint="eastAsia"/>
                <w:color w:val="auto"/>
                <w:sz w:val="21"/>
                <w:szCs w:val="21"/>
                <w:lang w:val="en-US" w:eastAsia="zh-CN"/>
              </w:rPr>
              <w:t>了</w:t>
            </w:r>
            <w:r>
              <w:rPr>
                <w:color w:val="auto"/>
                <w:sz w:val="21"/>
                <w:szCs w:val="21"/>
              </w:rPr>
              <w:t>土地整治等措施恢复原地貌。运行期车辆需按照规定线路行驶，不压占破坏植被。运营期设备检修和维护期间，任何工作人员均不得猎捕、杀害野生动物。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jc w:val="center"/>
        </w:trPr>
        <w:tc>
          <w:tcPr>
            <w:tcW w:w="102" w:type="pct"/>
            <w:vMerge w:val="continue"/>
            <w:textDirection w:val="tbRlV"/>
            <w:vAlign w:val="center"/>
          </w:tcPr>
          <w:p>
            <w:pPr>
              <w:bidi w:val="0"/>
              <w:spacing w:line="240" w:lineRule="auto"/>
              <w:jc w:val="center"/>
              <w:rPr>
                <w:color w:val="auto"/>
                <w:sz w:val="21"/>
                <w:szCs w:val="21"/>
              </w:rPr>
            </w:pPr>
          </w:p>
        </w:tc>
        <w:tc>
          <w:tcPr>
            <w:tcW w:w="202" w:type="pct"/>
            <w:vMerge w:val="restart"/>
            <w:vAlign w:val="center"/>
          </w:tcPr>
          <w:p>
            <w:pPr>
              <w:bidi w:val="0"/>
              <w:spacing w:line="240" w:lineRule="auto"/>
              <w:jc w:val="center"/>
              <w:rPr>
                <w:color w:val="auto"/>
                <w:sz w:val="21"/>
                <w:szCs w:val="21"/>
              </w:rPr>
            </w:pPr>
            <w:r>
              <w:rPr>
                <w:color w:val="auto"/>
                <w:sz w:val="21"/>
                <w:szCs w:val="21"/>
              </w:rPr>
              <w:t>污染影响</w:t>
            </w:r>
          </w:p>
        </w:tc>
        <w:tc>
          <w:tcPr>
            <w:tcW w:w="242" w:type="pc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电磁环境</w:t>
            </w:r>
          </w:p>
        </w:tc>
        <w:tc>
          <w:tcPr>
            <w:tcW w:w="1999" w:type="pct"/>
            <w:vAlign w:val="center"/>
          </w:tcPr>
          <w:p>
            <w:pPr>
              <w:bidi w:val="0"/>
              <w:spacing w:line="240" w:lineRule="auto"/>
              <w:ind w:firstLine="422" w:firstLineChars="200"/>
              <w:jc w:val="both"/>
              <w:rPr>
                <w:color w:val="auto"/>
                <w:sz w:val="21"/>
                <w:szCs w:val="21"/>
              </w:rPr>
            </w:pPr>
            <w:r>
              <w:rPr>
                <w:rFonts w:hint="eastAsia"/>
                <w:b/>
                <w:bCs/>
                <w:color w:val="auto"/>
                <w:sz w:val="21"/>
                <w:szCs w:val="21"/>
                <w:lang w:val="en-US" w:eastAsia="zh-CN"/>
              </w:rPr>
              <w:t>1、</w:t>
            </w:r>
            <w:r>
              <w:rPr>
                <w:b/>
                <w:bCs/>
                <w:color w:val="auto"/>
                <w:sz w:val="21"/>
                <w:szCs w:val="21"/>
              </w:rPr>
              <w:t>110kV北部滩升压站电磁环境保护措施</w:t>
            </w:r>
          </w:p>
          <w:p>
            <w:pPr>
              <w:bidi w:val="0"/>
              <w:spacing w:line="240" w:lineRule="auto"/>
              <w:ind w:firstLine="420" w:firstLineChars="200"/>
              <w:jc w:val="both"/>
              <w:rPr>
                <w:color w:val="auto"/>
                <w:sz w:val="21"/>
                <w:szCs w:val="21"/>
              </w:rPr>
            </w:pPr>
            <w:r>
              <w:rPr>
                <w:color w:val="auto"/>
                <w:sz w:val="21"/>
                <w:szCs w:val="21"/>
              </w:rPr>
              <w:t>（1）主变及电气设备合理布局，保证导体和电气设备安全距离，降低升压站对周围电磁环境的影响；设置防雷接地保护装置，降低静电感应的影响。</w:t>
            </w:r>
          </w:p>
          <w:p>
            <w:pPr>
              <w:bidi w:val="0"/>
              <w:spacing w:line="240" w:lineRule="auto"/>
              <w:ind w:firstLine="420" w:firstLineChars="200"/>
              <w:jc w:val="both"/>
              <w:rPr>
                <w:color w:val="auto"/>
                <w:sz w:val="21"/>
                <w:szCs w:val="21"/>
              </w:rPr>
            </w:pPr>
            <w:r>
              <w:rPr>
                <w:color w:val="auto"/>
                <w:sz w:val="21"/>
                <w:szCs w:val="21"/>
              </w:rPr>
              <w:t>（2）做好设备维护和运行管理，加强巡检。</w:t>
            </w:r>
          </w:p>
          <w:p>
            <w:pPr>
              <w:bidi w:val="0"/>
              <w:spacing w:line="240" w:lineRule="auto"/>
              <w:ind w:firstLine="420" w:firstLineChars="200"/>
              <w:jc w:val="both"/>
              <w:rPr>
                <w:color w:val="auto"/>
                <w:sz w:val="21"/>
                <w:szCs w:val="21"/>
              </w:rPr>
            </w:pPr>
            <w:r>
              <w:rPr>
                <w:color w:val="auto"/>
                <w:sz w:val="21"/>
                <w:szCs w:val="21"/>
              </w:rPr>
              <w:t>（3）在 110kV 北部滩升压站周围设立警示标识，加强对当地群众的环境宣传工作</w:t>
            </w:r>
            <w:r>
              <w:rPr>
                <w:rFonts w:hint="eastAsia"/>
                <w:color w:val="auto"/>
                <w:sz w:val="21"/>
                <w:szCs w:val="21"/>
                <w:lang w:eastAsia="zh-CN"/>
              </w:rPr>
              <w:t>，</w:t>
            </w:r>
            <w:r>
              <w:rPr>
                <w:color w:val="auto"/>
                <w:sz w:val="21"/>
                <w:szCs w:val="21"/>
              </w:rPr>
              <w:t>帮助群众建立环境保护意识和自我安全防护意识。</w:t>
            </w:r>
          </w:p>
          <w:p>
            <w:pPr>
              <w:bidi w:val="0"/>
              <w:spacing w:line="240" w:lineRule="auto"/>
              <w:ind w:firstLine="422" w:firstLineChars="200"/>
              <w:jc w:val="both"/>
              <w:rPr>
                <w:b/>
                <w:bCs/>
                <w:color w:val="auto"/>
                <w:sz w:val="21"/>
                <w:szCs w:val="21"/>
              </w:rPr>
            </w:pPr>
            <w:r>
              <w:rPr>
                <w:rFonts w:hint="eastAsia"/>
                <w:b/>
                <w:bCs/>
                <w:color w:val="auto"/>
                <w:sz w:val="21"/>
                <w:szCs w:val="21"/>
                <w:lang w:val="en-US" w:eastAsia="zh-CN"/>
              </w:rPr>
              <w:t>2、</w:t>
            </w:r>
            <w:r>
              <w:rPr>
                <w:b/>
                <w:bCs/>
                <w:color w:val="auto"/>
                <w:sz w:val="21"/>
                <w:szCs w:val="21"/>
              </w:rPr>
              <w:t>输电线路电磁环境保护措施</w:t>
            </w:r>
          </w:p>
          <w:p>
            <w:pPr>
              <w:bidi w:val="0"/>
              <w:spacing w:line="240" w:lineRule="auto"/>
              <w:ind w:firstLine="420" w:firstLineChars="200"/>
              <w:jc w:val="both"/>
              <w:rPr>
                <w:color w:val="auto"/>
                <w:sz w:val="21"/>
                <w:szCs w:val="21"/>
              </w:rPr>
            </w:pPr>
            <w:r>
              <w:rPr>
                <w:color w:val="auto"/>
                <w:sz w:val="21"/>
                <w:szCs w:val="21"/>
              </w:rPr>
              <w:t>（1）输电线路铁塔设置各种警告、防护标识，避免意外事故发生。</w:t>
            </w:r>
          </w:p>
          <w:p>
            <w:pPr>
              <w:bidi w:val="0"/>
              <w:spacing w:line="240" w:lineRule="auto"/>
              <w:ind w:firstLine="420" w:firstLineChars="200"/>
              <w:jc w:val="both"/>
              <w:rPr>
                <w:color w:val="auto"/>
                <w:sz w:val="21"/>
                <w:szCs w:val="21"/>
              </w:rPr>
            </w:pPr>
            <w:r>
              <w:rPr>
                <w:color w:val="auto"/>
                <w:sz w:val="21"/>
                <w:szCs w:val="21"/>
              </w:rPr>
              <w:t>（2）输电线路钻越1100kV吉泉线、钻越800kV哈郑线、钻越800kV酒湖线，线路交叉处无电磁环境保护目标，建设单位后期需加强巡查，避免居民在线路走廊范围内建造房屋等建筑物。</w:t>
            </w:r>
          </w:p>
          <w:p>
            <w:pPr>
              <w:bidi w:val="0"/>
              <w:spacing w:line="240" w:lineRule="auto"/>
              <w:ind w:firstLine="420" w:firstLineChars="200"/>
              <w:jc w:val="both"/>
              <w:rPr>
                <w:rFonts w:hint="eastAsia" w:eastAsia="宋体"/>
                <w:color w:val="auto"/>
                <w:szCs w:val="21"/>
                <w:lang w:val="en-US" w:eastAsia="zh-CN"/>
              </w:rPr>
            </w:pPr>
            <w:r>
              <w:rPr>
                <w:color w:val="auto"/>
                <w:sz w:val="21"/>
                <w:szCs w:val="21"/>
              </w:rPr>
              <w:t>（3）线路经过非居民区时，为确保线下地面1.5m高度处的工频电场在耕地、园地、牧草地、畜禽饲养地、养殖水面、道路等场所满足10kV/m的控制限值要求，环境中工频电场满足4000V/m的控制限值要求，本项目110kV双回输电线路导线最低对地面垂直距离不得低于6m。</w:t>
            </w:r>
          </w:p>
        </w:tc>
        <w:tc>
          <w:tcPr>
            <w:tcW w:w="224" w:type="pc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电磁环境</w:t>
            </w:r>
          </w:p>
        </w:tc>
        <w:tc>
          <w:tcPr>
            <w:tcW w:w="2226" w:type="pct"/>
            <w:vAlign w:val="center"/>
          </w:tcPr>
          <w:p>
            <w:pPr>
              <w:bidi w:val="0"/>
              <w:spacing w:line="240" w:lineRule="auto"/>
              <w:ind w:firstLine="420" w:firstLineChars="200"/>
              <w:jc w:val="both"/>
              <w:rPr>
                <w:rFonts w:hint="default"/>
                <w:color w:val="auto"/>
                <w:sz w:val="21"/>
                <w:szCs w:val="21"/>
                <w:lang w:val="en-US" w:eastAsia="zh-CN"/>
              </w:rPr>
            </w:pPr>
            <w:r>
              <w:rPr>
                <w:rFonts w:hint="default"/>
                <w:color w:val="auto"/>
                <w:sz w:val="21"/>
                <w:szCs w:val="21"/>
                <w:lang w:val="en-US" w:eastAsia="zh-CN"/>
              </w:rPr>
              <w:t>已落实。</w:t>
            </w:r>
          </w:p>
          <w:p>
            <w:pPr>
              <w:bidi w:val="0"/>
              <w:spacing w:line="240" w:lineRule="auto"/>
              <w:ind w:firstLine="422" w:firstLineChars="200"/>
              <w:jc w:val="both"/>
              <w:rPr>
                <w:color w:val="auto"/>
                <w:sz w:val="21"/>
                <w:szCs w:val="21"/>
              </w:rPr>
            </w:pPr>
            <w:r>
              <w:rPr>
                <w:rFonts w:hint="eastAsia"/>
                <w:b/>
                <w:bCs/>
                <w:color w:val="auto"/>
                <w:sz w:val="21"/>
                <w:szCs w:val="21"/>
                <w:lang w:val="en-US" w:eastAsia="zh-CN"/>
              </w:rPr>
              <w:t>1、</w:t>
            </w:r>
            <w:r>
              <w:rPr>
                <w:b/>
                <w:bCs/>
                <w:color w:val="auto"/>
                <w:sz w:val="21"/>
                <w:szCs w:val="21"/>
              </w:rPr>
              <w:t>110kV北部滩升压站电磁环境保护措施</w:t>
            </w:r>
          </w:p>
          <w:p>
            <w:pPr>
              <w:bidi w:val="0"/>
              <w:spacing w:line="240" w:lineRule="auto"/>
              <w:ind w:firstLine="420" w:firstLineChars="200"/>
              <w:jc w:val="both"/>
              <w:rPr>
                <w:color w:val="auto"/>
                <w:sz w:val="21"/>
                <w:szCs w:val="21"/>
              </w:rPr>
            </w:pPr>
            <w:r>
              <w:rPr>
                <w:color w:val="auto"/>
                <w:sz w:val="21"/>
                <w:szCs w:val="21"/>
              </w:rPr>
              <w:t>（1）主变及电气设备合理布局，保证</w:t>
            </w:r>
            <w:r>
              <w:rPr>
                <w:rFonts w:hint="eastAsia"/>
                <w:color w:val="auto"/>
                <w:sz w:val="21"/>
                <w:szCs w:val="21"/>
                <w:lang w:val="en-US" w:eastAsia="zh-CN"/>
              </w:rPr>
              <w:t>了</w:t>
            </w:r>
            <w:r>
              <w:rPr>
                <w:color w:val="auto"/>
                <w:sz w:val="21"/>
                <w:szCs w:val="21"/>
              </w:rPr>
              <w:t>导体和电气设备安全距离，降低</w:t>
            </w:r>
            <w:r>
              <w:rPr>
                <w:rFonts w:hint="eastAsia"/>
                <w:color w:val="auto"/>
                <w:sz w:val="21"/>
                <w:szCs w:val="21"/>
                <w:lang w:val="en-US" w:eastAsia="zh-CN"/>
              </w:rPr>
              <w:t>了</w:t>
            </w:r>
            <w:r>
              <w:rPr>
                <w:color w:val="auto"/>
                <w:sz w:val="21"/>
                <w:szCs w:val="21"/>
              </w:rPr>
              <w:t>升压站对周围电磁环境的影响；设置</w:t>
            </w:r>
            <w:r>
              <w:rPr>
                <w:rFonts w:hint="eastAsia"/>
                <w:color w:val="auto"/>
                <w:sz w:val="21"/>
                <w:szCs w:val="21"/>
                <w:lang w:val="en-US" w:eastAsia="zh-CN"/>
              </w:rPr>
              <w:t>了</w:t>
            </w:r>
            <w:r>
              <w:rPr>
                <w:color w:val="auto"/>
                <w:sz w:val="21"/>
                <w:szCs w:val="21"/>
              </w:rPr>
              <w:t>防雷接地保护装置，降低静电感应的影响。</w:t>
            </w:r>
          </w:p>
          <w:p>
            <w:pPr>
              <w:bidi w:val="0"/>
              <w:spacing w:line="240" w:lineRule="auto"/>
              <w:ind w:firstLine="420" w:firstLineChars="200"/>
              <w:jc w:val="both"/>
              <w:rPr>
                <w:color w:val="auto"/>
                <w:sz w:val="21"/>
                <w:szCs w:val="21"/>
              </w:rPr>
            </w:pPr>
            <w:r>
              <w:rPr>
                <w:color w:val="auto"/>
                <w:sz w:val="21"/>
                <w:szCs w:val="21"/>
              </w:rPr>
              <w:t>（2）做好设备维护和运行管理，加强巡检。</w:t>
            </w:r>
          </w:p>
          <w:p>
            <w:pPr>
              <w:bidi w:val="0"/>
              <w:spacing w:line="240" w:lineRule="auto"/>
              <w:ind w:firstLine="420" w:firstLineChars="200"/>
              <w:jc w:val="both"/>
              <w:rPr>
                <w:color w:val="auto"/>
                <w:sz w:val="21"/>
                <w:szCs w:val="21"/>
              </w:rPr>
            </w:pPr>
            <w:r>
              <w:rPr>
                <w:color w:val="auto"/>
                <w:sz w:val="21"/>
                <w:szCs w:val="21"/>
              </w:rPr>
              <w:t>（3）在110kV北部滩升压站周围设立</w:t>
            </w:r>
            <w:r>
              <w:rPr>
                <w:rFonts w:hint="eastAsia"/>
                <w:color w:val="auto"/>
                <w:sz w:val="21"/>
                <w:szCs w:val="21"/>
                <w:lang w:val="en-US" w:eastAsia="zh-CN"/>
              </w:rPr>
              <w:t>了</w:t>
            </w:r>
            <w:r>
              <w:rPr>
                <w:color w:val="auto"/>
                <w:sz w:val="21"/>
                <w:szCs w:val="21"/>
              </w:rPr>
              <w:t>警示标识，加强对当地群众的环境宣传工作</w:t>
            </w:r>
            <w:r>
              <w:rPr>
                <w:rFonts w:hint="eastAsia"/>
                <w:color w:val="auto"/>
                <w:sz w:val="21"/>
                <w:szCs w:val="21"/>
                <w:lang w:eastAsia="zh-CN"/>
              </w:rPr>
              <w:t>，</w:t>
            </w:r>
            <w:r>
              <w:rPr>
                <w:color w:val="auto"/>
                <w:sz w:val="21"/>
                <w:szCs w:val="21"/>
              </w:rPr>
              <w:t>帮助群众建立环境保护意识和自我安全防护意识。</w:t>
            </w:r>
          </w:p>
          <w:p>
            <w:pPr>
              <w:bidi w:val="0"/>
              <w:spacing w:line="240" w:lineRule="auto"/>
              <w:ind w:firstLine="422" w:firstLineChars="200"/>
              <w:jc w:val="both"/>
              <w:rPr>
                <w:b/>
                <w:bCs/>
                <w:color w:val="auto"/>
                <w:sz w:val="21"/>
                <w:szCs w:val="21"/>
              </w:rPr>
            </w:pPr>
            <w:r>
              <w:rPr>
                <w:rFonts w:hint="eastAsia"/>
                <w:b/>
                <w:bCs/>
                <w:color w:val="auto"/>
                <w:sz w:val="21"/>
                <w:szCs w:val="21"/>
                <w:lang w:val="en-US" w:eastAsia="zh-CN"/>
              </w:rPr>
              <w:t>2、</w:t>
            </w:r>
            <w:r>
              <w:rPr>
                <w:b/>
                <w:bCs/>
                <w:color w:val="auto"/>
                <w:sz w:val="21"/>
                <w:szCs w:val="21"/>
              </w:rPr>
              <w:t>输电线路电磁环境保护措施</w:t>
            </w:r>
          </w:p>
          <w:p>
            <w:pPr>
              <w:bidi w:val="0"/>
              <w:spacing w:line="240" w:lineRule="auto"/>
              <w:ind w:firstLine="420" w:firstLineChars="200"/>
              <w:jc w:val="both"/>
              <w:rPr>
                <w:color w:val="auto"/>
                <w:sz w:val="21"/>
                <w:szCs w:val="21"/>
              </w:rPr>
            </w:pPr>
            <w:r>
              <w:rPr>
                <w:color w:val="auto"/>
                <w:sz w:val="21"/>
                <w:szCs w:val="21"/>
              </w:rPr>
              <w:t>（1）输电线路铁塔设置</w:t>
            </w:r>
            <w:r>
              <w:rPr>
                <w:rFonts w:hint="eastAsia"/>
                <w:color w:val="auto"/>
                <w:sz w:val="21"/>
                <w:szCs w:val="21"/>
                <w:lang w:val="en-US" w:eastAsia="zh-CN"/>
              </w:rPr>
              <w:t>了</w:t>
            </w:r>
            <w:r>
              <w:rPr>
                <w:color w:val="auto"/>
                <w:sz w:val="21"/>
                <w:szCs w:val="21"/>
              </w:rPr>
              <w:t>警告、防护标识，避免意外事故发生。</w:t>
            </w:r>
          </w:p>
          <w:p>
            <w:pPr>
              <w:bidi w:val="0"/>
              <w:spacing w:line="240" w:lineRule="auto"/>
              <w:ind w:firstLine="420" w:firstLineChars="200"/>
              <w:jc w:val="both"/>
              <w:rPr>
                <w:color w:val="auto"/>
                <w:sz w:val="21"/>
                <w:szCs w:val="21"/>
              </w:rPr>
            </w:pPr>
            <w:r>
              <w:rPr>
                <w:color w:val="auto"/>
                <w:sz w:val="21"/>
                <w:szCs w:val="21"/>
              </w:rPr>
              <w:t>（2）输电线路钻越1100kV吉泉线、钻越800kV哈郑线、钻越800kV酒湖线，线路交叉处无电磁环境保护目标，建设单位加强巡查，避免居民在线路走廊范围内建造房屋等建筑物。</w:t>
            </w:r>
          </w:p>
          <w:p>
            <w:pPr>
              <w:bidi w:val="0"/>
              <w:spacing w:line="240" w:lineRule="auto"/>
              <w:ind w:firstLine="420" w:firstLineChars="200"/>
              <w:jc w:val="both"/>
              <w:rPr>
                <w:rFonts w:hint="default"/>
                <w:color w:val="auto"/>
                <w:sz w:val="21"/>
                <w:szCs w:val="21"/>
                <w:lang w:val="en-US" w:eastAsia="zh-CN"/>
              </w:rPr>
            </w:pPr>
            <w:r>
              <w:rPr>
                <w:color w:val="auto"/>
                <w:sz w:val="21"/>
                <w:szCs w:val="21"/>
              </w:rPr>
              <w:t>（3）线路经过非居民区时，本项目110kV双回输电线路导线最低对地面垂直距离不低于6m。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jc w:val="center"/>
        </w:trPr>
        <w:tc>
          <w:tcPr>
            <w:tcW w:w="102" w:type="pct"/>
            <w:vMerge w:val="continue"/>
            <w:textDirection w:val="tbRlV"/>
            <w:vAlign w:val="center"/>
          </w:tcPr>
          <w:p>
            <w:pPr>
              <w:bidi w:val="0"/>
              <w:spacing w:line="240" w:lineRule="auto"/>
              <w:jc w:val="both"/>
              <w:rPr>
                <w:color w:val="auto"/>
              </w:rPr>
            </w:pPr>
          </w:p>
        </w:tc>
        <w:tc>
          <w:tcPr>
            <w:tcW w:w="202" w:type="pct"/>
            <w:vMerge w:val="continue"/>
            <w:vAlign w:val="center"/>
          </w:tcPr>
          <w:p>
            <w:pPr>
              <w:bidi w:val="0"/>
              <w:spacing w:line="240" w:lineRule="auto"/>
              <w:jc w:val="both"/>
              <w:rPr>
                <w:color w:val="auto"/>
              </w:rPr>
            </w:pPr>
          </w:p>
        </w:tc>
        <w:tc>
          <w:tcPr>
            <w:tcW w:w="242"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大气环境</w:t>
            </w:r>
          </w:p>
        </w:tc>
        <w:tc>
          <w:tcPr>
            <w:tcW w:w="1999" w:type="pct"/>
            <w:vAlign w:val="center"/>
          </w:tcPr>
          <w:p>
            <w:pPr>
              <w:bidi w:val="0"/>
              <w:spacing w:line="240" w:lineRule="auto"/>
              <w:ind w:firstLine="420" w:firstLineChars="200"/>
              <w:rPr>
                <w:rFonts w:hint="eastAsia"/>
                <w:color w:val="auto"/>
                <w:szCs w:val="21"/>
                <w:lang w:val="en-US" w:eastAsia="zh-CN"/>
              </w:rPr>
            </w:pPr>
            <w:r>
              <w:rPr>
                <w:color w:val="auto"/>
                <w:sz w:val="21"/>
                <w:szCs w:val="21"/>
              </w:rPr>
              <w:t>食堂油烟经油烟净化装置（净化效率要求不低于60%）处理后排放，经处理后满足《饮食业油烟排放标准（试行）》（GB18483-2001）中小型规模最高允许排放浓度（2.0mg/m</w:t>
            </w:r>
            <w:r>
              <w:rPr>
                <w:color w:val="auto"/>
                <w:sz w:val="21"/>
                <w:szCs w:val="21"/>
                <w:vertAlign w:val="superscript"/>
              </w:rPr>
              <w:t>3</w:t>
            </w:r>
            <w:r>
              <w:rPr>
                <w:color w:val="auto"/>
                <w:sz w:val="21"/>
                <w:szCs w:val="21"/>
              </w:rPr>
              <w:t>）的要求。</w:t>
            </w:r>
          </w:p>
        </w:tc>
        <w:tc>
          <w:tcPr>
            <w:tcW w:w="224"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大气环境</w:t>
            </w:r>
          </w:p>
        </w:tc>
        <w:tc>
          <w:tcPr>
            <w:tcW w:w="2226" w:type="pct"/>
            <w:vAlign w:val="center"/>
          </w:tcPr>
          <w:p>
            <w:pPr>
              <w:bidi w:val="0"/>
              <w:spacing w:line="240" w:lineRule="auto"/>
              <w:ind w:firstLine="420" w:firstLineChars="200"/>
              <w:rPr>
                <w:rFonts w:hint="eastAsia"/>
                <w:color w:val="auto"/>
                <w:sz w:val="21"/>
                <w:szCs w:val="21"/>
                <w:lang w:val="en-US" w:eastAsia="zh-CN"/>
              </w:rPr>
            </w:pPr>
            <w:r>
              <w:rPr>
                <w:rFonts w:hint="default"/>
                <w:color w:val="auto"/>
                <w:sz w:val="21"/>
                <w:szCs w:val="21"/>
                <w:lang w:val="en-US" w:eastAsia="zh-CN"/>
              </w:rPr>
              <w:t>已落实。</w:t>
            </w:r>
            <w:r>
              <w:rPr>
                <w:color w:val="auto"/>
                <w:sz w:val="21"/>
                <w:szCs w:val="21"/>
              </w:rPr>
              <w:t>食堂油烟经油烟净化装置（净化效率要求不低于60%）处理后排放，经处理后满足《饮食业油烟排放标准（试行）》（GB18483-2001）中小型规模最高允许排放浓度（2.0mg/m</w:t>
            </w:r>
            <w:r>
              <w:rPr>
                <w:color w:val="auto"/>
                <w:sz w:val="21"/>
                <w:szCs w:val="21"/>
                <w:vertAlign w:val="superscript"/>
              </w:rPr>
              <w:t>3</w:t>
            </w:r>
            <w:r>
              <w:rPr>
                <w:color w:val="auto"/>
                <w:sz w:val="21"/>
                <w:szCs w:val="21"/>
              </w:rPr>
              <w:t>）的要求。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jc w:val="center"/>
        </w:trPr>
        <w:tc>
          <w:tcPr>
            <w:tcW w:w="102" w:type="pct"/>
            <w:vMerge w:val="continue"/>
            <w:textDirection w:val="tbRlV"/>
            <w:vAlign w:val="center"/>
          </w:tcPr>
          <w:p>
            <w:pPr>
              <w:bidi w:val="0"/>
              <w:spacing w:line="240" w:lineRule="auto"/>
              <w:jc w:val="both"/>
              <w:rPr>
                <w:rFonts w:hint="eastAsia"/>
                <w:color w:val="auto"/>
                <w:sz w:val="21"/>
                <w:szCs w:val="21"/>
                <w:lang w:val="en-US" w:eastAsia="zh-CN"/>
              </w:rPr>
            </w:pPr>
          </w:p>
        </w:tc>
        <w:tc>
          <w:tcPr>
            <w:tcW w:w="202" w:type="pct"/>
            <w:vMerge w:val="continue"/>
            <w:vAlign w:val="center"/>
          </w:tcPr>
          <w:p>
            <w:pPr>
              <w:bidi w:val="0"/>
              <w:spacing w:line="240" w:lineRule="auto"/>
              <w:jc w:val="both"/>
              <w:rPr>
                <w:rFonts w:hint="eastAsia"/>
                <w:color w:val="auto"/>
                <w:sz w:val="21"/>
                <w:szCs w:val="21"/>
                <w:lang w:val="en-US" w:eastAsia="zh-CN"/>
              </w:rPr>
            </w:pPr>
          </w:p>
        </w:tc>
        <w:tc>
          <w:tcPr>
            <w:tcW w:w="242"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水环境</w:t>
            </w:r>
          </w:p>
        </w:tc>
        <w:tc>
          <w:tcPr>
            <w:tcW w:w="1999" w:type="pct"/>
            <w:vAlign w:val="center"/>
          </w:tcPr>
          <w:p>
            <w:pPr>
              <w:bidi w:val="0"/>
              <w:spacing w:line="240" w:lineRule="auto"/>
              <w:ind w:firstLine="420" w:firstLineChars="200"/>
              <w:rPr>
                <w:color w:val="auto"/>
                <w:sz w:val="21"/>
                <w:szCs w:val="21"/>
              </w:rPr>
            </w:pPr>
            <w:r>
              <w:rPr>
                <w:color w:val="auto"/>
                <w:sz w:val="21"/>
                <w:szCs w:val="21"/>
              </w:rPr>
              <w:t>本项目运营期产生的废水主要为生活污水。</w:t>
            </w:r>
          </w:p>
          <w:p>
            <w:pPr>
              <w:bidi w:val="0"/>
              <w:spacing w:line="240" w:lineRule="auto"/>
              <w:ind w:firstLine="420" w:firstLineChars="200"/>
              <w:rPr>
                <w:rFonts w:hint="eastAsia"/>
                <w:color w:val="auto"/>
                <w:szCs w:val="21"/>
                <w:lang w:val="en-US" w:eastAsia="zh-CN"/>
              </w:rPr>
            </w:pPr>
            <w:r>
              <w:rPr>
                <w:color w:val="auto"/>
                <w:sz w:val="21"/>
                <w:szCs w:val="21"/>
              </w:rPr>
              <w:t>餐饮废水经隔油池（1.0m</w:t>
            </w:r>
            <w:r>
              <w:rPr>
                <w:color w:val="auto"/>
                <w:sz w:val="21"/>
                <w:szCs w:val="21"/>
                <w:vertAlign w:val="superscript"/>
              </w:rPr>
              <w:t>3</w:t>
            </w:r>
            <w:r>
              <w:rPr>
                <w:color w:val="auto"/>
                <w:sz w:val="21"/>
                <w:szCs w:val="21"/>
              </w:rPr>
              <w:t>）处理后，与生活污水经地埋式一体化污水处理设施（1.0m</w:t>
            </w:r>
            <w:r>
              <w:rPr>
                <w:color w:val="auto"/>
                <w:sz w:val="21"/>
                <w:szCs w:val="21"/>
                <w:vertAlign w:val="superscript"/>
              </w:rPr>
              <w:t>3</w:t>
            </w:r>
            <w:r>
              <w:rPr>
                <w:color w:val="auto"/>
                <w:sz w:val="21"/>
                <w:szCs w:val="21"/>
              </w:rPr>
              <w:t>/d）处理后达到《城市污水再生利用城市杂用水水质》（GB/T 18920-2020）中表1城市绿化、道路清扫、消防、建筑施工限值后用于场区绿化、洒水降尘。</w:t>
            </w:r>
          </w:p>
        </w:tc>
        <w:tc>
          <w:tcPr>
            <w:tcW w:w="224"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水环境</w:t>
            </w:r>
          </w:p>
        </w:tc>
        <w:tc>
          <w:tcPr>
            <w:tcW w:w="2226" w:type="pct"/>
            <w:vAlign w:val="center"/>
          </w:tcPr>
          <w:p>
            <w:pPr>
              <w:bidi w:val="0"/>
              <w:spacing w:line="240" w:lineRule="auto"/>
              <w:ind w:firstLine="420" w:firstLineChars="200"/>
              <w:rPr>
                <w:rFonts w:hint="eastAsia"/>
                <w:color w:val="auto"/>
                <w:sz w:val="21"/>
                <w:szCs w:val="21"/>
                <w:lang w:val="en-US" w:eastAsia="zh-CN"/>
              </w:rPr>
            </w:pPr>
            <w:r>
              <w:rPr>
                <w:rFonts w:hint="default"/>
                <w:color w:val="auto"/>
                <w:sz w:val="21"/>
                <w:szCs w:val="21"/>
                <w:lang w:val="en-US" w:eastAsia="zh-CN"/>
              </w:rPr>
              <w:t>已落实。</w:t>
            </w:r>
            <w:r>
              <w:rPr>
                <w:color w:val="auto"/>
                <w:sz w:val="21"/>
                <w:szCs w:val="21"/>
              </w:rPr>
              <w:t>本项目餐饮废水经隔油池（1.0m</w:t>
            </w:r>
            <w:r>
              <w:rPr>
                <w:color w:val="auto"/>
                <w:sz w:val="21"/>
                <w:szCs w:val="21"/>
                <w:vertAlign w:val="superscript"/>
              </w:rPr>
              <w:t>3</w:t>
            </w:r>
            <w:r>
              <w:rPr>
                <w:color w:val="auto"/>
                <w:sz w:val="21"/>
                <w:szCs w:val="21"/>
              </w:rPr>
              <w:t>）处理后，与生活污水经地埋式一体化污水处理设施（</w:t>
            </w:r>
            <w:r>
              <w:rPr>
                <w:rFonts w:hint="eastAsia"/>
                <w:color w:val="auto"/>
                <w:sz w:val="21"/>
                <w:szCs w:val="21"/>
                <w:lang w:val="en-US" w:eastAsia="zh-CN"/>
              </w:rPr>
              <w:t>20</w:t>
            </w:r>
            <w:r>
              <w:rPr>
                <w:color w:val="auto"/>
                <w:sz w:val="21"/>
                <w:szCs w:val="21"/>
              </w:rPr>
              <w:t>m</w:t>
            </w:r>
            <w:r>
              <w:rPr>
                <w:color w:val="auto"/>
                <w:sz w:val="21"/>
                <w:szCs w:val="21"/>
                <w:vertAlign w:val="superscript"/>
              </w:rPr>
              <w:t>3</w:t>
            </w:r>
            <w:r>
              <w:rPr>
                <w:color w:val="auto"/>
                <w:sz w:val="21"/>
                <w:szCs w:val="21"/>
              </w:rPr>
              <w:t>/d）处理后达到《城市污水再生利用城市杂用水水质》（GB/T 18920-2020）中表1城市绿化、道路清扫、消防、建筑施工限值后用于场区绿化、洒水降尘。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jc w:val="center"/>
        </w:trPr>
        <w:tc>
          <w:tcPr>
            <w:tcW w:w="102" w:type="pct"/>
            <w:vMerge w:val="continue"/>
            <w:textDirection w:val="tbRlV"/>
            <w:vAlign w:val="center"/>
          </w:tcPr>
          <w:p>
            <w:pPr>
              <w:bidi w:val="0"/>
              <w:spacing w:line="240" w:lineRule="auto"/>
              <w:jc w:val="both"/>
              <w:rPr>
                <w:rFonts w:hint="eastAsia"/>
                <w:color w:val="auto"/>
                <w:sz w:val="21"/>
                <w:szCs w:val="21"/>
                <w:lang w:val="en-US" w:eastAsia="zh-CN"/>
              </w:rPr>
            </w:pPr>
          </w:p>
        </w:tc>
        <w:tc>
          <w:tcPr>
            <w:tcW w:w="202" w:type="pct"/>
            <w:vMerge w:val="continue"/>
            <w:vAlign w:val="center"/>
          </w:tcPr>
          <w:p>
            <w:pPr>
              <w:bidi w:val="0"/>
              <w:spacing w:line="240" w:lineRule="auto"/>
              <w:jc w:val="both"/>
              <w:rPr>
                <w:rFonts w:hint="eastAsia"/>
                <w:color w:val="auto"/>
                <w:sz w:val="21"/>
                <w:szCs w:val="21"/>
                <w:lang w:val="en-US" w:eastAsia="zh-CN"/>
              </w:rPr>
            </w:pPr>
          </w:p>
        </w:tc>
        <w:tc>
          <w:tcPr>
            <w:tcW w:w="242"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声环境</w:t>
            </w:r>
          </w:p>
        </w:tc>
        <w:tc>
          <w:tcPr>
            <w:tcW w:w="1999" w:type="pct"/>
            <w:vAlign w:val="center"/>
          </w:tcPr>
          <w:p>
            <w:pPr>
              <w:bidi w:val="0"/>
              <w:spacing w:line="240" w:lineRule="auto"/>
              <w:ind w:firstLine="420" w:firstLineChars="200"/>
              <w:rPr>
                <w:color w:val="auto"/>
                <w:sz w:val="21"/>
                <w:szCs w:val="21"/>
              </w:rPr>
            </w:pPr>
            <w:r>
              <w:rPr>
                <w:color w:val="auto"/>
                <w:sz w:val="21"/>
                <w:szCs w:val="21"/>
              </w:rPr>
              <w:t>本工程拟采取的噪声污染防治措施如下：</w:t>
            </w:r>
          </w:p>
          <w:p>
            <w:pPr>
              <w:bidi w:val="0"/>
              <w:spacing w:line="240" w:lineRule="auto"/>
              <w:ind w:firstLine="420" w:firstLineChars="200"/>
              <w:rPr>
                <w:color w:val="auto"/>
                <w:sz w:val="21"/>
                <w:szCs w:val="21"/>
              </w:rPr>
            </w:pPr>
            <w:r>
              <w:rPr>
                <w:color w:val="auto"/>
                <w:sz w:val="21"/>
                <w:szCs w:val="21"/>
              </w:rPr>
              <w:t>（1）主变设备选型时，尽量选择低噪声主变，加强设备的运行管理，减少因设备陈旧产生的噪声。</w:t>
            </w:r>
          </w:p>
          <w:p>
            <w:pPr>
              <w:bidi w:val="0"/>
              <w:spacing w:line="240" w:lineRule="auto"/>
              <w:ind w:firstLine="420" w:firstLineChars="200"/>
              <w:rPr>
                <w:color w:val="auto"/>
                <w:sz w:val="21"/>
                <w:szCs w:val="21"/>
              </w:rPr>
            </w:pPr>
            <w:r>
              <w:rPr>
                <w:color w:val="auto"/>
                <w:sz w:val="21"/>
                <w:szCs w:val="21"/>
              </w:rPr>
              <w:t>（2）做好变压器基础减震措施。</w:t>
            </w:r>
          </w:p>
          <w:p>
            <w:pPr>
              <w:bidi w:val="0"/>
              <w:spacing w:line="240" w:lineRule="auto"/>
              <w:ind w:firstLine="420" w:firstLineChars="200"/>
              <w:rPr>
                <w:rFonts w:hint="eastAsia"/>
                <w:color w:val="auto"/>
                <w:szCs w:val="21"/>
                <w:lang w:val="en-US" w:eastAsia="zh-CN"/>
              </w:rPr>
            </w:pPr>
            <w:r>
              <w:rPr>
                <w:color w:val="auto"/>
                <w:sz w:val="21"/>
                <w:szCs w:val="21"/>
              </w:rPr>
              <w:t>经采取以上措施，110kV北部滩升压站满足《工业企业厂界环境噪声排放标准》（GB12348-2008）的2类标准，对周围环境影响较小，防治措施可行。</w:t>
            </w:r>
          </w:p>
        </w:tc>
        <w:tc>
          <w:tcPr>
            <w:tcW w:w="224"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声环境</w:t>
            </w:r>
          </w:p>
        </w:tc>
        <w:tc>
          <w:tcPr>
            <w:tcW w:w="2226" w:type="pct"/>
            <w:vAlign w:val="center"/>
          </w:tcPr>
          <w:p>
            <w:pPr>
              <w:bidi w:val="0"/>
              <w:spacing w:line="240" w:lineRule="auto"/>
              <w:ind w:firstLine="420" w:firstLineChars="200"/>
              <w:rPr>
                <w:color w:val="auto"/>
                <w:sz w:val="21"/>
                <w:szCs w:val="21"/>
              </w:rPr>
            </w:pPr>
            <w:r>
              <w:rPr>
                <w:rFonts w:hint="default"/>
                <w:color w:val="auto"/>
                <w:sz w:val="21"/>
                <w:szCs w:val="21"/>
                <w:lang w:val="en-US" w:eastAsia="zh-CN"/>
              </w:rPr>
              <w:t>已落实。</w:t>
            </w:r>
            <w:r>
              <w:rPr>
                <w:color w:val="auto"/>
                <w:sz w:val="21"/>
                <w:szCs w:val="21"/>
              </w:rPr>
              <w:t>主变设备选型时，选择低噪声主变，加强设备的运行管理，减少</w:t>
            </w:r>
            <w:r>
              <w:rPr>
                <w:rFonts w:hint="eastAsia"/>
                <w:color w:val="auto"/>
                <w:sz w:val="21"/>
                <w:szCs w:val="21"/>
                <w:lang w:val="en-US" w:eastAsia="zh-CN"/>
              </w:rPr>
              <w:t>了</w:t>
            </w:r>
            <w:r>
              <w:rPr>
                <w:color w:val="auto"/>
                <w:sz w:val="21"/>
                <w:szCs w:val="21"/>
              </w:rPr>
              <w:t>因设备陈旧产生的噪声。做好变压器基础减震措施。</w:t>
            </w:r>
          </w:p>
          <w:p>
            <w:pPr>
              <w:bidi w:val="0"/>
              <w:spacing w:line="240" w:lineRule="auto"/>
              <w:ind w:firstLine="420" w:firstLineChars="200"/>
              <w:rPr>
                <w:rFonts w:hint="eastAsia"/>
                <w:color w:val="auto"/>
                <w:sz w:val="21"/>
                <w:szCs w:val="21"/>
                <w:lang w:val="en-US" w:eastAsia="zh-CN"/>
              </w:rPr>
            </w:pPr>
            <w:r>
              <w:rPr>
                <w:color w:val="auto"/>
                <w:sz w:val="21"/>
                <w:szCs w:val="21"/>
              </w:rPr>
              <w:t>经采取以上措施，110kV北部滩升压站满足《工业企业厂界环境噪声排放标准》（GB12348-2008）的2类标准，对周围环境影响较小，防治措施可行。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jc w:val="center"/>
        </w:trPr>
        <w:tc>
          <w:tcPr>
            <w:tcW w:w="102" w:type="pct"/>
            <w:vMerge w:val="continue"/>
            <w:textDirection w:val="tbRlV"/>
            <w:vAlign w:val="center"/>
          </w:tcPr>
          <w:p>
            <w:pPr>
              <w:bidi w:val="0"/>
              <w:spacing w:line="240" w:lineRule="auto"/>
              <w:jc w:val="both"/>
              <w:rPr>
                <w:rFonts w:hint="eastAsia"/>
                <w:color w:val="auto"/>
                <w:sz w:val="21"/>
                <w:szCs w:val="21"/>
                <w:lang w:val="en-US" w:eastAsia="zh-CN"/>
              </w:rPr>
            </w:pPr>
          </w:p>
        </w:tc>
        <w:tc>
          <w:tcPr>
            <w:tcW w:w="202" w:type="pct"/>
            <w:vMerge w:val="continue"/>
            <w:vAlign w:val="center"/>
          </w:tcPr>
          <w:p>
            <w:pPr>
              <w:bidi w:val="0"/>
              <w:spacing w:line="240" w:lineRule="auto"/>
              <w:jc w:val="both"/>
              <w:rPr>
                <w:rFonts w:hint="eastAsia"/>
                <w:color w:val="auto"/>
                <w:sz w:val="21"/>
                <w:szCs w:val="21"/>
                <w:lang w:val="en-US" w:eastAsia="zh-CN"/>
              </w:rPr>
            </w:pPr>
          </w:p>
        </w:tc>
        <w:tc>
          <w:tcPr>
            <w:tcW w:w="242"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固体废物</w:t>
            </w:r>
          </w:p>
        </w:tc>
        <w:tc>
          <w:tcPr>
            <w:tcW w:w="1999" w:type="pct"/>
            <w:vAlign w:val="center"/>
          </w:tcPr>
          <w:p>
            <w:pPr>
              <w:bidi w:val="0"/>
              <w:spacing w:line="240" w:lineRule="auto"/>
              <w:ind w:firstLine="420" w:firstLineChars="200"/>
              <w:rPr>
                <w:color w:val="auto"/>
                <w:sz w:val="21"/>
                <w:szCs w:val="21"/>
              </w:rPr>
            </w:pPr>
            <w:r>
              <w:rPr>
                <w:color w:val="auto"/>
                <w:sz w:val="21"/>
                <w:szCs w:val="21"/>
              </w:rPr>
              <w:t>本项目产生的固体废物为生活垃圾、废铅蓄电池、事故油。</w:t>
            </w:r>
          </w:p>
          <w:p>
            <w:pPr>
              <w:bidi w:val="0"/>
              <w:spacing w:line="240" w:lineRule="auto"/>
              <w:ind w:firstLine="420" w:firstLineChars="200"/>
              <w:rPr>
                <w:color w:val="auto"/>
                <w:sz w:val="21"/>
                <w:szCs w:val="21"/>
              </w:rPr>
            </w:pPr>
            <w:r>
              <w:rPr>
                <w:color w:val="auto"/>
                <w:sz w:val="21"/>
                <w:szCs w:val="21"/>
              </w:rPr>
              <w:t>（1）生活垃圾</w:t>
            </w:r>
          </w:p>
          <w:p>
            <w:pPr>
              <w:bidi w:val="0"/>
              <w:spacing w:line="240" w:lineRule="auto"/>
              <w:ind w:firstLine="420" w:firstLineChars="200"/>
              <w:rPr>
                <w:color w:val="auto"/>
                <w:sz w:val="21"/>
                <w:szCs w:val="21"/>
              </w:rPr>
            </w:pPr>
            <w:r>
              <w:rPr>
                <w:color w:val="auto"/>
                <w:sz w:val="21"/>
                <w:szCs w:val="21"/>
              </w:rPr>
              <w:t>升压站内生活垃圾主要来源于工作人员，分类收集后，收集后运往环卫部门指定地点处置。</w:t>
            </w:r>
          </w:p>
          <w:p>
            <w:pPr>
              <w:bidi w:val="0"/>
              <w:spacing w:line="240" w:lineRule="auto"/>
              <w:ind w:firstLine="420" w:firstLineChars="200"/>
              <w:rPr>
                <w:color w:val="auto"/>
                <w:sz w:val="21"/>
                <w:szCs w:val="21"/>
              </w:rPr>
            </w:pPr>
            <w:r>
              <w:rPr>
                <w:color w:val="auto"/>
                <w:sz w:val="21"/>
                <w:szCs w:val="21"/>
              </w:rPr>
              <w:t>（2）一般工业固体废物</w:t>
            </w:r>
          </w:p>
          <w:p>
            <w:pPr>
              <w:bidi w:val="0"/>
              <w:spacing w:line="240" w:lineRule="auto"/>
              <w:ind w:firstLine="420" w:firstLineChars="200"/>
              <w:rPr>
                <w:color w:val="auto"/>
                <w:sz w:val="21"/>
                <w:szCs w:val="21"/>
              </w:rPr>
            </w:pPr>
            <w:r>
              <w:rPr>
                <w:color w:val="auto"/>
                <w:sz w:val="21"/>
                <w:szCs w:val="21"/>
              </w:rPr>
              <w:t>1）废储能电池</w:t>
            </w:r>
          </w:p>
          <w:p>
            <w:pPr>
              <w:bidi w:val="0"/>
              <w:spacing w:line="240" w:lineRule="auto"/>
              <w:ind w:firstLine="420" w:firstLineChars="200"/>
              <w:rPr>
                <w:color w:val="auto"/>
                <w:sz w:val="21"/>
                <w:szCs w:val="21"/>
              </w:rPr>
            </w:pPr>
            <w:r>
              <w:rPr>
                <w:color w:val="auto"/>
                <w:sz w:val="21"/>
                <w:szCs w:val="21"/>
              </w:rPr>
              <w:t>储能系统使用磷酸铁锂电池，根据《一般工业固体废物分类名录及废物代码》（2021版实施），储能系统产生的废锂电池固废代码为“废弃资源 13（废电池”），储能系统退役的磷酸铁锂电池由电力公司物资部门统一回收，站内不储存。</w:t>
            </w:r>
          </w:p>
          <w:p>
            <w:pPr>
              <w:bidi w:val="0"/>
              <w:spacing w:line="240" w:lineRule="auto"/>
              <w:ind w:firstLine="420" w:firstLineChars="200"/>
              <w:rPr>
                <w:color w:val="auto"/>
                <w:sz w:val="21"/>
                <w:szCs w:val="21"/>
              </w:rPr>
            </w:pPr>
            <w:r>
              <w:rPr>
                <w:color w:val="auto"/>
                <w:sz w:val="21"/>
                <w:szCs w:val="21"/>
              </w:rPr>
              <w:t>（3）危险废物</w:t>
            </w:r>
          </w:p>
          <w:p>
            <w:pPr>
              <w:bidi w:val="0"/>
              <w:spacing w:line="240" w:lineRule="auto"/>
              <w:ind w:firstLine="420" w:firstLineChars="200"/>
              <w:rPr>
                <w:color w:val="auto"/>
                <w:sz w:val="21"/>
                <w:szCs w:val="21"/>
              </w:rPr>
            </w:pPr>
            <w:r>
              <w:rPr>
                <w:color w:val="auto"/>
                <w:sz w:val="21"/>
                <w:szCs w:val="21"/>
              </w:rPr>
              <w:t>1）废铅蓄电池</w:t>
            </w:r>
          </w:p>
          <w:p>
            <w:pPr>
              <w:bidi w:val="0"/>
              <w:spacing w:line="240" w:lineRule="auto"/>
              <w:ind w:firstLine="420" w:firstLineChars="200"/>
              <w:rPr>
                <w:color w:val="auto"/>
                <w:sz w:val="21"/>
                <w:szCs w:val="21"/>
              </w:rPr>
            </w:pPr>
            <w:r>
              <w:rPr>
                <w:color w:val="auto"/>
                <w:sz w:val="21"/>
                <w:szCs w:val="21"/>
              </w:rPr>
              <w:t>变电站设备维修、更新产生废蓄电池，1组主变需配备蓄电池约200块，变电站内蓄电池使用寿命一般为8年，待蓄电池到寿命周期时，暂存于新建10m</w:t>
            </w:r>
            <w:r>
              <w:rPr>
                <w:color w:val="auto"/>
                <w:sz w:val="21"/>
                <w:szCs w:val="21"/>
                <w:vertAlign w:val="superscript"/>
              </w:rPr>
              <w:t>2</w:t>
            </w:r>
            <w:r>
              <w:rPr>
                <w:color w:val="auto"/>
                <w:sz w:val="21"/>
                <w:szCs w:val="21"/>
              </w:rPr>
              <w:t>的危废暂存间，交由有危废处置资质的单位处置，不随意丢弃。</w:t>
            </w:r>
          </w:p>
          <w:p>
            <w:pPr>
              <w:bidi w:val="0"/>
              <w:spacing w:line="240" w:lineRule="auto"/>
              <w:ind w:firstLine="420" w:firstLineChars="200"/>
              <w:rPr>
                <w:color w:val="auto"/>
                <w:sz w:val="21"/>
                <w:szCs w:val="21"/>
              </w:rPr>
            </w:pPr>
            <w:r>
              <w:rPr>
                <w:color w:val="auto"/>
                <w:sz w:val="21"/>
                <w:szCs w:val="21"/>
              </w:rPr>
              <w:t>2）事故油</w:t>
            </w:r>
          </w:p>
          <w:p>
            <w:pPr>
              <w:bidi w:val="0"/>
              <w:spacing w:line="240" w:lineRule="auto"/>
              <w:ind w:firstLine="420" w:firstLineChars="200"/>
              <w:rPr>
                <w:rFonts w:hint="eastAsia"/>
                <w:color w:val="auto"/>
                <w:szCs w:val="21"/>
                <w:lang w:val="en-US" w:eastAsia="zh-CN"/>
              </w:rPr>
            </w:pPr>
            <w:r>
              <w:rPr>
                <w:color w:val="auto"/>
                <w:sz w:val="21"/>
                <w:szCs w:val="21"/>
              </w:rPr>
              <w:t>110kV北部滩升压站新建1座7m</w:t>
            </w:r>
            <w:r>
              <w:rPr>
                <w:color w:val="auto"/>
                <w:sz w:val="21"/>
                <w:szCs w:val="21"/>
                <w:vertAlign w:val="superscript"/>
              </w:rPr>
              <w:t>3</w:t>
            </w:r>
            <w:r>
              <w:rPr>
                <w:color w:val="auto"/>
                <w:sz w:val="21"/>
                <w:szCs w:val="21"/>
              </w:rPr>
              <w:t>事故油坑，1座34m</w:t>
            </w:r>
            <w:r>
              <w:rPr>
                <w:color w:val="auto"/>
                <w:sz w:val="21"/>
                <w:szCs w:val="21"/>
                <w:vertAlign w:val="superscript"/>
              </w:rPr>
              <w:t>3</w:t>
            </w:r>
            <w:r>
              <w:rPr>
                <w:color w:val="auto"/>
                <w:sz w:val="21"/>
                <w:szCs w:val="21"/>
              </w:rPr>
              <w:t>事故油池，容积可以满足本期需要。升压站主变下设有事故油坑，铺设一卵石层，四周设有排油槽并与事故油池相连。变压器排油时，所有的废油将渗过卵石层并通过排油槽到达事故油池，交由有资质的单位统一处理。</w:t>
            </w:r>
          </w:p>
        </w:tc>
        <w:tc>
          <w:tcPr>
            <w:tcW w:w="224" w:type="pc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固体废物</w:t>
            </w:r>
          </w:p>
        </w:tc>
        <w:tc>
          <w:tcPr>
            <w:tcW w:w="2226" w:type="pct"/>
            <w:vAlign w:val="center"/>
          </w:tcPr>
          <w:p>
            <w:pPr>
              <w:bidi w:val="0"/>
              <w:spacing w:line="240" w:lineRule="auto"/>
              <w:ind w:firstLine="420" w:firstLineChars="200"/>
              <w:rPr>
                <w:rFonts w:hint="default"/>
                <w:color w:val="auto"/>
                <w:sz w:val="21"/>
                <w:szCs w:val="21"/>
                <w:lang w:val="en-US" w:eastAsia="zh-CN"/>
              </w:rPr>
            </w:pPr>
            <w:r>
              <w:rPr>
                <w:rFonts w:hint="default"/>
                <w:color w:val="auto"/>
                <w:sz w:val="21"/>
                <w:szCs w:val="21"/>
                <w:lang w:val="en-US" w:eastAsia="zh-CN"/>
              </w:rPr>
              <w:t>已落实。</w:t>
            </w:r>
          </w:p>
          <w:p>
            <w:pPr>
              <w:bidi w:val="0"/>
              <w:spacing w:line="240" w:lineRule="auto"/>
              <w:ind w:firstLine="420" w:firstLineChars="200"/>
              <w:rPr>
                <w:color w:val="auto"/>
                <w:sz w:val="21"/>
                <w:szCs w:val="21"/>
              </w:rPr>
            </w:pPr>
            <w:r>
              <w:rPr>
                <w:color w:val="auto"/>
                <w:sz w:val="21"/>
                <w:szCs w:val="21"/>
              </w:rPr>
              <w:t>（1）生活垃圾</w:t>
            </w:r>
          </w:p>
          <w:p>
            <w:pPr>
              <w:bidi w:val="0"/>
              <w:spacing w:line="240" w:lineRule="auto"/>
              <w:ind w:firstLine="420" w:firstLineChars="200"/>
              <w:rPr>
                <w:color w:val="auto"/>
                <w:sz w:val="21"/>
                <w:szCs w:val="21"/>
              </w:rPr>
            </w:pPr>
            <w:r>
              <w:rPr>
                <w:color w:val="auto"/>
                <w:sz w:val="21"/>
                <w:szCs w:val="21"/>
              </w:rPr>
              <w:t>升压站内生活垃圾分类收集后，收集后运往环卫部门指定地点处置。</w:t>
            </w:r>
          </w:p>
          <w:p>
            <w:pPr>
              <w:bidi w:val="0"/>
              <w:spacing w:line="240" w:lineRule="auto"/>
              <w:ind w:firstLine="420" w:firstLineChars="200"/>
              <w:rPr>
                <w:color w:val="auto"/>
                <w:sz w:val="21"/>
                <w:szCs w:val="21"/>
              </w:rPr>
            </w:pPr>
            <w:r>
              <w:rPr>
                <w:color w:val="auto"/>
                <w:sz w:val="21"/>
                <w:szCs w:val="21"/>
              </w:rPr>
              <w:t>（2）一般工业固体废物</w:t>
            </w:r>
          </w:p>
          <w:p>
            <w:pPr>
              <w:bidi w:val="0"/>
              <w:spacing w:line="240" w:lineRule="auto"/>
              <w:ind w:firstLine="420" w:firstLineChars="200"/>
              <w:rPr>
                <w:color w:val="auto"/>
                <w:sz w:val="21"/>
                <w:szCs w:val="21"/>
              </w:rPr>
            </w:pPr>
            <w:r>
              <w:rPr>
                <w:color w:val="auto"/>
                <w:sz w:val="21"/>
                <w:szCs w:val="21"/>
              </w:rPr>
              <w:t>1）废储能电池</w:t>
            </w:r>
          </w:p>
          <w:p>
            <w:pPr>
              <w:bidi w:val="0"/>
              <w:spacing w:line="240" w:lineRule="auto"/>
              <w:ind w:firstLine="420" w:firstLineChars="200"/>
              <w:rPr>
                <w:color w:val="auto"/>
                <w:sz w:val="21"/>
                <w:szCs w:val="21"/>
              </w:rPr>
            </w:pPr>
            <w:r>
              <w:rPr>
                <w:color w:val="auto"/>
                <w:sz w:val="21"/>
                <w:szCs w:val="21"/>
              </w:rPr>
              <w:t>储能系统退役的磷酸铁锂电池由</w:t>
            </w:r>
            <w:r>
              <w:rPr>
                <w:rFonts w:hint="eastAsia"/>
                <w:color w:val="auto"/>
                <w:sz w:val="21"/>
                <w:szCs w:val="21"/>
              </w:rPr>
              <w:t>甘肃禾希环保科技有限公司</w:t>
            </w:r>
            <w:r>
              <w:rPr>
                <w:color w:val="auto"/>
                <w:sz w:val="21"/>
                <w:szCs w:val="21"/>
              </w:rPr>
              <w:t>统一回收，站内不储存。</w:t>
            </w:r>
          </w:p>
          <w:p>
            <w:pPr>
              <w:bidi w:val="0"/>
              <w:spacing w:line="240" w:lineRule="auto"/>
              <w:ind w:firstLine="420" w:firstLineChars="200"/>
              <w:rPr>
                <w:color w:val="auto"/>
                <w:sz w:val="21"/>
                <w:szCs w:val="21"/>
              </w:rPr>
            </w:pPr>
            <w:r>
              <w:rPr>
                <w:color w:val="auto"/>
                <w:sz w:val="21"/>
                <w:szCs w:val="21"/>
              </w:rPr>
              <w:t>（3）危险废物</w:t>
            </w:r>
          </w:p>
          <w:p>
            <w:pPr>
              <w:bidi w:val="0"/>
              <w:spacing w:line="240" w:lineRule="auto"/>
              <w:ind w:firstLine="420" w:firstLineChars="200"/>
              <w:rPr>
                <w:color w:val="auto"/>
                <w:sz w:val="21"/>
                <w:szCs w:val="21"/>
              </w:rPr>
            </w:pPr>
            <w:r>
              <w:rPr>
                <w:color w:val="auto"/>
                <w:sz w:val="21"/>
                <w:szCs w:val="21"/>
              </w:rPr>
              <w:t>1）废铅蓄电池</w:t>
            </w:r>
          </w:p>
          <w:p>
            <w:pPr>
              <w:bidi w:val="0"/>
              <w:spacing w:line="240" w:lineRule="auto"/>
              <w:ind w:firstLine="420" w:firstLineChars="200"/>
              <w:rPr>
                <w:color w:val="auto"/>
                <w:sz w:val="21"/>
                <w:szCs w:val="21"/>
              </w:rPr>
            </w:pPr>
            <w:r>
              <w:rPr>
                <w:color w:val="auto"/>
                <w:sz w:val="21"/>
                <w:szCs w:val="21"/>
              </w:rPr>
              <w:t>变电站设备维修、更新产生废蓄电池到寿命周期时，暂存于新建10m</w:t>
            </w:r>
            <w:r>
              <w:rPr>
                <w:color w:val="auto"/>
                <w:sz w:val="21"/>
                <w:szCs w:val="21"/>
                <w:vertAlign w:val="superscript"/>
              </w:rPr>
              <w:t>2</w:t>
            </w:r>
            <w:r>
              <w:rPr>
                <w:color w:val="auto"/>
                <w:sz w:val="21"/>
                <w:szCs w:val="21"/>
              </w:rPr>
              <w:t>的危废暂存间，交由</w:t>
            </w:r>
            <w:r>
              <w:rPr>
                <w:rFonts w:hint="eastAsia"/>
                <w:color w:val="auto"/>
                <w:sz w:val="21"/>
                <w:szCs w:val="21"/>
              </w:rPr>
              <w:t>甘肃禾希环保科技有限公司</w:t>
            </w:r>
            <w:r>
              <w:rPr>
                <w:color w:val="auto"/>
                <w:sz w:val="21"/>
                <w:szCs w:val="21"/>
              </w:rPr>
              <w:t>处置，不随意丢弃。</w:t>
            </w:r>
          </w:p>
          <w:p>
            <w:pPr>
              <w:bidi w:val="0"/>
              <w:spacing w:line="240" w:lineRule="auto"/>
              <w:ind w:firstLine="420" w:firstLineChars="200"/>
              <w:rPr>
                <w:color w:val="auto"/>
                <w:sz w:val="21"/>
                <w:szCs w:val="21"/>
              </w:rPr>
            </w:pPr>
            <w:r>
              <w:rPr>
                <w:color w:val="auto"/>
                <w:sz w:val="21"/>
                <w:szCs w:val="21"/>
              </w:rPr>
              <w:t>2）事故油</w:t>
            </w:r>
          </w:p>
          <w:p>
            <w:pPr>
              <w:bidi w:val="0"/>
              <w:spacing w:line="240" w:lineRule="auto"/>
              <w:ind w:firstLine="420" w:firstLineChars="200"/>
              <w:rPr>
                <w:rFonts w:hint="eastAsia"/>
                <w:color w:val="auto"/>
                <w:sz w:val="21"/>
                <w:szCs w:val="21"/>
                <w:lang w:val="en-US" w:eastAsia="zh-CN"/>
              </w:rPr>
            </w:pPr>
            <w:r>
              <w:rPr>
                <w:color w:val="auto"/>
                <w:sz w:val="21"/>
                <w:szCs w:val="21"/>
              </w:rPr>
              <w:t>110kV北部滩升压站新建1座7m</w:t>
            </w:r>
            <w:r>
              <w:rPr>
                <w:color w:val="auto"/>
                <w:sz w:val="21"/>
                <w:szCs w:val="21"/>
                <w:vertAlign w:val="superscript"/>
              </w:rPr>
              <w:t>3</w:t>
            </w:r>
            <w:r>
              <w:rPr>
                <w:color w:val="auto"/>
                <w:sz w:val="21"/>
                <w:szCs w:val="21"/>
              </w:rPr>
              <w:t>事故油坑，1座34m</w:t>
            </w:r>
            <w:r>
              <w:rPr>
                <w:color w:val="auto"/>
                <w:sz w:val="21"/>
                <w:szCs w:val="21"/>
                <w:vertAlign w:val="superscript"/>
              </w:rPr>
              <w:t>3</w:t>
            </w:r>
            <w:r>
              <w:rPr>
                <w:color w:val="auto"/>
                <w:sz w:val="21"/>
                <w:szCs w:val="21"/>
              </w:rPr>
              <w:t>事故油池，容积可以满足本期需要。升压站主变下设有事故油坑，铺设一卵石层，四周设有排油槽并与事故油池相连。变压器排油时，所有的废油将渗过卵石层并通过排油槽到达事故油池，交由</w:t>
            </w:r>
            <w:r>
              <w:rPr>
                <w:rFonts w:hint="eastAsia"/>
                <w:color w:val="auto"/>
                <w:sz w:val="21"/>
                <w:szCs w:val="21"/>
              </w:rPr>
              <w:t>甘肃禾希环保科技有限公司</w:t>
            </w:r>
            <w:r>
              <w:rPr>
                <w:color w:val="auto"/>
                <w:sz w:val="21"/>
                <w:szCs w:val="21"/>
              </w:rPr>
              <w:t>统一处理。</w:t>
            </w:r>
          </w:p>
        </w:tc>
      </w:tr>
    </w:tbl>
    <w:p>
      <w:pPr>
        <w:bidi w:val="0"/>
        <w:spacing w:line="240" w:lineRule="auto"/>
        <w:jc w:val="center"/>
        <w:rPr>
          <w:b/>
          <w:bCs/>
          <w:color w:val="auto"/>
          <w:spacing w:val="-1"/>
        </w:rPr>
      </w:pPr>
    </w:p>
    <w:p>
      <w:pPr>
        <w:rPr>
          <w:b/>
          <w:bCs/>
          <w:color w:val="auto"/>
          <w:spacing w:val="-1"/>
        </w:rPr>
      </w:pPr>
      <w:r>
        <w:rPr>
          <w:b/>
          <w:bCs/>
          <w:color w:val="auto"/>
          <w:spacing w:val="-1"/>
        </w:rPr>
        <w:br w:type="page"/>
      </w:r>
    </w:p>
    <w:p>
      <w:pPr>
        <w:bidi w:val="0"/>
        <w:spacing w:line="240" w:lineRule="auto"/>
        <w:jc w:val="center"/>
        <w:rPr>
          <w:rFonts w:ascii="Times New Roman" w:hAnsi="Times New Roman" w:eastAsia="宋体"/>
          <w:b/>
          <w:bCs/>
          <w:color w:val="auto"/>
          <w:spacing w:val="-1"/>
        </w:rPr>
      </w:pPr>
      <w:r>
        <w:rPr>
          <w:b/>
          <w:bCs/>
          <w:color w:val="auto"/>
          <w:spacing w:val="-1"/>
        </w:rPr>
        <w:t>表</w:t>
      </w:r>
      <w:r>
        <w:rPr>
          <w:b/>
          <w:bCs/>
          <w:color w:val="auto"/>
          <w:spacing w:val="-43"/>
        </w:rPr>
        <w:t xml:space="preserve"> </w:t>
      </w:r>
      <w:r>
        <w:rPr>
          <w:rFonts w:ascii="Times New Roman" w:hAnsi="Times New Roman" w:eastAsia="Times New Roman" w:cs="Times New Roman"/>
          <w:b/>
          <w:bCs/>
          <w:color w:val="auto"/>
          <w:spacing w:val="-1"/>
        </w:rPr>
        <w:t>6</w:t>
      </w:r>
      <w:r>
        <w:rPr>
          <w:rFonts w:ascii="Times New Roman" w:hAnsi="Times New Roman" w:eastAsia="宋体"/>
          <w:b/>
          <w:bCs/>
          <w:color w:val="auto"/>
          <w:spacing w:val="-1"/>
        </w:rPr>
        <w:t>-</w:t>
      </w:r>
      <w:r>
        <w:rPr>
          <w:rFonts w:hint="eastAsia" w:ascii="Times New Roman" w:hAnsi="Times New Roman" w:eastAsia="宋体"/>
          <w:b/>
          <w:bCs/>
          <w:color w:val="auto"/>
          <w:spacing w:val="-1"/>
          <w:lang w:val="en-US" w:eastAsia="zh-CN"/>
        </w:rPr>
        <w:t>2</w:t>
      </w:r>
      <w:r>
        <w:rPr>
          <w:rFonts w:ascii="Times New Roman" w:hAnsi="Times New Roman" w:eastAsia="宋体"/>
          <w:b/>
          <w:bCs/>
          <w:color w:val="auto"/>
          <w:spacing w:val="-1"/>
        </w:rPr>
        <w:t xml:space="preserve">    项目环评批复中环保措施落实情况</w:t>
      </w:r>
    </w:p>
    <w:tbl>
      <w:tblPr>
        <w:tblStyle w:val="1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668"/>
        <w:gridCol w:w="6944"/>
        <w:gridCol w:w="60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35" w:type="pct"/>
            <w:vAlign w:val="center"/>
          </w:tcPr>
          <w:p>
            <w:pPr>
              <w:bidi w:val="0"/>
              <w:spacing w:line="240" w:lineRule="auto"/>
              <w:jc w:val="center"/>
              <w:rPr>
                <w:b/>
                <w:bCs/>
                <w:color w:val="auto"/>
                <w:sz w:val="21"/>
                <w:szCs w:val="21"/>
              </w:rPr>
            </w:pPr>
            <w:r>
              <w:rPr>
                <w:b/>
                <w:bCs/>
                <w:color w:val="auto"/>
                <w:sz w:val="21"/>
                <w:szCs w:val="21"/>
              </w:rPr>
              <w:t>序号</w:t>
            </w:r>
          </w:p>
        </w:tc>
        <w:tc>
          <w:tcPr>
            <w:tcW w:w="2662" w:type="pct"/>
            <w:gridSpan w:val="2"/>
            <w:vAlign w:val="center"/>
          </w:tcPr>
          <w:p>
            <w:pPr>
              <w:bidi w:val="0"/>
              <w:spacing w:line="240" w:lineRule="auto"/>
              <w:jc w:val="center"/>
              <w:rPr>
                <w:b/>
                <w:bCs/>
                <w:color w:val="auto"/>
                <w:sz w:val="21"/>
                <w:szCs w:val="21"/>
              </w:rPr>
            </w:pPr>
            <w:r>
              <w:rPr>
                <w:b/>
                <w:bCs/>
                <w:color w:val="auto"/>
                <w:sz w:val="21"/>
                <w:szCs w:val="21"/>
              </w:rPr>
              <w:t>批复意见</w:t>
            </w:r>
          </w:p>
        </w:tc>
        <w:tc>
          <w:tcPr>
            <w:tcW w:w="2102" w:type="pct"/>
            <w:vAlign w:val="center"/>
          </w:tcPr>
          <w:p>
            <w:pPr>
              <w:bidi w:val="0"/>
              <w:spacing w:line="240" w:lineRule="auto"/>
              <w:jc w:val="center"/>
              <w:rPr>
                <w:b/>
                <w:bCs/>
                <w:color w:val="auto"/>
                <w:sz w:val="21"/>
                <w:szCs w:val="21"/>
              </w:rPr>
            </w:pPr>
            <w:r>
              <w:rPr>
                <w:b/>
                <w:bCs/>
                <w:color w:val="auto"/>
                <w:sz w:val="21"/>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235" w:type="pct"/>
            <w:vAlign w:val="center"/>
          </w:tcPr>
          <w:p>
            <w:pPr>
              <w:bidi w:val="0"/>
              <w:spacing w:line="240" w:lineRule="auto"/>
              <w:jc w:val="center"/>
              <w:rPr>
                <w:color w:val="auto"/>
                <w:sz w:val="21"/>
                <w:szCs w:val="21"/>
              </w:rPr>
            </w:pPr>
            <w:r>
              <w:rPr>
                <w:color w:val="auto"/>
                <w:sz w:val="21"/>
                <w:szCs w:val="21"/>
              </w:rPr>
              <w:t>1</w:t>
            </w:r>
          </w:p>
        </w:tc>
        <w:tc>
          <w:tcPr>
            <w:tcW w:w="233" w:type="pct"/>
            <w:vAlign w:val="center"/>
          </w:tcPr>
          <w:p>
            <w:pPr>
              <w:bidi w:val="0"/>
              <w:spacing w:line="240" w:lineRule="auto"/>
              <w:jc w:val="center"/>
              <w:rPr>
                <w:rFonts w:hint="eastAsia" w:eastAsia="宋体"/>
                <w:color w:val="auto"/>
                <w:szCs w:val="21"/>
                <w:lang w:val="en-US" w:eastAsia="zh-CN"/>
              </w:rPr>
            </w:pPr>
            <w:r>
              <w:rPr>
                <w:rFonts w:hint="eastAsia"/>
                <w:color w:val="auto"/>
                <w:sz w:val="21"/>
                <w:szCs w:val="21"/>
                <w:lang w:val="en-US" w:eastAsia="zh-CN"/>
              </w:rPr>
              <w:t>电磁环境</w:t>
            </w:r>
          </w:p>
        </w:tc>
        <w:tc>
          <w:tcPr>
            <w:tcW w:w="2428" w:type="pct"/>
            <w:vAlign w:val="center"/>
          </w:tcPr>
          <w:p>
            <w:pPr>
              <w:bidi w:val="0"/>
              <w:spacing w:line="240" w:lineRule="auto"/>
              <w:ind w:firstLine="420" w:firstLineChars="200"/>
              <w:jc w:val="left"/>
              <w:rPr>
                <w:color w:val="auto"/>
              </w:rPr>
            </w:pPr>
            <w:r>
              <w:rPr>
                <w:color w:val="auto"/>
                <w:sz w:val="21"/>
                <w:szCs w:val="21"/>
              </w:rPr>
              <w:t>严格落实防治工频电场、工频磁场等的环保措施，确保该工程运行后产生的工频电场强度、工频磁感应强度小于《电磁环境控制限值》 (GB8702-2014)中规定的电场强度控制限值4kV/m</w:t>
            </w:r>
            <w:r>
              <w:rPr>
                <w:rFonts w:hint="eastAsia"/>
                <w:color w:val="auto"/>
                <w:sz w:val="21"/>
                <w:szCs w:val="21"/>
                <w:lang w:eastAsia="zh-CN"/>
              </w:rPr>
              <w:t>，</w:t>
            </w:r>
            <w:r>
              <w:rPr>
                <w:color w:val="auto"/>
                <w:sz w:val="21"/>
                <w:szCs w:val="21"/>
              </w:rPr>
              <w:t>磁感应强度控制限值100μT的评价标准，且应给出警示和防护指示标志。严格依照《报告表》第五章主要生态环境保护措施中环境监控计划要求，在升压站四周各设1个监测点位，根据线路架设方式在线路沿线设置衰减监测断面及敏感点，每年开展一次工频电场及工频磁场监测，并形成有效报告留档备查。</w:t>
            </w:r>
          </w:p>
        </w:tc>
        <w:tc>
          <w:tcPr>
            <w:tcW w:w="2102" w:type="pct"/>
            <w:vAlign w:val="center"/>
          </w:tcPr>
          <w:p>
            <w:pPr>
              <w:spacing w:before="267" w:line="217" w:lineRule="auto"/>
              <w:ind w:left="100" w:firstLine="420" w:firstLineChars="200"/>
              <w:rPr>
                <w:color w:val="auto"/>
                <w:sz w:val="21"/>
                <w:szCs w:val="21"/>
              </w:rPr>
            </w:pPr>
            <w:r>
              <w:rPr>
                <w:color w:val="auto"/>
                <w:sz w:val="21"/>
                <w:szCs w:val="21"/>
              </w:rPr>
              <w:t>已落实。</w:t>
            </w:r>
            <w:r>
              <w:rPr>
                <w:rFonts w:hint="eastAsia"/>
                <w:color w:val="auto"/>
                <w:sz w:val="21"/>
                <w:szCs w:val="21"/>
                <w:lang w:val="en-US" w:eastAsia="zh-CN"/>
              </w:rPr>
              <w:t>项目</w:t>
            </w:r>
            <w:r>
              <w:rPr>
                <w:rFonts w:ascii="宋体" w:hAnsi="宋体" w:eastAsia="宋体" w:cs="宋体"/>
                <w:color w:val="auto"/>
                <w:spacing w:val="7"/>
                <w:sz w:val="21"/>
                <w:szCs w:val="21"/>
              </w:rPr>
              <w:t>使用低电磁干扰的主变压器；</w:t>
            </w:r>
            <w:r>
              <w:rPr>
                <w:rFonts w:ascii="宋体" w:hAnsi="宋体" w:eastAsia="宋体" w:cs="宋体"/>
                <w:color w:val="auto"/>
                <w:spacing w:val="6"/>
                <w:sz w:val="21"/>
                <w:szCs w:val="21"/>
              </w:rPr>
              <w:t>设置安全警示标志与加强宣传；做好变电站磁防护与屏蔽措施；</w:t>
            </w:r>
            <w:r>
              <w:rPr>
                <w:rFonts w:ascii="宋体" w:hAnsi="宋体" w:eastAsia="宋体" w:cs="宋体"/>
                <w:color w:val="auto"/>
                <w:sz w:val="21"/>
                <w:szCs w:val="21"/>
              </w:rPr>
              <w:t>合理选择配电架构高度、对地和相间距离，控制</w:t>
            </w:r>
            <w:r>
              <w:rPr>
                <w:rFonts w:ascii="宋体" w:hAnsi="宋体" w:eastAsia="宋体" w:cs="宋体"/>
                <w:color w:val="auto"/>
                <w:spacing w:val="-1"/>
                <w:sz w:val="21"/>
                <w:szCs w:val="21"/>
              </w:rPr>
              <w:t>设备间连线离地面的最低高度等以保证升压站地</w:t>
            </w:r>
            <w:r>
              <w:rPr>
                <w:rFonts w:ascii="宋体" w:hAnsi="宋体" w:eastAsia="宋体" w:cs="宋体"/>
                <w:color w:val="auto"/>
                <w:spacing w:val="6"/>
                <w:sz w:val="21"/>
                <w:szCs w:val="21"/>
              </w:rPr>
              <w:t>面工频电场和工频磁场符合标准</w:t>
            </w:r>
            <w:r>
              <w:rPr>
                <w:rFonts w:hint="eastAsia" w:ascii="宋体" w:hAnsi="宋体" w:cs="宋体"/>
                <w:color w:val="auto"/>
                <w:spacing w:val="6"/>
                <w:sz w:val="21"/>
                <w:szCs w:val="21"/>
                <w:lang w:eastAsia="zh-CN"/>
              </w:rPr>
              <w:t>；</w:t>
            </w:r>
            <w:r>
              <w:rPr>
                <w:rFonts w:ascii="宋体" w:hAnsi="宋体" w:eastAsia="宋体" w:cs="宋体"/>
                <w:color w:val="auto"/>
                <w:spacing w:val="9"/>
                <w:sz w:val="21"/>
                <w:szCs w:val="21"/>
              </w:rPr>
              <w:t>设备的高压导电部件上设置不同形状和数量的</w:t>
            </w:r>
            <w:r>
              <w:rPr>
                <w:rFonts w:ascii="宋体" w:hAnsi="宋体" w:eastAsia="宋体" w:cs="宋体"/>
                <w:color w:val="auto"/>
                <w:spacing w:val="-1"/>
                <w:sz w:val="21"/>
                <w:szCs w:val="21"/>
              </w:rPr>
              <w:t>均压环，以控制导体表面的电场分布和强弱，避免</w:t>
            </w:r>
            <w:r>
              <w:rPr>
                <w:rFonts w:ascii="宋体" w:hAnsi="宋体" w:eastAsia="宋体" w:cs="宋体"/>
                <w:color w:val="auto"/>
                <w:spacing w:val="13"/>
                <w:sz w:val="21"/>
                <w:szCs w:val="21"/>
              </w:rPr>
              <w:t>或减少电晕放电。</w:t>
            </w:r>
            <w:r>
              <w:rPr>
                <w:color w:val="auto"/>
                <w:sz w:val="21"/>
                <w:szCs w:val="21"/>
              </w:rPr>
              <w:t>确保该工程运行后产生的工频电场强度、工频磁感应强度小于《电磁环境控制限值》 (GB8702-2014)中规定的电场强度控制限值4kV/m</w:t>
            </w:r>
            <w:r>
              <w:rPr>
                <w:rFonts w:hint="eastAsia"/>
                <w:color w:val="auto"/>
                <w:sz w:val="21"/>
                <w:szCs w:val="21"/>
                <w:lang w:eastAsia="zh-CN"/>
              </w:rPr>
              <w:t>，</w:t>
            </w:r>
            <w:r>
              <w:rPr>
                <w:color w:val="auto"/>
                <w:sz w:val="21"/>
                <w:szCs w:val="21"/>
              </w:rPr>
              <w:t>磁感应强度控制限值100μT的评价标准，且给出</w:t>
            </w:r>
            <w:r>
              <w:rPr>
                <w:rFonts w:hint="eastAsia"/>
                <w:color w:val="auto"/>
                <w:sz w:val="21"/>
                <w:szCs w:val="21"/>
                <w:lang w:val="en-US" w:eastAsia="zh-CN"/>
              </w:rPr>
              <w:t>了</w:t>
            </w:r>
            <w:r>
              <w:rPr>
                <w:color w:val="auto"/>
                <w:sz w:val="21"/>
                <w:szCs w:val="21"/>
              </w:rPr>
              <w:t>警示和防护指示标志。</w:t>
            </w:r>
          </w:p>
          <w:p>
            <w:pPr>
              <w:bidi w:val="0"/>
              <w:spacing w:line="240" w:lineRule="auto"/>
              <w:ind w:firstLine="420" w:firstLineChars="200"/>
              <w:jc w:val="left"/>
              <w:rPr>
                <w:color w:val="auto"/>
                <w:sz w:val="21"/>
                <w:szCs w:val="21"/>
              </w:rPr>
            </w:pPr>
            <w:r>
              <w:rPr>
                <w:color w:val="auto"/>
                <w:sz w:val="21"/>
                <w:szCs w:val="21"/>
              </w:rPr>
              <w:t>严格依照《报告表》第五章主要生态环境保护措施中环境监控计划要求，在升压站四周各设1个监测点位，根据线路架设方式在线路沿线设置衰减监测断面及敏感点，每年开展一次工频电场及工频磁场监测，并形成有效报告留档备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color w:val="auto"/>
                <w:sz w:val="21"/>
                <w:szCs w:val="21"/>
              </w:rPr>
            </w:pPr>
            <w:r>
              <w:rPr>
                <w:color w:val="auto"/>
                <w:sz w:val="21"/>
                <w:szCs w:val="21"/>
              </w:rPr>
              <w:t>2</w:t>
            </w:r>
          </w:p>
        </w:tc>
        <w:tc>
          <w:tcPr>
            <w:tcW w:w="233" w:type="pct"/>
            <w:vAlign w:val="center"/>
          </w:tcPr>
          <w:p>
            <w:pPr>
              <w:bidi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声环境</w:t>
            </w:r>
          </w:p>
        </w:tc>
        <w:tc>
          <w:tcPr>
            <w:tcW w:w="2428" w:type="pct"/>
            <w:vAlign w:val="center"/>
          </w:tcPr>
          <w:p>
            <w:pPr>
              <w:bidi w:val="0"/>
              <w:spacing w:line="240" w:lineRule="auto"/>
              <w:ind w:firstLine="420" w:firstLineChars="200"/>
              <w:jc w:val="left"/>
              <w:rPr>
                <w:color w:val="auto"/>
                <w:sz w:val="21"/>
                <w:szCs w:val="21"/>
              </w:rPr>
            </w:pPr>
            <w:r>
              <w:rPr>
                <w:color w:val="auto"/>
                <w:sz w:val="21"/>
                <w:szCs w:val="21"/>
              </w:rPr>
              <w:t>施工期噪声严格执行《建筑施工厂界环境噪声排放标准》(GB12523-2011) 的要求。运营期升压站厂界噪声满足《工业企业厂界环境噪声排放标准》 (GB12348-2008)2类标准，同时确保线路工程周围区域噪声符合《声环境质量标准》 (GB3096-2008)相应功能区要求，防止噪声扰民。严格依照《报告表》第五章主要生态环境保护措施中环境监控计划要求在变电 站四周和线路沿线敏感点设置监测点位，每年开展一次等效连续A声级监测，并形成有效报告留档备查。</w:t>
            </w:r>
          </w:p>
        </w:tc>
        <w:tc>
          <w:tcPr>
            <w:tcW w:w="2102" w:type="pct"/>
            <w:vAlign w:val="center"/>
          </w:tcPr>
          <w:p>
            <w:pPr>
              <w:spacing w:before="270" w:line="240" w:lineRule="auto"/>
              <w:ind w:right="80" w:firstLine="420" w:firstLineChars="200"/>
              <w:jc w:val="left"/>
              <w:rPr>
                <w:rFonts w:hint="eastAsia" w:eastAsia="宋体"/>
                <w:color w:val="auto"/>
                <w:sz w:val="21"/>
                <w:szCs w:val="21"/>
                <w:lang w:val="en-US" w:eastAsia="zh-CN"/>
              </w:rPr>
            </w:pPr>
            <w:r>
              <w:rPr>
                <w:color w:val="auto"/>
                <w:sz w:val="21"/>
                <w:szCs w:val="21"/>
              </w:rPr>
              <w:t>已落实。</w:t>
            </w:r>
            <w:r>
              <w:rPr>
                <w:rFonts w:hint="eastAsia"/>
                <w:color w:val="auto"/>
                <w:sz w:val="21"/>
                <w:szCs w:val="21"/>
                <w:lang w:val="en-US" w:eastAsia="zh-CN"/>
              </w:rPr>
              <w:t>项目</w:t>
            </w:r>
            <w:r>
              <w:rPr>
                <w:rFonts w:ascii="宋体" w:hAnsi="宋体" w:eastAsia="宋体" w:cs="宋体"/>
                <w:color w:val="auto"/>
                <w:spacing w:val="-1"/>
                <w:sz w:val="21"/>
                <w:szCs w:val="21"/>
              </w:rPr>
              <w:t>主变设备选型时，尽量选择低噪声主变，加强</w:t>
            </w:r>
            <w:r>
              <w:rPr>
                <w:rFonts w:ascii="宋体" w:hAnsi="宋体" w:eastAsia="宋体" w:cs="宋体"/>
                <w:color w:val="auto"/>
                <w:spacing w:val="5"/>
                <w:sz w:val="21"/>
                <w:szCs w:val="21"/>
              </w:rPr>
              <w:t>设备的运行管理，减少因设备陈旧产生的噪声</w:t>
            </w:r>
            <w:r>
              <w:rPr>
                <w:rFonts w:hint="eastAsia" w:ascii="宋体" w:hAnsi="宋体" w:cs="宋体"/>
                <w:color w:val="auto"/>
                <w:spacing w:val="5"/>
                <w:sz w:val="21"/>
                <w:szCs w:val="21"/>
                <w:lang w:eastAsia="zh-CN"/>
              </w:rPr>
              <w:t>；</w:t>
            </w:r>
            <w:r>
              <w:rPr>
                <w:rFonts w:ascii="宋体" w:hAnsi="宋体" w:eastAsia="宋体" w:cs="宋体"/>
                <w:color w:val="auto"/>
                <w:spacing w:val="9"/>
                <w:sz w:val="21"/>
                <w:szCs w:val="21"/>
              </w:rPr>
              <w:t>输电线路在设备的高压导电部件上设置不同形</w:t>
            </w:r>
            <w:r>
              <w:rPr>
                <w:rFonts w:ascii="宋体" w:hAnsi="宋体" w:eastAsia="宋体" w:cs="宋体"/>
                <w:color w:val="auto"/>
                <w:sz w:val="21"/>
                <w:szCs w:val="21"/>
              </w:rPr>
              <w:t>状和数量的均压环，以控制导体表面的电场分布和</w:t>
            </w:r>
            <w:r>
              <w:rPr>
                <w:rFonts w:ascii="宋体" w:hAnsi="宋体" w:eastAsia="宋体" w:cs="宋体"/>
                <w:color w:val="auto"/>
                <w:spacing w:val="8"/>
                <w:sz w:val="21"/>
                <w:szCs w:val="21"/>
              </w:rPr>
              <w:t>强弱，避免或减少电晕放电。</w:t>
            </w:r>
            <w:r>
              <w:rPr>
                <w:rFonts w:hint="eastAsia" w:ascii="宋体" w:hAnsi="宋体" w:cs="宋体"/>
                <w:color w:val="auto"/>
                <w:spacing w:val="8"/>
                <w:sz w:val="21"/>
                <w:szCs w:val="21"/>
                <w:lang w:val="en-US" w:eastAsia="zh-CN"/>
              </w:rPr>
              <w:t>确保了</w:t>
            </w:r>
            <w:r>
              <w:rPr>
                <w:rFonts w:ascii="宋体" w:hAnsi="宋体" w:eastAsia="宋体" w:cs="宋体"/>
                <w:color w:val="auto"/>
                <w:spacing w:val="10"/>
                <w:sz w:val="20"/>
                <w:szCs w:val="20"/>
              </w:rPr>
              <w:t>升压站站址厂界噪声满足《工业企</w:t>
            </w:r>
            <w:r>
              <w:rPr>
                <w:rFonts w:ascii="宋体" w:hAnsi="宋体" w:eastAsia="宋体" w:cs="宋体"/>
                <w:color w:val="auto"/>
                <w:spacing w:val="-4"/>
                <w:sz w:val="20"/>
                <w:szCs w:val="20"/>
              </w:rPr>
              <w:t>业</w:t>
            </w:r>
            <w:r>
              <w:rPr>
                <w:rFonts w:ascii="宋体" w:hAnsi="宋体" w:eastAsia="宋体" w:cs="宋体"/>
                <w:color w:val="auto"/>
                <w:spacing w:val="-23"/>
                <w:sz w:val="20"/>
                <w:szCs w:val="20"/>
              </w:rPr>
              <w:t xml:space="preserve"> </w:t>
            </w:r>
            <w:r>
              <w:rPr>
                <w:rFonts w:ascii="宋体" w:hAnsi="宋体" w:eastAsia="宋体" w:cs="宋体"/>
                <w:color w:val="auto"/>
                <w:spacing w:val="-4"/>
                <w:sz w:val="20"/>
                <w:szCs w:val="20"/>
              </w:rPr>
              <w:t>厂</w:t>
            </w:r>
            <w:r>
              <w:rPr>
                <w:rFonts w:ascii="宋体" w:hAnsi="宋体" w:eastAsia="宋体" w:cs="宋体"/>
                <w:color w:val="auto"/>
                <w:spacing w:val="-22"/>
                <w:sz w:val="20"/>
                <w:szCs w:val="20"/>
              </w:rPr>
              <w:t xml:space="preserve"> </w:t>
            </w:r>
            <w:r>
              <w:rPr>
                <w:rFonts w:ascii="宋体" w:hAnsi="宋体" w:eastAsia="宋体" w:cs="宋体"/>
                <w:color w:val="auto"/>
                <w:spacing w:val="-4"/>
                <w:sz w:val="20"/>
                <w:szCs w:val="20"/>
              </w:rPr>
              <w:t>界</w:t>
            </w:r>
            <w:r>
              <w:rPr>
                <w:rFonts w:ascii="宋体" w:hAnsi="宋体" w:eastAsia="宋体" w:cs="宋体"/>
                <w:color w:val="auto"/>
                <w:spacing w:val="-28"/>
                <w:sz w:val="20"/>
                <w:szCs w:val="20"/>
              </w:rPr>
              <w:t xml:space="preserve"> </w:t>
            </w:r>
            <w:r>
              <w:rPr>
                <w:rFonts w:ascii="宋体" w:hAnsi="宋体" w:eastAsia="宋体" w:cs="宋体"/>
                <w:color w:val="auto"/>
                <w:spacing w:val="-4"/>
                <w:sz w:val="20"/>
                <w:szCs w:val="20"/>
              </w:rPr>
              <w:t>环</w:t>
            </w:r>
            <w:r>
              <w:rPr>
                <w:rFonts w:ascii="宋体" w:hAnsi="宋体" w:eastAsia="宋体" w:cs="宋体"/>
                <w:color w:val="auto"/>
                <w:spacing w:val="-27"/>
                <w:sz w:val="20"/>
                <w:szCs w:val="20"/>
              </w:rPr>
              <w:t xml:space="preserve"> </w:t>
            </w:r>
            <w:r>
              <w:rPr>
                <w:rFonts w:ascii="宋体" w:hAnsi="宋体" w:eastAsia="宋体" w:cs="宋体"/>
                <w:color w:val="auto"/>
                <w:spacing w:val="-4"/>
                <w:sz w:val="20"/>
                <w:szCs w:val="20"/>
              </w:rPr>
              <w:t>境</w:t>
            </w:r>
            <w:r>
              <w:rPr>
                <w:rFonts w:ascii="宋体" w:hAnsi="宋体" w:eastAsia="宋体" w:cs="宋体"/>
                <w:color w:val="auto"/>
                <w:spacing w:val="-18"/>
                <w:sz w:val="20"/>
                <w:szCs w:val="20"/>
              </w:rPr>
              <w:t xml:space="preserve"> </w:t>
            </w:r>
            <w:r>
              <w:rPr>
                <w:rFonts w:ascii="宋体" w:hAnsi="宋体" w:eastAsia="宋体" w:cs="宋体"/>
                <w:color w:val="auto"/>
                <w:spacing w:val="-4"/>
                <w:sz w:val="20"/>
                <w:szCs w:val="20"/>
              </w:rPr>
              <w:t>噪</w:t>
            </w:r>
            <w:r>
              <w:rPr>
                <w:rFonts w:ascii="宋体" w:hAnsi="宋体" w:eastAsia="宋体" w:cs="宋体"/>
                <w:color w:val="auto"/>
                <w:spacing w:val="-23"/>
                <w:sz w:val="20"/>
                <w:szCs w:val="20"/>
              </w:rPr>
              <w:t xml:space="preserve"> </w:t>
            </w:r>
            <w:r>
              <w:rPr>
                <w:rFonts w:ascii="宋体" w:hAnsi="宋体" w:eastAsia="宋体" w:cs="宋体"/>
                <w:color w:val="auto"/>
                <w:spacing w:val="-4"/>
                <w:sz w:val="20"/>
                <w:szCs w:val="20"/>
              </w:rPr>
              <w:t>声</w:t>
            </w:r>
            <w:r>
              <w:rPr>
                <w:rFonts w:ascii="宋体" w:hAnsi="宋体" w:eastAsia="宋体" w:cs="宋体"/>
                <w:color w:val="auto"/>
                <w:spacing w:val="-28"/>
                <w:sz w:val="20"/>
                <w:szCs w:val="20"/>
              </w:rPr>
              <w:t xml:space="preserve"> </w:t>
            </w:r>
            <w:r>
              <w:rPr>
                <w:rFonts w:ascii="宋体" w:hAnsi="宋体" w:eastAsia="宋体" w:cs="宋体"/>
                <w:color w:val="auto"/>
                <w:spacing w:val="-4"/>
                <w:sz w:val="20"/>
                <w:szCs w:val="20"/>
              </w:rPr>
              <w:t>排</w:t>
            </w:r>
            <w:r>
              <w:rPr>
                <w:rFonts w:ascii="宋体" w:hAnsi="宋体" w:eastAsia="宋体" w:cs="宋体"/>
                <w:color w:val="auto"/>
                <w:spacing w:val="-28"/>
                <w:sz w:val="20"/>
                <w:szCs w:val="20"/>
              </w:rPr>
              <w:t xml:space="preserve"> </w:t>
            </w:r>
            <w:r>
              <w:rPr>
                <w:rFonts w:ascii="宋体" w:hAnsi="宋体" w:eastAsia="宋体" w:cs="宋体"/>
                <w:color w:val="auto"/>
                <w:spacing w:val="-4"/>
                <w:sz w:val="20"/>
                <w:szCs w:val="20"/>
              </w:rPr>
              <w:t>放</w:t>
            </w:r>
            <w:r>
              <w:rPr>
                <w:rFonts w:ascii="宋体" w:hAnsi="宋体" w:eastAsia="宋体" w:cs="宋体"/>
                <w:color w:val="auto"/>
                <w:spacing w:val="-27"/>
                <w:sz w:val="20"/>
                <w:szCs w:val="20"/>
              </w:rPr>
              <w:t xml:space="preserve"> </w:t>
            </w:r>
            <w:r>
              <w:rPr>
                <w:rFonts w:ascii="宋体" w:hAnsi="宋体" w:eastAsia="宋体" w:cs="宋体"/>
                <w:color w:val="auto"/>
                <w:spacing w:val="-4"/>
                <w:sz w:val="20"/>
                <w:szCs w:val="20"/>
              </w:rPr>
              <w:t>标</w:t>
            </w:r>
            <w:r>
              <w:rPr>
                <w:rFonts w:ascii="宋体" w:hAnsi="宋体" w:eastAsia="宋体" w:cs="宋体"/>
                <w:color w:val="auto"/>
                <w:spacing w:val="-26"/>
                <w:sz w:val="20"/>
                <w:szCs w:val="20"/>
              </w:rPr>
              <w:t xml:space="preserve"> </w:t>
            </w:r>
            <w:r>
              <w:rPr>
                <w:rFonts w:ascii="宋体" w:hAnsi="宋体" w:eastAsia="宋体" w:cs="宋体"/>
                <w:color w:val="auto"/>
                <w:spacing w:val="-4"/>
                <w:sz w:val="20"/>
                <w:szCs w:val="20"/>
              </w:rPr>
              <w:t>准》</w:t>
            </w:r>
            <w:r>
              <w:rPr>
                <w:rFonts w:ascii="宋体" w:hAnsi="宋体" w:eastAsia="宋体" w:cs="宋体"/>
                <w:color w:val="auto"/>
                <w:spacing w:val="9"/>
                <w:sz w:val="20"/>
                <w:szCs w:val="20"/>
              </w:rPr>
              <w:t>(</w:t>
            </w:r>
            <w:r>
              <w:rPr>
                <w:rFonts w:ascii="宋体" w:hAnsi="宋体" w:eastAsia="宋体" w:cs="宋体"/>
                <w:color w:val="auto"/>
                <w:sz w:val="20"/>
                <w:szCs w:val="20"/>
              </w:rPr>
              <w:t>GB</w:t>
            </w:r>
            <w:r>
              <w:rPr>
                <w:rFonts w:ascii="宋体" w:hAnsi="宋体" w:eastAsia="宋体" w:cs="宋体"/>
                <w:color w:val="auto"/>
                <w:spacing w:val="9"/>
                <w:sz w:val="20"/>
                <w:szCs w:val="20"/>
              </w:rPr>
              <w:t>12348-2008)2类标准限值要求。</w:t>
            </w:r>
            <w:r>
              <w:rPr>
                <w:rFonts w:ascii="宋体" w:hAnsi="宋体" w:eastAsia="宋体" w:cs="宋体"/>
                <w:color w:val="auto"/>
                <w:spacing w:val="10"/>
                <w:sz w:val="20"/>
                <w:szCs w:val="20"/>
              </w:rPr>
              <w:t>输电线路线下噪声能够满足《声环</w:t>
            </w:r>
            <w:r>
              <w:rPr>
                <w:rFonts w:ascii="宋体" w:hAnsi="宋体" w:eastAsia="宋体" w:cs="宋体"/>
                <w:color w:val="auto"/>
                <w:spacing w:val="13"/>
                <w:sz w:val="20"/>
                <w:szCs w:val="20"/>
              </w:rPr>
              <w:t>境质量标准》(</w:t>
            </w:r>
            <w:r>
              <w:rPr>
                <w:rFonts w:ascii="宋体" w:hAnsi="宋体" w:eastAsia="宋体" w:cs="宋体"/>
                <w:color w:val="auto"/>
                <w:sz w:val="20"/>
                <w:szCs w:val="20"/>
              </w:rPr>
              <w:t>GB</w:t>
            </w:r>
            <w:r>
              <w:rPr>
                <w:rFonts w:ascii="宋体" w:hAnsi="宋体" w:eastAsia="宋体" w:cs="宋体"/>
                <w:color w:val="auto"/>
                <w:spacing w:val="13"/>
                <w:sz w:val="20"/>
                <w:szCs w:val="20"/>
              </w:rPr>
              <w:t>3096-2008)中相</w:t>
            </w:r>
            <w:r>
              <w:rPr>
                <w:rFonts w:ascii="宋体" w:hAnsi="宋体" w:eastAsia="宋体" w:cs="宋体"/>
                <w:color w:val="auto"/>
                <w:spacing w:val="22"/>
                <w:sz w:val="20"/>
                <w:szCs w:val="20"/>
              </w:rPr>
              <w:t>应标准要求。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color w:val="auto"/>
                <w:sz w:val="21"/>
                <w:szCs w:val="21"/>
              </w:rPr>
            </w:pPr>
            <w:r>
              <w:rPr>
                <w:color w:val="auto"/>
                <w:sz w:val="21"/>
                <w:szCs w:val="21"/>
              </w:rPr>
              <w:t>3</w:t>
            </w:r>
          </w:p>
        </w:tc>
        <w:tc>
          <w:tcPr>
            <w:tcW w:w="233" w:type="pct"/>
            <w:vAlign w:val="center"/>
          </w:tcPr>
          <w:p>
            <w:pPr>
              <w:bidi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水环境</w:t>
            </w:r>
          </w:p>
        </w:tc>
        <w:tc>
          <w:tcPr>
            <w:tcW w:w="2428" w:type="pct"/>
            <w:vAlign w:val="center"/>
          </w:tcPr>
          <w:p>
            <w:pPr>
              <w:bidi w:val="0"/>
              <w:spacing w:line="240" w:lineRule="auto"/>
              <w:ind w:firstLine="420" w:firstLineChars="200"/>
              <w:jc w:val="both"/>
              <w:rPr>
                <w:color w:val="auto"/>
                <w:sz w:val="21"/>
                <w:szCs w:val="21"/>
              </w:rPr>
            </w:pPr>
            <w:r>
              <w:rPr>
                <w:color w:val="auto"/>
                <w:sz w:val="21"/>
                <w:szCs w:val="21"/>
              </w:rPr>
              <w:t>严格生活污水和生活垃圾管理。施工期施工废水主要为车辆清洗废水经沉淀池沉淀后回用。生活污水用于泼洒抑尘。运营期餐饮废水经隔油池(1.0m³) 处理后，与生活污水经地埋式一体化污水处理设施(1.0m³/d) 处理后达到《城市污水再生利用城市杂用水水质》(GB/T18920-2020)中表1城市绿化、道路清扫、消防、建筑施工限值后排入冬季暂存池(30m³)</w:t>
            </w:r>
            <w:r>
              <w:rPr>
                <w:rFonts w:hint="eastAsia"/>
                <w:color w:val="auto"/>
                <w:sz w:val="21"/>
                <w:szCs w:val="21"/>
                <w:lang w:eastAsia="zh-CN"/>
              </w:rPr>
              <w:t>，</w:t>
            </w:r>
            <w:r>
              <w:rPr>
                <w:color w:val="auto"/>
                <w:sz w:val="21"/>
                <w:szCs w:val="21"/>
              </w:rPr>
              <w:t>用于场区洒水降尘，不外排。生活垃圾集中收集后运送至环卫部门指定地点妥善处置。</w:t>
            </w:r>
          </w:p>
        </w:tc>
        <w:tc>
          <w:tcPr>
            <w:tcW w:w="2102" w:type="pct"/>
            <w:vAlign w:val="center"/>
          </w:tcPr>
          <w:p>
            <w:pPr>
              <w:bidi w:val="0"/>
              <w:spacing w:line="240" w:lineRule="auto"/>
              <w:ind w:firstLine="420" w:firstLineChars="200"/>
              <w:jc w:val="left"/>
              <w:rPr>
                <w:rFonts w:hint="eastAsia"/>
                <w:color w:val="auto"/>
                <w:sz w:val="21"/>
                <w:szCs w:val="21"/>
                <w:lang w:eastAsia="zh-CN"/>
              </w:rPr>
            </w:pPr>
            <w:r>
              <w:rPr>
                <w:color w:val="auto"/>
                <w:sz w:val="21"/>
                <w:szCs w:val="21"/>
              </w:rPr>
              <w:t>已落实。</w:t>
            </w:r>
            <w:r>
              <w:rPr>
                <w:rFonts w:hint="eastAsia"/>
                <w:color w:val="auto"/>
                <w:sz w:val="21"/>
                <w:szCs w:val="21"/>
                <w:lang w:val="en-US" w:eastAsia="zh-CN"/>
              </w:rPr>
              <w:t>项目</w:t>
            </w:r>
            <w:r>
              <w:rPr>
                <w:color w:val="auto"/>
                <w:sz w:val="21"/>
                <w:szCs w:val="21"/>
              </w:rPr>
              <w:t>施工期施工废水主要为车辆清洗废水经沉淀池沉淀后回用。生活污水用于泼洒抑尘。运营期餐饮废水经隔油池(1.0m³) 处理后，与生活污水经地埋式一体化污水处理设施(</w:t>
            </w:r>
            <w:r>
              <w:rPr>
                <w:rFonts w:hint="eastAsia"/>
                <w:color w:val="auto"/>
                <w:sz w:val="21"/>
                <w:szCs w:val="21"/>
                <w:lang w:val="en-US" w:eastAsia="zh-CN"/>
              </w:rPr>
              <w:t>20</w:t>
            </w:r>
            <w:r>
              <w:rPr>
                <w:color w:val="auto"/>
                <w:sz w:val="21"/>
                <w:szCs w:val="21"/>
              </w:rPr>
              <w:t>m³/d) 处理后达到《城市污水再生利用城市杂用水水质》(GB/T18920-2020)中表1城市绿化、道路清扫、消防、建筑施工限值后排入冬季暂存池(30m³)</w:t>
            </w:r>
            <w:r>
              <w:rPr>
                <w:rFonts w:hint="eastAsia"/>
                <w:color w:val="auto"/>
                <w:sz w:val="21"/>
                <w:szCs w:val="21"/>
                <w:lang w:eastAsia="zh-CN"/>
              </w:rPr>
              <w:t>，</w:t>
            </w:r>
            <w:r>
              <w:rPr>
                <w:color w:val="auto"/>
                <w:sz w:val="21"/>
                <w:szCs w:val="21"/>
              </w:rPr>
              <w:t>用于场区洒水降尘，不外排。生活垃圾集中收集后运送至环卫部门指定地点妥善处置。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color w:val="auto"/>
                <w:sz w:val="21"/>
                <w:szCs w:val="21"/>
              </w:rPr>
            </w:pPr>
            <w:r>
              <w:rPr>
                <w:color w:val="auto"/>
                <w:sz w:val="21"/>
                <w:szCs w:val="21"/>
              </w:rPr>
              <w:t>4</w:t>
            </w:r>
          </w:p>
        </w:tc>
        <w:tc>
          <w:tcPr>
            <w:tcW w:w="233" w:type="pct"/>
            <w:vAlign w:val="center"/>
          </w:tcPr>
          <w:p>
            <w:pPr>
              <w:bidi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固体废物</w:t>
            </w:r>
          </w:p>
        </w:tc>
        <w:tc>
          <w:tcPr>
            <w:tcW w:w="2428" w:type="pct"/>
            <w:vAlign w:val="center"/>
          </w:tcPr>
          <w:p>
            <w:pPr>
              <w:bidi w:val="0"/>
              <w:spacing w:line="240" w:lineRule="auto"/>
              <w:ind w:firstLine="420" w:firstLineChars="200"/>
              <w:jc w:val="both"/>
              <w:rPr>
                <w:color w:val="auto"/>
                <w:sz w:val="21"/>
                <w:szCs w:val="21"/>
              </w:rPr>
            </w:pPr>
            <w:r>
              <w:rPr>
                <w:color w:val="auto"/>
                <w:sz w:val="21"/>
                <w:szCs w:val="21"/>
              </w:rPr>
              <w:t>加强危险废物和一般废物管理。升压站内规范建设10m²的危废暂存间，对产生的废铅蓄电池暂存于危废暂存间；在110kV北部滩升压站设置1座34m³防渗漏事故油池</w:t>
            </w:r>
            <w:r>
              <w:rPr>
                <w:rFonts w:hint="eastAsia"/>
                <w:color w:val="auto"/>
                <w:sz w:val="21"/>
                <w:szCs w:val="21"/>
                <w:lang w:eastAsia="zh-CN"/>
              </w:rPr>
              <w:t>，</w:t>
            </w:r>
            <w:r>
              <w:rPr>
                <w:color w:val="auto"/>
                <w:sz w:val="21"/>
                <w:szCs w:val="21"/>
              </w:rPr>
              <w:t>4台主变下方各设置一座7m³的防渗漏事故油坑，四周设有排油槽并与事故油池相连。对产生的废变压器油、废旧蓄电池及油抹布等危险废物及时委托有资质单位安全处置，严格按照“甘肃省固体废物生态环境保护监管平台”相关要求，录入资质单位基本信息及转移情况记录备查。不得随意处置危险废物。一般废物废储能电池(磷酸铁锂电池),根据《一般工业固体废物分类名录及废物代码》(2021版实施)</w:t>
            </w:r>
            <w:r>
              <w:rPr>
                <w:rFonts w:hint="eastAsia"/>
                <w:color w:val="auto"/>
                <w:sz w:val="21"/>
                <w:szCs w:val="21"/>
                <w:lang w:eastAsia="zh-CN"/>
              </w:rPr>
              <w:t>，</w:t>
            </w:r>
            <w:r>
              <w:rPr>
                <w:color w:val="auto"/>
                <w:sz w:val="21"/>
                <w:szCs w:val="21"/>
              </w:rPr>
              <w:t>储能系统产生的废锂电池固废代码为“废弃资源13(废电池”),退役的磷酸铁锂电池由电力公司物资部门统一回收，升压站内不储存。</w:t>
            </w:r>
          </w:p>
        </w:tc>
        <w:tc>
          <w:tcPr>
            <w:tcW w:w="2102" w:type="pct"/>
            <w:vAlign w:val="center"/>
          </w:tcPr>
          <w:p>
            <w:pPr>
              <w:spacing w:before="42" w:line="240" w:lineRule="auto"/>
              <w:ind w:left="100" w:right="241" w:firstLine="420" w:firstLineChars="200"/>
              <w:jc w:val="left"/>
              <w:rPr>
                <w:color w:val="auto"/>
                <w:sz w:val="21"/>
                <w:szCs w:val="21"/>
              </w:rPr>
            </w:pPr>
            <w:r>
              <w:rPr>
                <w:color w:val="auto"/>
                <w:sz w:val="21"/>
                <w:szCs w:val="21"/>
              </w:rPr>
              <w:t>已落实。</w:t>
            </w:r>
            <w:r>
              <w:rPr>
                <w:rFonts w:hint="eastAsia"/>
                <w:color w:val="auto"/>
                <w:sz w:val="21"/>
                <w:szCs w:val="21"/>
                <w:lang w:val="en-US" w:eastAsia="zh-CN"/>
              </w:rPr>
              <w:t>项目</w:t>
            </w:r>
            <w:r>
              <w:rPr>
                <w:rFonts w:ascii="宋体" w:hAnsi="宋体" w:eastAsia="宋体" w:cs="宋体"/>
                <w:color w:val="auto"/>
                <w:spacing w:val="2"/>
                <w:sz w:val="21"/>
                <w:szCs w:val="21"/>
              </w:rPr>
              <w:t>生活垃圾设置垃圾桶集中收集后运送至环卫</w:t>
            </w:r>
            <w:r>
              <w:rPr>
                <w:rFonts w:ascii="宋体" w:hAnsi="宋体" w:eastAsia="宋体" w:cs="宋体"/>
                <w:color w:val="auto"/>
                <w:spacing w:val="1"/>
                <w:sz w:val="21"/>
                <w:szCs w:val="21"/>
              </w:rPr>
              <w:t>部</w:t>
            </w:r>
            <w:r>
              <w:rPr>
                <w:rFonts w:ascii="宋体" w:hAnsi="宋体" w:eastAsia="宋体" w:cs="宋体"/>
                <w:color w:val="auto"/>
                <w:spacing w:val="17"/>
                <w:sz w:val="21"/>
                <w:szCs w:val="21"/>
              </w:rPr>
              <w:t>门指定地点；</w:t>
            </w:r>
            <w:r>
              <w:rPr>
                <w:rFonts w:ascii="宋体" w:hAnsi="宋体" w:eastAsia="宋体" w:cs="宋体"/>
                <w:color w:val="auto"/>
                <w:spacing w:val="-1"/>
                <w:sz w:val="21"/>
                <w:szCs w:val="21"/>
              </w:rPr>
              <w:t>废变压器油、废旧蓄电池及油抹布等危险废物委</w:t>
            </w:r>
            <w:r>
              <w:rPr>
                <w:rFonts w:ascii="宋体" w:hAnsi="宋体" w:eastAsia="宋体" w:cs="宋体"/>
                <w:color w:val="auto"/>
                <w:spacing w:val="9"/>
                <w:sz w:val="21"/>
                <w:szCs w:val="21"/>
              </w:rPr>
              <w:t>托</w:t>
            </w:r>
            <w:r>
              <w:rPr>
                <w:rFonts w:hint="eastAsia" w:ascii="宋体" w:hAnsi="宋体" w:eastAsia="宋体" w:cs="宋体"/>
                <w:color w:val="auto"/>
                <w:spacing w:val="9"/>
                <w:sz w:val="21"/>
                <w:szCs w:val="21"/>
              </w:rPr>
              <w:t>甘肃禾希环保科技有限公司</w:t>
            </w:r>
            <w:r>
              <w:rPr>
                <w:rFonts w:ascii="宋体" w:hAnsi="宋体" w:eastAsia="宋体" w:cs="宋体"/>
                <w:color w:val="auto"/>
                <w:spacing w:val="9"/>
                <w:sz w:val="21"/>
                <w:szCs w:val="21"/>
              </w:rPr>
              <w:t>安全处置。</w:t>
            </w:r>
            <w:r>
              <w:rPr>
                <w:rFonts w:ascii="宋体" w:hAnsi="宋体" w:eastAsia="宋体" w:cs="宋体"/>
                <w:color w:val="auto"/>
                <w:spacing w:val="11"/>
                <w:sz w:val="21"/>
                <w:szCs w:val="21"/>
              </w:rPr>
              <w:t>一般废物废退役的储能电池(磷酸铁锂电池</w:t>
            </w:r>
            <w:r>
              <w:rPr>
                <w:rFonts w:ascii="宋体" w:hAnsi="宋体" w:eastAsia="宋体" w:cs="宋体"/>
                <w:color w:val="auto"/>
                <w:spacing w:val="10"/>
                <w:sz w:val="21"/>
                <w:szCs w:val="21"/>
              </w:rPr>
              <w:t>),</w:t>
            </w:r>
            <w:r>
              <w:rPr>
                <w:rFonts w:ascii="宋体" w:hAnsi="宋体" w:eastAsia="宋体" w:cs="宋体"/>
                <w:color w:val="auto"/>
                <w:sz w:val="21"/>
                <w:szCs w:val="21"/>
              </w:rPr>
              <w:t xml:space="preserve"> </w:t>
            </w:r>
            <w:r>
              <w:rPr>
                <w:rFonts w:ascii="宋体" w:hAnsi="宋体" w:eastAsia="宋体" w:cs="宋体"/>
                <w:color w:val="auto"/>
                <w:spacing w:val="5"/>
                <w:sz w:val="21"/>
                <w:szCs w:val="21"/>
              </w:rPr>
              <w:t>根据《一般工业固体废物分类名录及废物代码》</w:t>
            </w:r>
            <w:r>
              <w:rPr>
                <w:rFonts w:ascii="宋体" w:hAnsi="宋体" w:eastAsia="宋体" w:cs="宋体"/>
                <w:color w:val="auto"/>
                <w:spacing w:val="8"/>
                <w:sz w:val="21"/>
                <w:szCs w:val="21"/>
              </w:rPr>
              <w:t>(2021版实施),由</w:t>
            </w:r>
            <w:r>
              <w:rPr>
                <w:rFonts w:hint="eastAsia" w:ascii="宋体" w:hAnsi="宋体" w:eastAsia="宋体" w:cs="宋体"/>
                <w:color w:val="auto"/>
                <w:spacing w:val="8"/>
                <w:sz w:val="21"/>
                <w:szCs w:val="21"/>
              </w:rPr>
              <w:t>甘肃禾希环保科技有限公司</w:t>
            </w:r>
            <w:r>
              <w:rPr>
                <w:rFonts w:ascii="宋体" w:hAnsi="宋体" w:eastAsia="宋体" w:cs="宋体"/>
                <w:color w:val="auto"/>
                <w:spacing w:val="8"/>
                <w:sz w:val="21"/>
                <w:szCs w:val="21"/>
              </w:rPr>
              <w:t>统一回收，</w:t>
            </w:r>
            <w:r>
              <w:rPr>
                <w:rFonts w:ascii="宋体" w:hAnsi="宋体" w:eastAsia="宋体" w:cs="宋体"/>
                <w:color w:val="auto"/>
                <w:spacing w:val="13"/>
                <w:sz w:val="21"/>
                <w:szCs w:val="21"/>
              </w:rPr>
              <w:t>升压站内不储存。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5</w:t>
            </w:r>
          </w:p>
        </w:tc>
        <w:tc>
          <w:tcPr>
            <w:tcW w:w="233" w:type="pct"/>
            <w:vAlign w:val="center"/>
          </w:tcPr>
          <w:p>
            <w:pPr>
              <w:bidi w:val="0"/>
              <w:spacing w:line="240" w:lineRule="auto"/>
              <w:jc w:val="center"/>
              <w:rPr>
                <w:color w:val="auto"/>
                <w:sz w:val="21"/>
                <w:szCs w:val="21"/>
              </w:rPr>
            </w:pPr>
            <w:r>
              <w:rPr>
                <w:color w:val="auto"/>
                <w:sz w:val="21"/>
                <w:szCs w:val="21"/>
              </w:rPr>
              <w:t>环境</w:t>
            </w:r>
          </w:p>
          <w:p>
            <w:pPr>
              <w:bidi w:val="0"/>
              <w:spacing w:line="240" w:lineRule="auto"/>
              <w:jc w:val="center"/>
              <w:rPr>
                <w:rFonts w:hint="eastAsia"/>
                <w:color w:val="auto"/>
                <w:sz w:val="21"/>
                <w:szCs w:val="21"/>
                <w:lang w:val="en-US" w:eastAsia="zh-CN"/>
              </w:rPr>
            </w:pPr>
            <w:r>
              <w:rPr>
                <w:color w:val="auto"/>
                <w:sz w:val="21"/>
                <w:szCs w:val="21"/>
              </w:rPr>
              <w:t>风险</w:t>
            </w:r>
          </w:p>
        </w:tc>
        <w:tc>
          <w:tcPr>
            <w:tcW w:w="2428" w:type="pct"/>
            <w:vAlign w:val="center"/>
          </w:tcPr>
          <w:p>
            <w:pPr>
              <w:bidi w:val="0"/>
              <w:spacing w:line="240" w:lineRule="auto"/>
              <w:ind w:firstLine="420" w:firstLineChars="200"/>
              <w:jc w:val="both"/>
              <w:rPr>
                <w:color w:val="auto"/>
                <w:sz w:val="21"/>
                <w:szCs w:val="21"/>
              </w:rPr>
            </w:pPr>
            <w:r>
              <w:rPr>
                <w:color w:val="auto"/>
                <w:sz w:val="21"/>
                <w:szCs w:val="21"/>
              </w:rPr>
              <w:t>按要求设置消防灭火设施、消防报警装置、新建事故油池(34m³)1座，建设油水分离装置，并采取防渗措施。</w:t>
            </w:r>
          </w:p>
        </w:tc>
        <w:tc>
          <w:tcPr>
            <w:tcW w:w="2102" w:type="pct"/>
            <w:vAlign w:val="center"/>
          </w:tcPr>
          <w:p>
            <w:pPr>
              <w:bidi w:val="0"/>
              <w:spacing w:line="240" w:lineRule="auto"/>
              <w:ind w:firstLine="420" w:firstLineChars="200"/>
              <w:jc w:val="left"/>
              <w:rPr>
                <w:color w:val="auto"/>
                <w:sz w:val="21"/>
                <w:szCs w:val="21"/>
              </w:rPr>
            </w:pPr>
            <w:r>
              <w:rPr>
                <w:color w:val="auto"/>
                <w:sz w:val="21"/>
                <w:szCs w:val="21"/>
              </w:rPr>
              <w:t>已落实。</w:t>
            </w:r>
            <w:r>
              <w:rPr>
                <w:rFonts w:hint="eastAsia"/>
                <w:color w:val="auto"/>
                <w:sz w:val="21"/>
                <w:szCs w:val="21"/>
                <w:lang w:val="en-US" w:eastAsia="zh-CN"/>
              </w:rPr>
              <w:t>项目</w:t>
            </w:r>
            <w:r>
              <w:rPr>
                <w:rFonts w:ascii="宋体" w:hAnsi="宋体" w:eastAsia="宋体" w:cs="宋体"/>
                <w:color w:val="auto"/>
                <w:spacing w:val="-1"/>
                <w:sz w:val="21"/>
                <w:szCs w:val="21"/>
              </w:rPr>
              <w:t>按要求设置消防灭火设施、消防报警装置、新建事</w:t>
            </w:r>
            <w:r>
              <w:rPr>
                <w:rFonts w:ascii="宋体" w:hAnsi="宋体" w:eastAsia="宋体" w:cs="宋体"/>
                <w:color w:val="auto"/>
                <w:spacing w:val="12"/>
                <w:sz w:val="21"/>
                <w:szCs w:val="21"/>
              </w:rPr>
              <w:t>故油池(34m³)1座，建设油水分离装置</w:t>
            </w:r>
            <w:r>
              <w:rPr>
                <w:rFonts w:ascii="宋体" w:hAnsi="宋体" w:eastAsia="宋体" w:cs="宋体"/>
                <w:color w:val="auto"/>
                <w:spacing w:val="11"/>
                <w:sz w:val="21"/>
                <w:szCs w:val="21"/>
              </w:rPr>
              <w:t>，并采取</w:t>
            </w:r>
            <w:r>
              <w:rPr>
                <w:rFonts w:ascii="宋体" w:hAnsi="宋体" w:eastAsia="宋体" w:cs="宋体"/>
                <w:color w:val="auto"/>
                <w:spacing w:val="20"/>
                <w:sz w:val="21"/>
                <w:szCs w:val="21"/>
              </w:rPr>
              <w:t>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6</w:t>
            </w:r>
          </w:p>
        </w:tc>
        <w:tc>
          <w:tcPr>
            <w:tcW w:w="233" w:type="pct"/>
            <w:vAlign w:val="center"/>
          </w:tcPr>
          <w:p>
            <w:pPr>
              <w:bidi w:val="0"/>
              <w:spacing w:line="240" w:lineRule="auto"/>
              <w:jc w:val="center"/>
              <w:rPr>
                <w:color w:val="auto"/>
                <w:sz w:val="21"/>
                <w:szCs w:val="21"/>
              </w:rPr>
            </w:pPr>
            <w:r>
              <w:rPr>
                <w:color w:val="auto"/>
                <w:sz w:val="21"/>
                <w:szCs w:val="21"/>
              </w:rPr>
              <w:t>环境</w:t>
            </w:r>
          </w:p>
          <w:p>
            <w:pPr>
              <w:bidi w:val="0"/>
              <w:spacing w:line="240" w:lineRule="auto"/>
              <w:jc w:val="center"/>
              <w:rPr>
                <w:rFonts w:hint="eastAsia"/>
                <w:color w:val="auto"/>
                <w:sz w:val="21"/>
                <w:szCs w:val="21"/>
                <w:lang w:val="en-US" w:eastAsia="zh-CN"/>
              </w:rPr>
            </w:pPr>
            <w:r>
              <w:rPr>
                <w:color w:val="auto"/>
                <w:sz w:val="21"/>
                <w:szCs w:val="21"/>
              </w:rPr>
              <w:t>监测</w:t>
            </w:r>
          </w:p>
        </w:tc>
        <w:tc>
          <w:tcPr>
            <w:tcW w:w="2428" w:type="pct"/>
            <w:vAlign w:val="center"/>
          </w:tcPr>
          <w:p>
            <w:pPr>
              <w:bidi w:val="0"/>
              <w:spacing w:line="240" w:lineRule="auto"/>
              <w:ind w:firstLine="420" w:firstLineChars="200"/>
              <w:jc w:val="both"/>
              <w:rPr>
                <w:color w:val="auto"/>
                <w:sz w:val="21"/>
                <w:szCs w:val="21"/>
              </w:rPr>
            </w:pPr>
            <w:r>
              <w:rPr>
                <w:color w:val="auto"/>
                <w:sz w:val="21"/>
                <w:szCs w:val="21"/>
              </w:rPr>
              <w:t>组织落实环境监测计划，分析、整理监测结果，积累监测数据。</w:t>
            </w:r>
          </w:p>
        </w:tc>
        <w:tc>
          <w:tcPr>
            <w:tcW w:w="2102" w:type="pct"/>
            <w:vAlign w:val="center"/>
          </w:tcPr>
          <w:p>
            <w:pPr>
              <w:bidi w:val="0"/>
              <w:spacing w:line="240" w:lineRule="auto"/>
              <w:ind w:firstLine="420" w:firstLineChars="200"/>
              <w:jc w:val="left"/>
              <w:rPr>
                <w:color w:val="auto"/>
                <w:sz w:val="21"/>
                <w:szCs w:val="21"/>
              </w:rPr>
            </w:pPr>
            <w:r>
              <w:rPr>
                <w:color w:val="auto"/>
                <w:sz w:val="21"/>
                <w:szCs w:val="21"/>
              </w:rPr>
              <w:t>已落实。</w:t>
            </w:r>
            <w:r>
              <w:rPr>
                <w:rFonts w:hint="eastAsia"/>
                <w:color w:val="auto"/>
                <w:sz w:val="21"/>
                <w:szCs w:val="21"/>
                <w:lang w:val="en-US" w:eastAsia="zh-CN"/>
              </w:rPr>
              <w:t>项目将</w:t>
            </w:r>
            <w:r>
              <w:rPr>
                <w:rFonts w:ascii="宋体" w:hAnsi="宋体" w:eastAsia="宋体" w:cs="宋体"/>
                <w:color w:val="auto"/>
                <w:spacing w:val="7"/>
                <w:sz w:val="21"/>
                <w:szCs w:val="21"/>
              </w:rPr>
              <w:t>按《报告表》环境监测计划执行，</w:t>
            </w:r>
            <w:r>
              <w:rPr>
                <w:rFonts w:ascii="宋体" w:hAnsi="宋体" w:eastAsia="宋体" w:cs="宋体"/>
                <w:color w:val="auto"/>
                <w:sz w:val="21"/>
                <w:szCs w:val="21"/>
              </w:rPr>
              <w:t>建立工频电场、工频磁场及噪声等</w:t>
            </w:r>
            <w:r>
              <w:rPr>
                <w:rFonts w:ascii="宋体" w:hAnsi="宋体" w:eastAsia="宋体" w:cs="宋体"/>
                <w:color w:val="auto"/>
                <w:spacing w:val="9"/>
                <w:sz w:val="21"/>
                <w:szCs w:val="21"/>
              </w:rPr>
              <w:t>环境监测现状数据档案。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7</w:t>
            </w:r>
          </w:p>
        </w:tc>
        <w:tc>
          <w:tcPr>
            <w:tcW w:w="2662" w:type="pct"/>
            <w:gridSpan w:val="2"/>
            <w:vAlign w:val="center"/>
          </w:tcPr>
          <w:p>
            <w:pPr>
              <w:bidi w:val="0"/>
              <w:spacing w:line="240" w:lineRule="auto"/>
              <w:ind w:firstLine="420" w:firstLineChars="200"/>
              <w:jc w:val="both"/>
              <w:rPr>
                <w:color w:val="auto"/>
                <w:sz w:val="21"/>
                <w:szCs w:val="21"/>
              </w:rPr>
            </w:pPr>
            <w:r>
              <w:rPr>
                <w:color w:val="auto"/>
                <w:sz w:val="21"/>
                <w:szCs w:val="21"/>
              </w:rPr>
              <w:t>工程走线跨越电力线、通信线、河流等，要严格按《110～750KV架空输电线路设计规范》(GB50545-2010)要求进行设计和施工建设，控制各种交叉跨越最小距离及导线对地高度。线路经过张掖黑河湿地国家级自然保护区等生态敏感区时，应采取较小塔型、高塔跨越、档距加大等各项环境保护措施，选择影响较小区域通过，减少占地和林木砍伐，防止破坏生态环境和景观。</w:t>
            </w:r>
          </w:p>
        </w:tc>
        <w:tc>
          <w:tcPr>
            <w:tcW w:w="2102" w:type="pct"/>
            <w:vAlign w:val="center"/>
          </w:tcPr>
          <w:p>
            <w:pPr>
              <w:bidi w:val="0"/>
              <w:spacing w:line="240" w:lineRule="auto"/>
              <w:ind w:firstLine="420" w:firstLineChars="200"/>
              <w:rPr>
                <w:color w:val="auto"/>
                <w:sz w:val="21"/>
                <w:szCs w:val="21"/>
              </w:rPr>
            </w:pPr>
            <w:r>
              <w:rPr>
                <w:color w:val="auto"/>
                <w:sz w:val="21"/>
                <w:szCs w:val="21"/>
              </w:rPr>
              <w:t>已落实。</w:t>
            </w:r>
          </w:p>
          <w:p>
            <w:pPr>
              <w:bidi w:val="0"/>
              <w:spacing w:line="240" w:lineRule="auto"/>
              <w:ind w:firstLine="420" w:firstLineChars="200"/>
              <w:rPr>
                <w:rFonts w:hint="eastAsia"/>
                <w:color w:val="auto"/>
                <w:sz w:val="21"/>
                <w:szCs w:val="21"/>
                <w:lang w:eastAsia="zh-CN"/>
              </w:rPr>
            </w:pPr>
            <w:r>
              <w:rPr>
                <w:rFonts w:hint="eastAsia"/>
                <w:color w:val="auto"/>
                <w:sz w:val="21"/>
                <w:szCs w:val="21"/>
                <w:lang w:val="en-US" w:eastAsia="zh-CN"/>
              </w:rPr>
              <w:t>项目</w:t>
            </w:r>
            <w:r>
              <w:rPr>
                <w:color w:val="auto"/>
                <w:sz w:val="21"/>
                <w:szCs w:val="21"/>
              </w:rPr>
              <w:t>工程走线跨越电力线、通信线等</w:t>
            </w:r>
            <w:r>
              <w:rPr>
                <w:rFonts w:hint="eastAsia"/>
                <w:color w:val="auto"/>
                <w:sz w:val="21"/>
                <w:szCs w:val="21"/>
                <w:lang w:eastAsia="zh-CN"/>
              </w:rPr>
              <w:t>，</w:t>
            </w:r>
            <w:r>
              <w:rPr>
                <w:color w:val="auto"/>
                <w:sz w:val="21"/>
                <w:szCs w:val="21"/>
              </w:rPr>
              <w:t>严格按《110～750KV架空输电线路设计规范》(GB50545-2010)要求进行</w:t>
            </w:r>
            <w:r>
              <w:rPr>
                <w:rFonts w:hint="eastAsia"/>
                <w:color w:val="auto"/>
                <w:sz w:val="21"/>
                <w:szCs w:val="21"/>
                <w:lang w:val="en-US" w:eastAsia="zh-CN"/>
              </w:rPr>
              <w:t>了</w:t>
            </w:r>
            <w:r>
              <w:rPr>
                <w:color w:val="auto"/>
                <w:sz w:val="21"/>
                <w:szCs w:val="21"/>
              </w:rPr>
              <w:t>设计和施工建设，控制各种交叉跨越最小距离及导线对地高度</w:t>
            </w:r>
            <w:r>
              <w:rPr>
                <w:rFonts w:hint="eastAsia"/>
                <w:color w:val="auto"/>
                <w:sz w:val="21"/>
                <w:szCs w:val="21"/>
                <w:lang w:eastAsia="zh-CN"/>
              </w:rPr>
              <w:t>。</w:t>
            </w:r>
          </w:p>
          <w:p>
            <w:pPr>
              <w:bidi w:val="0"/>
              <w:spacing w:line="240" w:lineRule="auto"/>
              <w:ind w:firstLine="420" w:firstLineChars="200"/>
              <w:rPr>
                <w:rFonts w:hint="eastAsia" w:eastAsia="宋体"/>
                <w:color w:val="auto"/>
                <w:szCs w:val="21"/>
                <w:lang w:eastAsia="zh-CN"/>
              </w:rPr>
            </w:pPr>
            <w:r>
              <w:rPr>
                <w:color w:val="auto"/>
                <w:sz w:val="21"/>
                <w:szCs w:val="21"/>
              </w:rPr>
              <w:t>根据《高台县黑河湿地国家级自然保护区管理局关于高台县北部滩百万千瓦风电基地40万千瓦风电项目 110KV送出线路工程项目用地征求意见的复函》（高湿管函字〔2022〕71号），本项目不涉及黑河湿地国家级自然保护区，距离黑河湿地国家级自然保护区的最近距离为1.34km</w:t>
            </w:r>
            <w:r>
              <w:rPr>
                <w:rFonts w:hint="eastAsia"/>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8</w:t>
            </w:r>
          </w:p>
        </w:tc>
        <w:tc>
          <w:tcPr>
            <w:tcW w:w="2662" w:type="pct"/>
            <w:gridSpan w:val="2"/>
            <w:vAlign w:val="center"/>
          </w:tcPr>
          <w:p>
            <w:pPr>
              <w:bidi w:val="0"/>
              <w:spacing w:line="240" w:lineRule="auto"/>
              <w:ind w:firstLine="420" w:firstLineChars="200"/>
              <w:jc w:val="both"/>
              <w:rPr>
                <w:color w:val="auto"/>
                <w:sz w:val="21"/>
                <w:szCs w:val="21"/>
              </w:rPr>
            </w:pPr>
            <w:r>
              <w:rPr>
                <w:color w:val="auto"/>
                <w:sz w:val="21"/>
                <w:szCs w:val="21"/>
              </w:rPr>
              <w:t>工程设计、施工中要落实具体的生态保护、水土保持和污染防治措施，并加强施工期的环境监理工作。施工过程中，要合理安排工期，尽量减少施工临时占地面积和对植被的破坏，并采取有效防尘、降噪措施，防止施工扰民。工程完成后，及时进行施工迹地恢复，恢复地表原有植被，不得将施工垃圾、弃土弃渣遗弃。</w:t>
            </w:r>
          </w:p>
        </w:tc>
        <w:tc>
          <w:tcPr>
            <w:tcW w:w="2102" w:type="pct"/>
            <w:vAlign w:val="center"/>
          </w:tcPr>
          <w:p>
            <w:pPr>
              <w:bidi w:val="0"/>
              <w:spacing w:line="240" w:lineRule="auto"/>
              <w:ind w:firstLine="420" w:firstLineChars="200"/>
              <w:jc w:val="left"/>
              <w:rPr>
                <w:color w:val="auto"/>
                <w:sz w:val="21"/>
                <w:szCs w:val="21"/>
              </w:rPr>
            </w:pPr>
            <w:r>
              <w:rPr>
                <w:color w:val="auto"/>
                <w:sz w:val="21"/>
                <w:szCs w:val="21"/>
              </w:rPr>
              <w:t>已落实。工程设计、施工中落实</w:t>
            </w:r>
            <w:r>
              <w:rPr>
                <w:rFonts w:hint="eastAsia"/>
                <w:color w:val="auto"/>
                <w:sz w:val="21"/>
                <w:szCs w:val="21"/>
                <w:lang w:val="en-US" w:eastAsia="zh-CN"/>
              </w:rPr>
              <w:t>了</w:t>
            </w:r>
            <w:r>
              <w:rPr>
                <w:color w:val="auto"/>
                <w:sz w:val="21"/>
                <w:szCs w:val="21"/>
              </w:rPr>
              <w:t>具体的生态保护、水土保持和污染防治措施，并加强施工期的环境监理工作。施工过程中，合理安排工期，减少</w:t>
            </w:r>
            <w:r>
              <w:rPr>
                <w:rFonts w:hint="eastAsia"/>
                <w:color w:val="auto"/>
                <w:sz w:val="21"/>
                <w:szCs w:val="21"/>
                <w:lang w:val="en-US" w:eastAsia="zh-CN"/>
              </w:rPr>
              <w:t>了</w:t>
            </w:r>
            <w:r>
              <w:rPr>
                <w:color w:val="auto"/>
                <w:sz w:val="21"/>
                <w:szCs w:val="21"/>
              </w:rPr>
              <w:t>施工临时占地面积和对植被的破坏，并采取</w:t>
            </w:r>
            <w:r>
              <w:rPr>
                <w:rFonts w:hint="eastAsia"/>
                <w:color w:val="auto"/>
                <w:sz w:val="21"/>
                <w:szCs w:val="21"/>
                <w:lang w:val="en-US" w:eastAsia="zh-CN"/>
              </w:rPr>
              <w:t>了</w:t>
            </w:r>
            <w:r>
              <w:rPr>
                <w:color w:val="auto"/>
                <w:sz w:val="21"/>
                <w:szCs w:val="21"/>
              </w:rPr>
              <w:t>有效防尘、降噪措施，防止施工扰民。工程完成后，及时进行</w:t>
            </w:r>
            <w:r>
              <w:rPr>
                <w:rFonts w:hint="eastAsia"/>
                <w:color w:val="auto"/>
                <w:sz w:val="21"/>
                <w:szCs w:val="21"/>
                <w:lang w:val="en-US" w:eastAsia="zh-CN"/>
              </w:rPr>
              <w:t>了</w:t>
            </w:r>
            <w:r>
              <w:rPr>
                <w:color w:val="auto"/>
                <w:sz w:val="21"/>
                <w:szCs w:val="21"/>
              </w:rPr>
              <w:t>施工迹地恢复，恢复地表原有植被，</w:t>
            </w:r>
            <w:r>
              <w:rPr>
                <w:rFonts w:hint="eastAsia"/>
                <w:color w:val="auto"/>
                <w:sz w:val="21"/>
                <w:szCs w:val="21"/>
                <w:lang w:val="en-US" w:eastAsia="zh-CN"/>
              </w:rPr>
              <w:t>未</w:t>
            </w:r>
            <w:r>
              <w:rPr>
                <w:color w:val="auto"/>
                <w:sz w:val="21"/>
                <w:szCs w:val="21"/>
              </w:rPr>
              <w:t>将施工垃圾、弃土弃渣遗弃。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9</w:t>
            </w:r>
          </w:p>
        </w:tc>
        <w:tc>
          <w:tcPr>
            <w:tcW w:w="2662" w:type="pct"/>
            <w:gridSpan w:val="2"/>
            <w:vAlign w:val="center"/>
          </w:tcPr>
          <w:p>
            <w:pPr>
              <w:bidi w:val="0"/>
              <w:spacing w:line="240" w:lineRule="auto"/>
              <w:ind w:firstLine="420" w:firstLineChars="200"/>
              <w:jc w:val="both"/>
              <w:rPr>
                <w:color w:val="auto"/>
                <w:sz w:val="21"/>
                <w:szCs w:val="21"/>
              </w:rPr>
            </w:pPr>
            <w:r>
              <w:rPr>
                <w:color w:val="auto"/>
                <w:sz w:val="21"/>
                <w:szCs w:val="21"/>
              </w:rPr>
              <w:t>项目初步设计及建设过程中，项目的性质、规模、地点或生态保护、污染防治措施发生重大变动的，应当按要求重新报批环境影响报告表，发生一般变动的应报我局备案。</w:t>
            </w:r>
          </w:p>
        </w:tc>
        <w:tc>
          <w:tcPr>
            <w:tcW w:w="2102" w:type="pct"/>
            <w:vAlign w:val="center"/>
          </w:tcPr>
          <w:p>
            <w:pPr>
              <w:bidi w:val="0"/>
              <w:spacing w:line="240" w:lineRule="auto"/>
              <w:ind w:firstLine="420" w:firstLineChars="200"/>
              <w:jc w:val="left"/>
              <w:rPr>
                <w:rFonts w:hint="eastAsia" w:eastAsia="宋体"/>
                <w:color w:val="auto"/>
                <w:sz w:val="21"/>
                <w:szCs w:val="21"/>
                <w:lang w:eastAsia="zh-CN"/>
              </w:rPr>
            </w:pPr>
            <w:r>
              <w:rPr>
                <w:color w:val="auto"/>
                <w:sz w:val="21"/>
                <w:szCs w:val="21"/>
              </w:rPr>
              <w:t>已落实。项目初步设计及建设过程中，项目的性质、规模、地点或生态保护、污染防治措施</w:t>
            </w:r>
            <w:r>
              <w:rPr>
                <w:rFonts w:hint="eastAsia"/>
                <w:color w:val="auto"/>
                <w:sz w:val="21"/>
                <w:szCs w:val="21"/>
                <w:lang w:val="en-US" w:eastAsia="zh-CN"/>
              </w:rPr>
              <w:t>未</w:t>
            </w:r>
            <w:r>
              <w:rPr>
                <w:color w:val="auto"/>
                <w:sz w:val="21"/>
                <w:szCs w:val="21"/>
              </w:rPr>
              <w:t>发生重大变动</w:t>
            </w:r>
            <w:r>
              <w:rPr>
                <w:rFonts w:hint="eastAsia"/>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10</w:t>
            </w:r>
          </w:p>
        </w:tc>
        <w:tc>
          <w:tcPr>
            <w:tcW w:w="2662" w:type="pct"/>
            <w:gridSpan w:val="2"/>
            <w:vAlign w:val="center"/>
          </w:tcPr>
          <w:p>
            <w:pPr>
              <w:bidi w:val="0"/>
              <w:spacing w:line="240" w:lineRule="auto"/>
              <w:ind w:firstLine="420" w:firstLineChars="200"/>
              <w:jc w:val="both"/>
              <w:rPr>
                <w:color w:val="auto"/>
                <w:sz w:val="21"/>
                <w:szCs w:val="21"/>
              </w:rPr>
            </w:pPr>
            <w:r>
              <w:rPr>
                <w:color w:val="auto"/>
                <w:sz w:val="21"/>
                <w:szCs w:val="21"/>
              </w:rPr>
              <w:t>项目建设应严格执行配套建设的环境保护设施与主体工程同时设计、同时施工、同时投产使用的环境保护“三同时”制度，并落实各项生态环保措施。项目竣工后，须按规定程序及时 开展竣工环境保护自主验收，经验收合格后，项目方可投入正式运行。</w:t>
            </w:r>
          </w:p>
        </w:tc>
        <w:tc>
          <w:tcPr>
            <w:tcW w:w="2102" w:type="pct"/>
            <w:vAlign w:val="center"/>
          </w:tcPr>
          <w:p>
            <w:pPr>
              <w:bidi w:val="0"/>
              <w:spacing w:line="240" w:lineRule="auto"/>
              <w:ind w:firstLine="420" w:firstLineChars="200"/>
              <w:jc w:val="left"/>
              <w:rPr>
                <w:color w:val="auto"/>
                <w:sz w:val="21"/>
                <w:szCs w:val="21"/>
              </w:rPr>
            </w:pPr>
            <w:r>
              <w:rPr>
                <w:color w:val="auto"/>
                <w:sz w:val="21"/>
                <w:szCs w:val="21"/>
              </w:rPr>
              <w:t>已落实。 “配套的环境保护设施与主体工程同时设计、同时施工、同时投入使用”的环境保护“三同时”制度</w:t>
            </w:r>
            <w:r>
              <w:rPr>
                <w:rFonts w:hint="eastAsia"/>
                <w:color w:val="auto"/>
                <w:sz w:val="21"/>
                <w:szCs w:val="21"/>
                <w:lang w:eastAsia="zh-CN"/>
              </w:rPr>
              <w:t>。</w:t>
            </w:r>
            <w:r>
              <w:rPr>
                <w:color w:val="auto"/>
                <w:sz w:val="21"/>
                <w:szCs w:val="21"/>
              </w:rPr>
              <w:t>已组织竣工环境保护验收调查工作。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35" w:type="pct"/>
            <w:vAlign w:val="center"/>
          </w:tcPr>
          <w:p>
            <w:pPr>
              <w:bidi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11</w:t>
            </w:r>
          </w:p>
        </w:tc>
        <w:tc>
          <w:tcPr>
            <w:tcW w:w="2662" w:type="pct"/>
            <w:gridSpan w:val="2"/>
            <w:vAlign w:val="center"/>
          </w:tcPr>
          <w:p>
            <w:pPr>
              <w:bidi w:val="0"/>
              <w:spacing w:line="240" w:lineRule="auto"/>
              <w:ind w:firstLine="420" w:firstLineChars="200"/>
              <w:jc w:val="both"/>
              <w:rPr>
                <w:color w:val="auto"/>
                <w:sz w:val="21"/>
                <w:szCs w:val="21"/>
              </w:rPr>
            </w:pPr>
            <w:r>
              <w:rPr>
                <w:color w:val="auto"/>
                <w:sz w:val="21"/>
                <w:szCs w:val="21"/>
              </w:rPr>
              <w:t>严格执行《报告表》提出的各项污染源环境管理和监测计划。市生态环境局高台分局、县生态环境保护综合行政执法队切实履行事中事后监管责任，按照《关于进一步完善建设项目环境保护“三同时”及竣工环境保护自主验收监管工作机制的意见》(环执法〔2021〕70号)要求，加强环境保护“三同时”及自主验收监管。</w:t>
            </w:r>
          </w:p>
        </w:tc>
        <w:tc>
          <w:tcPr>
            <w:tcW w:w="2102" w:type="pct"/>
            <w:vAlign w:val="center"/>
          </w:tcPr>
          <w:p>
            <w:pPr>
              <w:bidi w:val="0"/>
              <w:spacing w:line="240" w:lineRule="auto"/>
              <w:ind w:firstLine="420" w:firstLineChars="200"/>
              <w:jc w:val="left"/>
              <w:rPr>
                <w:rFonts w:hint="eastAsia" w:eastAsia="宋体"/>
                <w:color w:val="auto"/>
                <w:sz w:val="21"/>
                <w:szCs w:val="21"/>
                <w:lang w:eastAsia="zh-CN"/>
              </w:rPr>
            </w:pPr>
            <w:r>
              <w:rPr>
                <w:color w:val="auto"/>
                <w:sz w:val="21"/>
                <w:szCs w:val="21"/>
              </w:rPr>
              <w:t>已落实。建设单位加强了施工期</w:t>
            </w:r>
            <w:r>
              <w:rPr>
                <w:rFonts w:hint="eastAsia"/>
                <w:color w:val="auto"/>
                <w:sz w:val="21"/>
                <w:szCs w:val="21"/>
                <w:lang w:val="en-US" w:eastAsia="zh-CN"/>
              </w:rPr>
              <w:t>及运营期</w:t>
            </w:r>
            <w:r>
              <w:rPr>
                <w:color w:val="auto"/>
                <w:sz w:val="21"/>
                <w:szCs w:val="21"/>
              </w:rPr>
              <w:t>的环境保护管理工作，督促参建单位认真落实了施工</w:t>
            </w:r>
            <w:r>
              <w:rPr>
                <w:rFonts w:hint="eastAsia"/>
                <w:color w:val="auto"/>
                <w:sz w:val="21"/>
                <w:szCs w:val="21"/>
                <w:lang w:val="en-US" w:eastAsia="zh-CN"/>
              </w:rPr>
              <w:t>及运营</w:t>
            </w:r>
            <w:r>
              <w:rPr>
                <w:color w:val="auto"/>
                <w:sz w:val="21"/>
                <w:szCs w:val="21"/>
              </w:rPr>
              <w:t>过程中的各项污染防治措施。</w:t>
            </w:r>
          </w:p>
        </w:tc>
      </w:tr>
    </w:tbl>
    <w:p>
      <w:pPr>
        <w:bidi w:val="0"/>
        <w:rPr>
          <w:color w:val="auto"/>
        </w:rPr>
        <w:sectPr>
          <w:headerReference r:id="rId15" w:type="default"/>
          <w:footerReference r:id="rId16" w:type="default"/>
          <w:pgSz w:w="16839" w:h="11907" w:orient="landscape"/>
          <w:pgMar w:top="1111" w:right="1608" w:bottom="1114" w:left="1151" w:header="1459" w:footer="991" w:gutter="0"/>
          <w:pgNumType w:fmt="decimal"/>
          <w:cols w:space="720" w:num="1"/>
        </w:sectPr>
      </w:pPr>
    </w:p>
    <w:p>
      <w:pPr>
        <w:jc w:val="center"/>
        <w:rPr>
          <w:color w:val="auto"/>
        </w:rPr>
      </w:pPr>
      <w:r>
        <w:rPr>
          <w:rFonts w:ascii="Times New Roman" w:hAnsi="Times New Roman" w:eastAsia="宋体"/>
          <w:b/>
          <w:bCs/>
          <w:color w:val="auto"/>
          <w:sz w:val="28"/>
          <w:szCs w:val="28"/>
        </w:rPr>
        <w:t>表 7    电磁环境、声环境监测（附监测点位图）</w:t>
      </w:r>
    </w:p>
    <w:tbl>
      <w:tblPr>
        <w:tblStyle w:val="15"/>
        <w:tblW w:w="50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28"/>
        <w:gridCol w:w="86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restart"/>
            <w:vAlign w:val="center"/>
          </w:tcPr>
          <w:p>
            <w:pPr>
              <w:bidi w:val="0"/>
              <w:jc w:val="center"/>
              <w:rPr>
                <w:rFonts w:hint="default" w:eastAsia="宋体"/>
                <w:color w:val="auto"/>
                <w:lang w:val="en-US" w:eastAsia="zh-CN"/>
              </w:rPr>
            </w:pPr>
            <w:r>
              <w:rPr>
                <w:rFonts w:hint="eastAsia" w:ascii="Times New Roman" w:hAnsi="Times New Roman" w:eastAsia="宋体"/>
                <w:b/>
                <w:bCs/>
                <w:color w:val="auto"/>
                <w:lang w:val="en-US" w:eastAsia="zh-CN"/>
              </w:rPr>
              <w:t>电磁环境监测</w:t>
            </w:r>
          </w:p>
        </w:tc>
        <w:tc>
          <w:tcPr>
            <w:tcW w:w="4612" w:type="pct"/>
            <w:vAlign w:val="center"/>
          </w:tcPr>
          <w:p>
            <w:pPr>
              <w:bidi w:val="0"/>
              <w:spacing w:line="360" w:lineRule="auto"/>
              <w:jc w:val="both"/>
              <w:rPr>
                <w:b/>
                <w:bCs/>
                <w:color w:val="auto"/>
                <w:sz w:val="24"/>
                <w:szCs w:val="24"/>
              </w:rPr>
            </w:pPr>
            <w:r>
              <w:rPr>
                <w:b/>
                <w:bCs/>
                <w:color w:val="auto"/>
                <w:sz w:val="24"/>
                <w:szCs w:val="24"/>
              </w:rPr>
              <w:t>监测因子及监测频次</w:t>
            </w:r>
          </w:p>
          <w:p>
            <w:pPr>
              <w:bidi w:val="0"/>
              <w:ind w:firstLine="482" w:firstLineChars="200"/>
              <w:rPr>
                <w:rFonts w:hint="default"/>
                <w:b/>
                <w:bCs/>
                <w:color w:val="auto"/>
                <w:lang w:val="en-US" w:eastAsia="zh-CN"/>
              </w:rPr>
            </w:pPr>
            <w:r>
              <w:rPr>
                <w:rFonts w:hint="eastAsia"/>
                <w:b/>
                <w:bCs/>
                <w:color w:val="auto"/>
                <w:lang w:val="en-US" w:eastAsia="zh-CN"/>
              </w:rPr>
              <w:t>一、升压站</w:t>
            </w:r>
          </w:p>
          <w:p>
            <w:pPr>
              <w:bidi w:val="0"/>
              <w:ind w:firstLine="482" w:firstLineChars="200"/>
              <w:rPr>
                <w:b/>
                <w:bCs/>
                <w:color w:val="auto"/>
              </w:rPr>
            </w:pPr>
            <w:r>
              <w:rPr>
                <w:rFonts w:hint="eastAsia"/>
                <w:b/>
                <w:bCs/>
                <w:color w:val="auto"/>
                <w:lang w:val="en-US" w:eastAsia="zh-CN"/>
              </w:rPr>
              <w:t>1、</w:t>
            </w:r>
            <w:r>
              <w:rPr>
                <w:b/>
                <w:bCs/>
                <w:color w:val="auto"/>
              </w:rPr>
              <w:t>监测因子及监测指标：</w:t>
            </w:r>
          </w:p>
          <w:p>
            <w:pPr>
              <w:bidi w:val="0"/>
              <w:ind w:firstLine="480" w:firstLineChars="20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工频电场：工频电场强度，V/m</w:t>
            </w:r>
          </w:p>
          <w:p>
            <w:pPr>
              <w:bidi w:val="0"/>
              <w:ind w:firstLine="480" w:firstLineChars="200"/>
              <w:rPr>
                <w:color w:val="auto"/>
              </w:rPr>
            </w:pPr>
            <w:r>
              <w:rPr>
                <w:color w:val="auto"/>
              </w:rPr>
              <w:t>（2）工频磁场：工频磁感应强度，μT</w:t>
            </w:r>
          </w:p>
          <w:p>
            <w:pPr>
              <w:bidi w:val="0"/>
              <w:ind w:firstLine="482" w:firstLineChars="200"/>
              <w:rPr>
                <w:b/>
                <w:bCs/>
                <w:color w:val="auto"/>
              </w:rPr>
            </w:pPr>
            <w:r>
              <w:rPr>
                <w:rFonts w:hint="eastAsia"/>
                <w:b/>
                <w:bCs/>
                <w:color w:val="auto"/>
                <w:lang w:val="en-US" w:eastAsia="zh-CN"/>
              </w:rPr>
              <w:t>2、</w:t>
            </w:r>
            <w:r>
              <w:rPr>
                <w:b/>
                <w:bCs/>
                <w:color w:val="auto"/>
              </w:rPr>
              <w:t>监测频次：</w:t>
            </w:r>
          </w:p>
          <w:p>
            <w:pPr>
              <w:bidi w:val="0"/>
              <w:ind w:firstLine="480" w:firstLineChars="200"/>
              <w:rPr>
                <w:rFonts w:hint="default"/>
                <w:color w:val="auto"/>
                <w:lang w:val="en-US" w:eastAsia="zh-CN"/>
              </w:rPr>
            </w:pPr>
            <w:r>
              <w:rPr>
                <w:rFonts w:hint="default"/>
                <w:color w:val="auto"/>
                <w:lang w:val="en-US" w:eastAsia="zh-CN"/>
              </w:rPr>
              <w:t>监测时间：监测</w:t>
            </w:r>
            <w:r>
              <w:rPr>
                <w:rFonts w:hint="eastAsia"/>
                <w:color w:val="auto"/>
                <w:lang w:val="en-US" w:eastAsia="zh-CN"/>
              </w:rPr>
              <w:t>1</w:t>
            </w:r>
            <w:r>
              <w:rPr>
                <w:rFonts w:hint="default"/>
                <w:color w:val="auto"/>
                <w:lang w:val="en-US" w:eastAsia="zh-CN"/>
              </w:rPr>
              <w:t>天。</w:t>
            </w:r>
          </w:p>
          <w:p>
            <w:pPr>
              <w:bidi w:val="0"/>
              <w:ind w:firstLine="480" w:firstLineChars="200"/>
              <w:rPr>
                <w:rFonts w:hint="default"/>
                <w:color w:val="auto"/>
                <w:lang w:val="en-US" w:eastAsia="zh-CN"/>
              </w:rPr>
            </w:pPr>
            <w:r>
              <w:rPr>
                <w:rFonts w:hint="default"/>
                <w:color w:val="auto"/>
                <w:lang w:val="en-US" w:eastAsia="zh-CN"/>
              </w:rPr>
              <w:t>监测频率：在输变电工程正常运行时间内进行监测，每个监测点连续测5次，每次监测时间不小于15s，并读取稳定状态的最大值。若一期读数起伏较大时，应适当延长监测时间。求出每个监测位置的5次读数的算术平均值作为监测结果。</w:t>
            </w:r>
          </w:p>
          <w:p>
            <w:pPr>
              <w:numPr>
                <w:ilvl w:val="0"/>
                <w:numId w:val="2"/>
              </w:numPr>
              <w:bidi w:val="0"/>
              <w:ind w:firstLine="482" w:firstLineChars="200"/>
              <w:rPr>
                <w:rFonts w:hint="eastAsia"/>
                <w:b/>
                <w:bCs/>
                <w:color w:val="auto"/>
                <w:lang w:val="en-US" w:eastAsia="zh-CN"/>
              </w:rPr>
            </w:pPr>
            <w:r>
              <w:rPr>
                <w:rFonts w:hint="eastAsia"/>
                <w:b/>
                <w:bCs/>
                <w:color w:val="auto"/>
                <w:lang w:val="en-US" w:eastAsia="zh-CN"/>
              </w:rPr>
              <w:t>送出线路</w:t>
            </w:r>
          </w:p>
          <w:p>
            <w:pPr>
              <w:bidi w:val="0"/>
              <w:ind w:firstLine="482" w:firstLineChars="200"/>
              <w:rPr>
                <w:b/>
                <w:bCs/>
                <w:color w:val="auto"/>
              </w:rPr>
            </w:pPr>
            <w:r>
              <w:rPr>
                <w:rFonts w:hint="eastAsia"/>
                <w:b/>
                <w:bCs/>
                <w:color w:val="auto"/>
                <w:lang w:val="en-US" w:eastAsia="zh-CN"/>
              </w:rPr>
              <w:t>1、</w:t>
            </w:r>
            <w:r>
              <w:rPr>
                <w:b/>
                <w:bCs/>
                <w:color w:val="auto"/>
              </w:rPr>
              <w:t>监测因子及监测指标：</w:t>
            </w:r>
          </w:p>
          <w:p>
            <w:pPr>
              <w:bidi w:val="0"/>
              <w:ind w:firstLine="480" w:firstLineChars="20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工频电场：工频电场强度，V/m</w:t>
            </w:r>
          </w:p>
          <w:p>
            <w:pPr>
              <w:bidi w:val="0"/>
              <w:ind w:firstLine="480" w:firstLineChars="200"/>
              <w:rPr>
                <w:color w:val="auto"/>
              </w:rPr>
            </w:pPr>
            <w:r>
              <w:rPr>
                <w:color w:val="auto"/>
              </w:rPr>
              <w:t>（2）工频磁场：工频磁感应强度，μT</w:t>
            </w:r>
          </w:p>
          <w:p>
            <w:pPr>
              <w:bidi w:val="0"/>
              <w:ind w:firstLine="482" w:firstLineChars="200"/>
              <w:rPr>
                <w:b/>
                <w:bCs/>
                <w:color w:val="auto"/>
              </w:rPr>
            </w:pPr>
            <w:r>
              <w:rPr>
                <w:rFonts w:hint="eastAsia"/>
                <w:b/>
                <w:bCs/>
                <w:color w:val="auto"/>
                <w:lang w:val="en-US" w:eastAsia="zh-CN"/>
              </w:rPr>
              <w:t>2、</w:t>
            </w:r>
            <w:r>
              <w:rPr>
                <w:b/>
                <w:bCs/>
                <w:color w:val="auto"/>
              </w:rPr>
              <w:t>监测频次：</w:t>
            </w:r>
          </w:p>
          <w:p>
            <w:pPr>
              <w:bidi w:val="0"/>
              <w:ind w:firstLine="480" w:firstLineChars="200"/>
              <w:rPr>
                <w:rFonts w:hint="default"/>
                <w:color w:val="auto"/>
                <w:lang w:val="en-US" w:eastAsia="zh-CN"/>
              </w:rPr>
            </w:pPr>
            <w:r>
              <w:rPr>
                <w:rFonts w:hint="default"/>
                <w:color w:val="auto"/>
                <w:lang w:val="en-US" w:eastAsia="zh-CN"/>
              </w:rPr>
              <w:t>监测时间：监测</w:t>
            </w:r>
            <w:r>
              <w:rPr>
                <w:rFonts w:hint="eastAsia"/>
                <w:color w:val="auto"/>
                <w:lang w:val="en-US" w:eastAsia="zh-CN"/>
              </w:rPr>
              <w:t>1</w:t>
            </w:r>
            <w:r>
              <w:rPr>
                <w:rFonts w:hint="default"/>
                <w:color w:val="auto"/>
                <w:lang w:val="en-US" w:eastAsia="zh-CN"/>
              </w:rPr>
              <w:t>天。</w:t>
            </w:r>
          </w:p>
          <w:p>
            <w:pPr>
              <w:bidi w:val="0"/>
              <w:ind w:firstLine="480" w:firstLineChars="200"/>
              <w:rPr>
                <w:rFonts w:hint="default"/>
                <w:color w:val="auto"/>
                <w:lang w:val="en-US" w:eastAsia="zh-CN"/>
              </w:rPr>
            </w:pPr>
            <w:r>
              <w:rPr>
                <w:rFonts w:hint="default"/>
                <w:color w:val="auto"/>
                <w:lang w:val="en-US" w:eastAsia="zh-CN"/>
              </w:rPr>
              <w:t>监测频率：在输变电工程正常运行时间内进行监测，每个监测点连续测5次，每次监测时间不小于15s，并读取稳定状态的最大值。若一期读数起伏较大时，应适当延长监测时间。求出每个监测位置的5次读数的算术平均值作为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continue"/>
            <w:vAlign w:val="center"/>
          </w:tcPr>
          <w:p>
            <w:pPr>
              <w:bidi w:val="0"/>
              <w:jc w:val="center"/>
              <w:rPr>
                <w:rFonts w:hint="eastAsia" w:ascii="Times New Roman" w:hAnsi="Times New Roman" w:eastAsia="宋体"/>
                <w:b/>
                <w:bCs/>
                <w:color w:val="auto"/>
                <w:lang w:val="en-US" w:eastAsia="zh-CN"/>
              </w:rPr>
            </w:pPr>
          </w:p>
        </w:tc>
        <w:tc>
          <w:tcPr>
            <w:tcW w:w="4612" w:type="pct"/>
            <w:vAlign w:val="center"/>
          </w:tcPr>
          <w:p>
            <w:pPr>
              <w:bidi w:val="0"/>
              <w:rPr>
                <w:rFonts w:hint="eastAsia"/>
                <w:b/>
                <w:bCs/>
                <w:color w:val="auto"/>
                <w:lang w:val="en-US" w:eastAsia="zh-CN"/>
              </w:rPr>
            </w:pPr>
            <w:r>
              <w:rPr>
                <w:rFonts w:hint="eastAsia"/>
                <w:b/>
                <w:bCs/>
                <w:color w:val="auto"/>
                <w:lang w:val="en-US" w:eastAsia="zh-CN"/>
              </w:rPr>
              <w:t>执行标准</w:t>
            </w:r>
          </w:p>
          <w:p>
            <w:pPr>
              <w:bidi w:val="0"/>
              <w:ind w:firstLine="482" w:firstLineChars="200"/>
              <w:rPr>
                <w:rFonts w:hint="default"/>
                <w:b/>
                <w:bCs/>
                <w:color w:val="auto"/>
                <w:lang w:val="en-US" w:eastAsia="zh-CN"/>
              </w:rPr>
            </w:pPr>
            <w:r>
              <w:rPr>
                <w:rFonts w:hint="eastAsia"/>
                <w:b/>
                <w:bCs/>
                <w:color w:val="auto"/>
                <w:lang w:val="en-US" w:eastAsia="zh-CN"/>
              </w:rPr>
              <w:t>1、升压站</w:t>
            </w:r>
          </w:p>
          <w:p>
            <w:pPr>
              <w:bidi w:val="0"/>
              <w:ind w:firstLine="480" w:firstLineChars="200"/>
              <w:rPr>
                <w:rFonts w:hint="default"/>
                <w:color w:val="auto"/>
                <w:lang w:val="en-US" w:eastAsia="zh-CN"/>
              </w:rPr>
            </w:pPr>
            <w:r>
              <w:rPr>
                <w:rFonts w:hint="default"/>
                <w:color w:val="auto"/>
                <w:lang w:val="en-US" w:eastAsia="zh-CN"/>
              </w:rPr>
              <w:t>本项目</w:t>
            </w:r>
            <w:r>
              <w:rPr>
                <w:rFonts w:hint="eastAsia"/>
                <w:color w:val="auto"/>
                <w:lang w:val="en-US" w:eastAsia="zh-CN"/>
              </w:rPr>
              <w:t>升压站</w:t>
            </w:r>
            <w:r>
              <w:rPr>
                <w:rFonts w:hint="default"/>
                <w:color w:val="auto"/>
                <w:lang w:val="en-US" w:eastAsia="zh-CN"/>
              </w:rPr>
              <w:t>运营期工频电磁场强度执行《电磁环境控制限值》（GB 8702-2014）中4000V/m的工频电场控制限值和100μT的工频磁场控制限值。</w:t>
            </w:r>
          </w:p>
          <w:p>
            <w:pPr>
              <w:numPr>
                <w:ilvl w:val="0"/>
                <w:numId w:val="0"/>
              </w:numPr>
              <w:bidi w:val="0"/>
              <w:ind w:firstLine="482" w:firstLineChars="200"/>
              <w:rPr>
                <w:rFonts w:hint="eastAsia"/>
                <w:b/>
                <w:bCs/>
                <w:color w:val="auto"/>
                <w:lang w:val="en-US" w:eastAsia="zh-CN"/>
              </w:rPr>
            </w:pPr>
            <w:r>
              <w:rPr>
                <w:rFonts w:hint="eastAsia"/>
                <w:b/>
                <w:bCs/>
                <w:color w:val="auto"/>
                <w:lang w:val="en-US" w:eastAsia="zh-CN"/>
              </w:rPr>
              <w:t>2、送出线路</w:t>
            </w:r>
          </w:p>
          <w:p>
            <w:pPr>
              <w:bidi w:val="0"/>
              <w:ind w:firstLine="480" w:firstLineChars="200"/>
              <w:rPr>
                <w:rFonts w:hint="default"/>
                <w:color w:val="auto"/>
                <w:lang w:val="en-US" w:eastAsia="zh-CN"/>
              </w:rPr>
            </w:pPr>
            <w:r>
              <w:rPr>
                <w:rFonts w:hint="default"/>
                <w:color w:val="auto"/>
                <w:lang w:val="en-US" w:eastAsia="zh-CN"/>
              </w:rPr>
              <w:t>架空输电线路线下的耕地、园地、牧草地、畜禽饲养地、养殖水面、道路等场所，其频率50Hz的电场强度控制限值为10kV/m；工频磁感应强度控制限值为100μT。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continue"/>
            <w:vAlign w:val="center"/>
          </w:tcPr>
          <w:p>
            <w:pPr>
              <w:bidi w:val="0"/>
              <w:ind w:firstLine="480" w:firstLineChars="200"/>
              <w:rPr>
                <w:color w:val="auto"/>
              </w:rPr>
            </w:pPr>
          </w:p>
        </w:tc>
        <w:tc>
          <w:tcPr>
            <w:tcW w:w="4612" w:type="pct"/>
            <w:vAlign w:val="center"/>
          </w:tcPr>
          <w:p>
            <w:pPr>
              <w:bidi w:val="0"/>
              <w:spacing w:line="360" w:lineRule="auto"/>
              <w:jc w:val="both"/>
              <w:rPr>
                <w:b/>
                <w:bCs/>
                <w:color w:val="auto"/>
                <w:sz w:val="24"/>
                <w:szCs w:val="24"/>
              </w:rPr>
            </w:pPr>
            <w:r>
              <w:rPr>
                <w:b/>
                <w:bCs/>
                <w:color w:val="auto"/>
                <w:sz w:val="24"/>
                <w:szCs w:val="24"/>
              </w:rPr>
              <w:t>监测方法及监测布点</w:t>
            </w:r>
          </w:p>
          <w:p>
            <w:pPr>
              <w:bidi w:val="0"/>
              <w:ind w:firstLine="482" w:firstLineChars="200"/>
              <w:rPr>
                <w:rFonts w:hint="eastAsia" w:ascii="Times New Roman" w:hAnsi="Times New Roman" w:eastAsia="宋体"/>
                <w:b/>
                <w:bCs/>
                <w:color w:val="auto"/>
                <w:lang w:val="en-US" w:eastAsia="zh-CN"/>
              </w:rPr>
            </w:pPr>
            <w:r>
              <w:rPr>
                <w:rFonts w:hint="eastAsia"/>
                <w:b/>
                <w:bCs/>
                <w:color w:val="auto"/>
                <w:lang w:val="en-US" w:eastAsia="zh-CN"/>
              </w:rPr>
              <w:t>一、升压站</w:t>
            </w:r>
          </w:p>
          <w:p>
            <w:pPr>
              <w:bidi w:val="0"/>
              <w:ind w:firstLine="482" w:firstLineChars="200"/>
              <w:rPr>
                <w:rFonts w:ascii="Times New Roman" w:hAnsi="Times New Roman" w:eastAsia="宋体"/>
                <w:b/>
                <w:bCs/>
                <w:color w:val="auto"/>
              </w:rPr>
            </w:pPr>
            <w:r>
              <w:rPr>
                <w:rFonts w:hint="eastAsia" w:ascii="Times New Roman" w:hAnsi="Times New Roman" w:eastAsia="宋体"/>
                <w:b/>
                <w:bCs/>
                <w:color w:val="auto"/>
                <w:lang w:val="en-US" w:eastAsia="zh-CN"/>
              </w:rPr>
              <w:t>1、</w:t>
            </w:r>
            <w:r>
              <w:rPr>
                <w:rFonts w:ascii="Times New Roman" w:hAnsi="Times New Roman" w:eastAsia="宋体"/>
                <w:b/>
                <w:bCs/>
                <w:color w:val="auto"/>
              </w:rPr>
              <w:t>监测方法</w:t>
            </w:r>
          </w:p>
          <w:p>
            <w:pPr>
              <w:bidi w:val="0"/>
              <w:ind w:firstLine="480" w:firstLineChars="200"/>
              <w:rPr>
                <w:rFonts w:hint="default"/>
                <w:color w:val="auto"/>
                <w:lang w:val="en-US" w:eastAsia="zh-CN"/>
              </w:rPr>
            </w:pPr>
            <w:r>
              <w:rPr>
                <w:rFonts w:hint="default"/>
                <w:color w:val="auto"/>
                <w:lang w:val="en-US" w:eastAsia="zh-CN"/>
              </w:rPr>
              <w:t>《交流输变电工程电磁环境监测方法（试行）》（HJ 681-2013）</w:t>
            </w:r>
          </w:p>
          <w:p>
            <w:pPr>
              <w:bidi w:val="0"/>
              <w:ind w:firstLine="480" w:firstLineChars="200"/>
              <w:rPr>
                <w:b/>
                <w:bCs/>
                <w:color w:val="auto"/>
              </w:rPr>
            </w:pPr>
            <w:r>
              <w:rPr>
                <w:rFonts w:hint="default"/>
                <w:color w:val="auto"/>
                <w:lang w:val="en-US" w:eastAsia="zh-CN"/>
              </w:rPr>
              <w:t>《高压交流架空送电线路、升压站工频电场和磁场测量方法》（DL/T 988-2005）</w:t>
            </w:r>
          </w:p>
          <w:p>
            <w:pPr>
              <w:numPr>
                <w:ilvl w:val="0"/>
                <w:numId w:val="0"/>
              </w:numPr>
              <w:bidi w:val="0"/>
              <w:ind w:firstLine="482" w:firstLineChars="200"/>
              <w:rPr>
                <w:b/>
                <w:bCs/>
                <w:color w:val="auto"/>
              </w:rPr>
            </w:pPr>
            <w:r>
              <w:rPr>
                <w:rFonts w:hint="eastAsia"/>
                <w:b/>
                <w:bCs/>
                <w:color w:val="auto"/>
                <w:lang w:val="en-US" w:eastAsia="zh-CN"/>
              </w:rPr>
              <w:t>2、</w:t>
            </w:r>
            <w:r>
              <w:rPr>
                <w:b/>
                <w:bCs/>
                <w:color w:val="auto"/>
              </w:rPr>
              <w:t>监测布点</w:t>
            </w:r>
          </w:p>
          <w:p>
            <w:pPr>
              <w:bidi w:val="0"/>
              <w:ind w:firstLine="480" w:firstLineChars="200"/>
              <w:rPr>
                <w:color w:val="auto"/>
              </w:rPr>
            </w:pPr>
            <w:r>
              <w:rPr>
                <w:rFonts w:hint="default"/>
                <w:color w:val="auto"/>
                <w:lang w:val="en-US" w:eastAsia="zh-CN"/>
              </w:rPr>
              <w:t>根据项目特征，</w:t>
            </w:r>
            <w:r>
              <w:rPr>
                <w:rFonts w:hint="eastAsia"/>
                <w:color w:val="auto"/>
                <w:lang w:val="en-US" w:eastAsia="zh-CN"/>
              </w:rPr>
              <w:t>在110kV北部滩升压站</w:t>
            </w:r>
            <w:r>
              <w:rPr>
                <w:rFonts w:hint="default"/>
                <w:color w:val="auto"/>
                <w:lang w:val="en-US" w:eastAsia="zh-CN"/>
              </w:rPr>
              <w:t>监测点位</w:t>
            </w:r>
            <w:r>
              <w:rPr>
                <w:rFonts w:hint="eastAsia"/>
                <w:color w:val="auto"/>
                <w:lang w:val="en-US" w:eastAsia="zh-CN"/>
              </w:rPr>
              <w:t>如下表</w:t>
            </w:r>
            <w:r>
              <w:rPr>
                <w:rFonts w:hint="default"/>
                <w:color w:val="auto"/>
                <w:lang w:val="en-US" w:eastAsia="zh-CN"/>
              </w:rPr>
              <w:t>。</w:t>
            </w:r>
            <w:r>
              <w:rPr>
                <w:rFonts w:hint="eastAsia"/>
                <w:color w:val="auto"/>
                <w:lang w:val="en-US" w:eastAsia="zh-CN"/>
              </w:rPr>
              <w:t>升压站中心坐标：E99°34'10.850"，N39°47'33.530"。</w:t>
            </w:r>
          </w:p>
          <w:p>
            <w:pPr>
              <w:bidi w:val="0"/>
              <w:spacing w:line="240" w:lineRule="auto"/>
              <w:jc w:val="center"/>
              <w:rPr>
                <w:rFonts w:ascii="Times New Roman" w:hAnsi="Times New Roman" w:eastAsia="宋体"/>
                <w:b/>
                <w:bCs/>
                <w:color w:val="auto"/>
              </w:rPr>
            </w:pPr>
            <w:r>
              <w:rPr>
                <w:rFonts w:ascii="Times New Roman" w:hAnsi="Times New Roman" w:eastAsia="宋体"/>
                <w:b/>
                <w:bCs/>
                <w:color w:val="auto"/>
              </w:rPr>
              <w:t>表 7-1    电磁环境现状监测点位一览表</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8"/>
              <w:gridCol w:w="5429"/>
              <w:gridCol w:w="1434"/>
              <w:gridCol w:w="1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08" w:type="pct"/>
                  <w:gridSpan w:val="2"/>
                  <w:noWrap w:val="0"/>
                  <w:vAlign w:val="center"/>
                </w:tcPr>
                <w:p>
                  <w:pPr>
                    <w:bidi w:val="0"/>
                    <w:spacing w:line="240" w:lineRule="auto"/>
                    <w:jc w:val="center"/>
                    <w:rPr>
                      <w:rFonts w:hint="eastAsia"/>
                      <w:b/>
                      <w:bCs/>
                      <w:color w:val="auto"/>
                      <w:sz w:val="21"/>
                      <w:szCs w:val="21"/>
                      <w:lang w:val="en-US" w:eastAsia="zh-CN"/>
                    </w:rPr>
                  </w:pPr>
                  <w:r>
                    <w:rPr>
                      <w:rFonts w:hint="default"/>
                      <w:b/>
                      <w:bCs/>
                      <w:color w:val="auto"/>
                      <w:sz w:val="21"/>
                      <w:szCs w:val="21"/>
                    </w:rPr>
                    <w:t>检测点位</w:t>
                  </w:r>
                  <w:r>
                    <w:rPr>
                      <w:rFonts w:hint="eastAsia"/>
                      <w:b/>
                      <w:bCs/>
                      <w:color w:val="auto"/>
                      <w:sz w:val="21"/>
                      <w:szCs w:val="21"/>
                      <w:lang w:val="en-US" w:eastAsia="zh-CN"/>
                    </w:rPr>
                    <w:t>及编号</w:t>
                  </w:r>
                </w:p>
              </w:tc>
              <w:tc>
                <w:tcPr>
                  <w:tcW w:w="828" w:type="pct"/>
                  <w:noWrap w:val="0"/>
                  <w:vAlign w:val="center"/>
                </w:tcPr>
                <w:p>
                  <w:pPr>
                    <w:bidi w:val="0"/>
                    <w:spacing w:line="240" w:lineRule="auto"/>
                    <w:jc w:val="center"/>
                    <w:rPr>
                      <w:rFonts w:hint="default"/>
                      <w:b/>
                      <w:bCs/>
                      <w:color w:val="auto"/>
                      <w:sz w:val="21"/>
                      <w:szCs w:val="21"/>
                    </w:rPr>
                  </w:pPr>
                  <w:r>
                    <w:rPr>
                      <w:rFonts w:hint="default"/>
                      <w:b/>
                      <w:bCs/>
                      <w:color w:val="auto"/>
                      <w:sz w:val="21"/>
                      <w:szCs w:val="21"/>
                    </w:rPr>
                    <w:t>检测项目</w:t>
                  </w:r>
                </w:p>
              </w:tc>
              <w:tc>
                <w:tcPr>
                  <w:tcW w:w="663" w:type="pct"/>
                  <w:noWrap w:val="0"/>
                  <w:vAlign w:val="center"/>
                </w:tcPr>
                <w:p>
                  <w:pPr>
                    <w:bidi w:val="0"/>
                    <w:spacing w:line="240" w:lineRule="auto"/>
                    <w:jc w:val="center"/>
                    <w:rPr>
                      <w:rFonts w:hint="default"/>
                      <w:b/>
                      <w:bCs/>
                      <w:color w:val="auto"/>
                      <w:sz w:val="21"/>
                      <w:szCs w:val="21"/>
                    </w:rPr>
                  </w:pPr>
                  <w:r>
                    <w:rPr>
                      <w:rFonts w:hint="default"/>
                      <w:b/>
                      <w:bCs/>
                      <w:color w:val="auto"/>
                      <w:sz w:val="21"/>
                      <w:szCs w:val="21"/>
                      <w:lang w:val="en-US" w:eastAsia="zh-CN"/>
                    </w:rPr>
                    <w:t>检</w:t>
                  </w:r>
                  <w:r>
                    <w:rPr>
                      <w:rFonts w:hint="default"/>
                      <w:b/>
                      <w:bCs/>
                      <w:color w:val="auto"/>
                      <w:sz w:val="21"/>
                      <w:szCs w:val="21"/>
                    </w:rPr>
                    <w:t>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1#</w:t>
                  </w:r>
                </w:p>
              </w:tc>
              <w:tc>
                <w:tcPr>
                  <w:tcW w:w="3134"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升压站南侧围墙外5m</w:t>
                  </w:r>
                  <w:r>
                    <w:rPr>
                      <w:rFonts w:hint="eastAsia"/>
                      <w:color w:val="auto"/>
                      <w:sz w:val="21"/>
                      <w:szCs w:val="21"/>
                      <w:lang w:val="en-US" w:eastAsia="zh-CN"/>
                    </w:rPr>
                    <w:t>处</w:t>
                  </w:r>
                </w:p>
              </w:tc>
              <w:tc>
                <w:tcPr>
                  <w:tcW w:w="828" w:type="pct"/>
                  <w:vMerge w:val="restar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工频电场强度、工频磁感应强度</w:t>
                  </w:r>
                </w:p>
              </w:tc>
              <w:tc>
                <w:tcPr>
                  <w:tcW w:w="663" w:type="pct"/>
                  <w:vMerge w:val="restart"/>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检测一次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noWrap w:val="0"/>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2#</w:t>
                  </w:r>
                </w:p>
              </w:tc>
              <w:tc>
                <w:tcPr>
                  <w:tcW w:w="3134"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升压站西侧围墙外5m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noWrap w:val="0"/>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3#</w:t>
                  </w: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升压站北侧围墙外5m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noWrap w:val="0"/>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4#</w:t>
                  </w:r>
                </w:p>
              </w:tc>
              <w:tc>
                <w:tcPr>
                  <w:tcW w:w="3134"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升压站东侧围墙外5m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restart"/>
                  <w:noWrap w:val="0"/>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5#</w:t>
                  </w: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10</w:t>
                  </w:r>
                  <w:r>
                    <w:rPr>
                      <w:rFonts w:hint="default"/>
                      <w:color w:val="auto"/>
                      <w:sz w:val="21"/>
                      <w:szCs w:val="21"/>
                      <w:lang w:val="en-US" w:eastAsia="zh-CN"/>
                    </w:rPr>
                    <w:t>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pPr>
                    <w:bidi w:val="0"/>
                    <w:spacing w:line="240" w:lineRule="auto"/>
                    <w:jc w:val="center"/>
                    <w:rPr>
                      <w:rFonts w:hint="eastAsia"/>
                      <w:color w:val="auto"/>
                      <w:sz w:val="21"/>
                      <w:szCs w:val="21"/>
                      <w:lang w:val="en-US" w:eastAsia="zh-CN"/>
                    </w:rPr>
                  </w:pP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15</w:t>
                  </w:r>
                  <w:r>
                    <w:rPr>
                      <w:rFonts w:hint="default"/>
                      <w:color w:val="auto"/>
                      <w:sz w:val="21"/>
                      <w:szCs w:val="21"/>
                      <w:lang w:val="en-US" w:eastAsia="zh-CN"/>
                    </w:rPr>
                    <w:t>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pPr>
                    <w:bidi w:val="0"/>
                    <w:spacing w:line="240" w:lineRule="auto"/>
                    <w:jc w:val="center"/>
                    <w:rPr>
                      <w:rFonts w:hint="eastAsia"/>
                      <w:color w:val="auto"/>
                      <w:sz w:val="21"/>
                      <w:szCs w:val="21"/>
                      <w:lang w:val="en-US" w:eastAsia="zh-CN"/>
                    </w:rPr>
                  </w:pP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20</w:t>
                  </w:r>
                  <w:r>
                    <w:rPr>
                      <w:rFonts w:hint="default"/>
                      <w:color w:val="auto"/>
                      <w:sz w:val="21"/>
                      <w:szCs w:val="21"/>
                      <w:lang w:val="en-US" w:eastAsia="zh-CN"/>
                    </w:rPr>
                    <w:t>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pPr>
                    <w:bidi w:val="0"/>
                    <w:spacing w:line="240" w:lineRule="auto"/>
                    <w:jc w:val="center"/>
                    <w:rPr>
                      <w:rFonts w:hint="eastAsia"/>
                      <w:color w:val="auto"/>
                      <w:sz w:val="21"/>
                      <w:szCs w:val="21"/>
                      <w:lang w:val="en-US" w:eastAsia="zh-CN"/>
                    </w:rPr>
                  </w:pP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25</w:t>
                  </w:r>
                  <w:r>
                    <w:rPr>
                      <w:rFonts w:hint="default"/>
                      <w:color w:val="auto"/>
                      <w:sz w:val="21"/>
                      <w:szCs w:val="21"/>
                      <w:lang w:val="en-US" w:eastAsia="zh-CN"/>
                    </w:rPr>
                    <w:t>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pPr>
                    <w:bidi w:val="0"/>
                    <w:spacing w:line="240" w:lineRule="auto"/>
                    <w:jc w:val="center"/>
                    <w:rPr>
                      <w:rFonts w:hint="eastAsia"/>
                      <w:color w:val="auto"/>
                      <w:sz w:val="21"/>
                      <w:szCs w:val="21"/>
                      <w:lang w:val="en-US" w:eastAsia="zh-CN"/>
                    </w:rPr>
                  </w:pP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30</w:t>
                  </w:r>
                  <w:r>
                    <w:rPr>
                      <w:rFonts w:hint="default"/>
                      <w:color w:val="auto"/>
                      <w:sz w:val="21"/>
                      <w:szCs w:val="21"/>
                      <w:lang w:val="en-US" w:eastAsia="zh-CN"/>
                    </w:rPr>
                    <w:t>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pPr>
                    <w:bidi w:val="0"/>
                    <w:spacing w:line="240" w:lineRule="auto"/>
                    <w:jc w:val="center"/>
                    <w:rPr>
                      <w:rFonts w:hint="eastAsia"/>
                      <w:color w:val="auto"/>
                      <w:sz w:val="21"/>
                      <w:szCs w:val="21"/>
                      <w:lang w:val="en-US" w:eastAsia="zh-CN"/>
                    </w:rPr>
                  </w:pP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35</w:t>
                  </w:r>
                  <w:r>
                    <w:rPr>
                      <w:rFonts w:hint="default"/>
                      <w:color w:val="auto"/>
                      <w:sz w:val="21"/>
                      <w:szCs w:val="21"/>
                      <w:lang w:val="en-US" w:eastAsia="zh-CN"/>
                    </w:rPr>
                    <w:t>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pPr>
                    <w:bidi w:val="0"/>
                    <w:spacing w:line="240" w:lineRule="auto"/>
                    <w:jc w:val="center"/>
                    <w:rPr>
                      <w:rFonts w:hint="eastAsia"/>
                      <w:color w:val="auto"/>
                      <w:sz w:val="21"/>
                      <w:szCs w:val="21"/>
                      <w:lang w:val="en-US" w:eastAsia="zh-CN"/>
                    </w:rPr>
                  </w:pP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40</w:t>
                  </w:r>
                  <w:r>
                    <w:rPr>
                      <w:rFonts w:hint="default"/>
                      <w:color w:val="auto"/>
                      <w:sz w:val="21"/>
                      <w:szCs w:val="21"/>
                      <w:lang w:val="en-US" w:eastAsia="zh-CN"/>
                    </w:rPr>
                    <w:t>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pPr>
                    <w:bidi w:val="0"/>
                    <w:spacing w:line="240" w:lineRule="auto"/>
                    <w:jc w:val="center"/>
                    <w:rPr>
                      <w:rFonts w:hint="eastAsia"/>
                      <w:color w:val="auto"/>
                      <w:sz w:val="21"/>
                      <w:szCs w:val="21"/>
                      <w:lang w:val="en-US" w:eastAsia="zh-CN"/>
                    </w:rPr>
                  </w:pP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45</w:t>
                  </w:r>
                  <w:r>
                    <w:rPr>
                      <w:rFonts w:hint="default"/>
                      <w:color w:val="auto"/>
                      <w:sz w:val="21"/>
                      <w:szCs w:val="21"/>
                      <w:lang w:val="en-US" w:eastAsia="zh-CN"/>
                    </w:rPr>
                    <w:t>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pPr>
                    <w:bidi w:val="0"/>
                    <w:spacing w:line="240" w:lineRule="auto"/>
                    <w:jc w:val="center"/>
                    <w:rPr>
                      <w:rFonts w:hint="eastAsia"/>
                      <w:color w:val="auto"/>
                      <w:sz w:val="21"/>
                      <w:szCs w:val="21"/>
                      <w:lang w:val="en-US" w:eastAsia="zh-CN"/>
                    </w:rPr>
                  </w:pPr>
                </w:p>
              </w:tc>
              <w:tc>
                <w:tcPr>
                  <w:tcW w:w="3134"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50</w:t>
                  </w:r>
                  <w:r>
                    <w:rPr>
                      <w:rFonts w:hint="default"/>
                      <w:color w:val="auto"/>
                      <w:sz w:val="21"/>
                      <w:szCs w:val="21"/>
                      <w:lang w:val="en-US" w:eastAsia="zh-CN"/>
                    </w:rPr>
                    <w:t>m</w:t>
                  </w:r>
                  <w:r>
                    <w:rPr>
                      <w:rFonts w:hint="eastAsia"/>
                      <w:color w:val="auto"/>
                      <w:sz w:val="21"/>
                      <w:szCs w:val="21"/>
                      <w:lang w:val="en-US" w:eastAsia="zh-CN"/>
                    </w:rPr>
                    <w:t>处</w:t>
                  </w:r>
                </w:p>
              </w:tc>
              <w:tc>
                <w:tcPr>
                  <w:tcW w:w="828" w:type="pct"/>
                  <w:vMerge w:val="continue"/>
                  <w:noWrap w:val="0"/>
                  <w:vAlign w:val="center"/>
                </w:tcPr>
                <w:p>
                  <w:pPr>
                    <w:bidi w:val="0"/>
                    <w:spacing w:line="240" w:lineRule="auto"/>
                    <w:jc w:val="center"/>
                    <w:rPr>
                      <w:rFonts w:hint="default"/>
                      <w:color w:val="auto"/>
                      <w:sz w:val="21"/>
                      <w:szCs w:val="21"/>
                      <w:lang w:val="en-US" w:eastAsia="zh-CN"/>
                    </w:rPr>
                  </w:pPr>
                </w:p>
              </w:tc>
              <w:tc>
                <w:tcPr>
                  <w:tcW w:w="663" w:type="pct"/>
                  <w:vMerge w:val="continue"/>
                  <w:noWrap w:val="0"/>
                  <w:vAlign w:val="center"/>
                </w:tcPr>
                <w:p>
                  <w:pPr>
                    <w:bidi w:val="0"/>
                    <w:spacing w:line="240" w:lineRule="auto"/>
                    <w:jc w:val="center"/>
                    <w:rPr>
                      <w:rFonts w:hint="eastAsia"/>
                      <w:color w:val="auto"/>
                      <w:sz w:val="21"/>
                      <w:szCs w:val="21"/>
                      <w:lang w:val="en-US" w:eastAsia="zh-CN"/>
                    </w:rPr>
                  </w:pPr>
                </w:p>
              </w:tc>
            </w:tr>
          </w:tbl>
          <w:p>
            <w:pPr>
              <w:bidi w:val="0"/>
              <w:ind w:firstLine="480" w:firstLineChars="200"/>
              <w:rPr>
                <w:color w:val="auto"/>
              </w:rPr>
            </w:pPr>
            <w:r>
              <w:rPr>
                <w:color w:val="auto"/>
              </w:rPr>
              <w:t>具体监测点位布设见</w:t>
            </w:r>
            <w:r>
              <w:rPr>
                <w:rFonts w:hint="eastAsia"/>
                <w:color w:val="auto"/>
                <w:lang w:val="en-US" w:eastAsia="zh-CN"/>
              </w:rPr>
              <w:t>附图</w:t>
            </w:r>
            <w:r>
              <w:rPr>
                <w:color w:val="auto"/>
              </w:rPr>
              <w:t>。</w:t>
            </w:r>
          </w:p>
          <w:p>
            <w:pPr>
              <w:bidi w:val="0"/>
              <w:ind w:firstLine="482" w:firstLineChars="200"/>
              <w:rPr>
                <w:rFonts w:hint="default" w:ascii="Times New Roman" w:hAnsi="Times New Roman" w:eastAsia="宋体"/>
                <w:b/>
                <w:bCs/>
                <w:color w:val="auto"/>
                <w:lang w:val="en-US" w:eastAsia="zh-CN"/>
              </w:rPr>
            </w:pPr>
            <w:r>
              <w:rPr>
                <w:rFonts w:hint="eastAsia"/>
                <w:b/>
                <w:bCs/>
                <w:color w:val="auto"/>
                <w:lang w:val="en-US" w:eastAsia="zh-CN"/>
              </w:rPr>
              <w:t>二、送出线路</w:t>
            </w:r>
          </w:p>
          <w:p>
            <w:pPr>
              <w:bidi w:val="0"/>
              <w:ind w:firstLine="482" w:firstLineChars="200"/>
              <w:rPr>
                <w:rFonts w:ascii="Times New Roman" w:hAnsi="Times New Roman" w:eastAsia="宋体"/>
                <w:b/>
                <w:bCs/>
                <w:color w:val="auto"/>
              </w:rPr>
            </w:pPr>
            <w:r>
              <w:rPr>
                <w:rFonts w:hint="eastAsia" w:ascii="Times New Roman" w:hAnsi="Times New Roman" w:eastAsia="宋体"/>
                <w:b/>
                <w:bCs/>
                <w:color w:val="auto"/>
                <w:lang w:val="en-US" w:eastAsia="zh-CN"/>
              </w:rPr>
              <w:t>1、</w:t>
            </w:r>
            <w:r>
              <w:rPr>
                <w:rFonts w:ascii="Times New Roman" w:hAnsi="Times New Roman" w:eastAsia="宋体"/>
                <w:b/>
                <w:bCs/>
                <w:color w:val="auto"/>
              </w:rPr>
              <w:t>监测方法</w:t>
            </w:r>
          </w:p>
          <w:p>
            <w:pPr>
              <w:bidi w:val="0"/>
              <w:ind w:firstLine="480" w:firstLineChars="200"/>
              <w:rPr>
                <w:rFonts w:hint="default"/>
                <w:color w:val="auto"/>
                <w:lang w:val="en-US" w:eastAsia="zh-CN"/>
              </w:rPr>
            </w:pPr>
            <w:r>
              <w:rPr>
                <w:rFonts w:hint="default"/>
                <w:color w:val="auto"/>
                <w:lang w:val="en-US" w:eastAsia="zh-CN"/>
              </w:rPr>
              <w:t>《交流输变电工程电磁环境监测方法（试行）》（HJ 681-2013）</w:t>
            </w:r>
          </w:p>
          <w:p>
            <w:pPr>
              <w:bidi w:val="0"/>
              <w:ind w:firstLine="480" w:firstLineChars="200"/>
              <w:rPr>
                <w:rFonts w:hint="eastAsia"/>
                <w:b/>
                <w:bCs/>
                <w:color w:val="auto"/>
                <w:lang w:val="en-US" w:eastAsia="zh-CN"/>
              </w:rPr>
            </w:pPr>
            <w:r>
              <w:rPr>
                <w:rFonts w:hint="default"/>
                <w:color w:val="auto"/>
                <w:lang w:val="en-US" w:eastAsia="zh-CN"/>
              </w:rPr>
              <w:t>《高压交流架空送电线路、升压站工频电场和磁场测量方法》（DL/T 988-2005）</w:t>
            </w:r>
          </w:p>
          <w:p>
            <w:pPr>
              <w:numPr>
                <w:ilvl w:val="0"/>
                <w:numId w:val="0"/>
              </w:numPr>
              <w:bidi w:val="0"/>
              <w:ind w:firstLine="482" w:firstLineChars="200"/>
              <w:rPr>
                <w:b/>
                <w:bCs/>
                <w:color w:val="auto"/>
              </w:rPr>
            </w:pPr>
            <w:r>
              <w:rPr>
                <w:rFonts w:hint="eastAsia"/>
                <w:b/>
                <w:bCs/>
                <w:color w:val="auto"/>
                <w:lang w:val="en-US" w:eastAsia="zh-CN"/>
              </w:rPr>
              <w:t>2、</w:t>
            </w:r>
            <w:r>
              <w:rPr>
                <w:b/>
                <w:bCs/>
                <w:color w:val="auto"/>
              </w:rPr>
              <w:t>监测布点</w:t>
            </w:r>
          </w:p>
          <w:p>
            <w:pPr>
              <w:bidi w:val="0"/>
              <w:ind w:firstLine="480" w:firstLineChars="200"/>
              <w:rPr>
                <w:rFonts w:ascii="Times New Roman" w:hAnsi="Times New Roman" w:eastAsia="宋体"/>
                <w:b/>
                <w:bCs/>
                <w:color w:val="auto"/>
              </w:rPr>
            </w:pPr>
            <w:r>
              <w:rPr>
                <w:rFonts w:hint="default"/>
                <w:color w:val="auto"/>
                <w:lang w:val="en-US" w:eastAsia="zh-CN"/>
              </w:rPr>
              <w:t>根据项目特征，在110kV北部滩升压站送出路线塔</w:t>
            </w:r>
            <w:r>
              <w:rPr>
                <w:rFonts w:hint="default"/>
                <w:color w:val="auto"/>
              </w:rPr>
              <w:t>BL</w:t>
            </w:r>
            <w:r>
              <w:rPr>
                <w:rFonts w:hint="default"/>
                <w:color w:val="auto"/>
                <w:lang w:val="en-US" w:eastAsia="zh-CN"/>
              </w:rPr>
              <w:t>中心坐标：E99°32'51.66"，N39°47'08.11"至塔基</w:t>
            </w:r>
            <w:r>
              <w:rPr>
                <w:rFonts w:hint="default"/>
                <w:color w:val="auto"/>
              </w:rPr>
              <w:t>BL</w:t>
            </w:r>
            <w:r>
              <w:rPr>
                <w:rFonts w:hint="default"/>
                <w:color w:val="auto"/>
                <w:lang w:val="en-US" w:eastAsia="zh-CN"/>
              </w:rPr>
              <w:t>9中间导线线路进行布点监测。</w:t>
            </w:r>
            <w:r>
              <w:rPr>
                <w:rFonts w:hint="eastAsia"/>
                <w:color w:val="auto"/>
                <w:lang w:val="en-US" w:eastAsia="zh-CN"/>
              </w:rPr>
              <w:t>点位如下。</w:t>
            </w:r>
          </w:p>
          <w:p>
            <w:pPr>
              <w:bidi w:val="0"/>
              <w:spacing w:line="240" w:lineRule="auto"/>
              <w:jc w:val="center"/>
              <w:rPr>
                <w:rFonts w:ascii="Times New Roman" w:hAnsi="Times New Roman" w:eastAsia="宋体"/>
                <w:b/>
                <w:bCs/>
                <w:color w:val="auto"/>
              </w:rPr>
            </w:pPr>
          </w:p>
          <w:p>
            <w:pPr>
              <w:bidi w:val="0"/>
              <w:spacing w:line="240" w:lineRule="auto"/>
              <w:jc w:val="center"/>
              <w:rPr>
                <w:rFonts w:ascii="Times New Roman" w:hAnsi="Times New Roman" w:eastAsia="宋体"/>
                <w:b/>
                <w:bCs/>
                <w:color w:val="auto"/>
              </w:rPr>
            </w:pPr>
            <w:r>
              <w:rPr>
                <w:rFonts w:ascii="Times New Roman" w:hAnsi="Times New Roman" w:eastAsia="宋体"/>
                <w:b/>
                <w:bCs/>
                <w:color w:val="auto"/>
              </w:rPr>
              <w:t>表 7-</w:t>
            </w:r>
            <w:r>
              <w:rPr>
                <w:rFonts w:hint="eastAsia" w:ascii="Times New Roman" w:hAnsi="Times New Roman" w:eastAsia="宋体"/>
                <w:b/>
                <w:bCs/>
                <w:color w:val="auto"/>
                <w:lang w:val="en-US" w:eastAsia="zh-CN"/>
              </w:rPr>
              <w:t>2</w:t>
            </w:r>
            <w:r>
              <w:rPr>
                <w:rFonts w:ascii="Times New Roman" w:hAnsi="Times New Roman" w:eastAsia="宋体"/>
                <w:b/>
                <w:bCs/>
                <w:color w:val="auto"/>
              </w:rPr>
              <w:t xml:space="preserve">    电磁环境现状监测点位一览表</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0"/>
              <w:gridCol w:w="5363"/>
              <w:gridCol w:w="1535"/>
              <w:gridCol w:w="1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60" w:type="pct"/>
                  <w:gridSpan w:val="2"/>
                  <w:noWrap w:val="0"/>
                  <w:vAlign w:val="center"/>
                </w:tcPr>
                <w:p>
                  <w:pPr>
                    <w:bidi w:val="0"/>
                    <w:spacing w:line="240" w:lineRule="auto"/>
                    <w:jc w:val="center"/>
                    <w:rPr>
                      <w:rFonts w:hint="eastAsia"/>
                      <w:b/>
                      <w:bCs/>
                      <w:color w:val="auto"/>
                      <w:sz w:val="21"/>
                      <w:szCs w:val="21"/>
                      <w:lang w:val="en-US" w:eastAsia="zh-CN"/>
                    </w:rPr>
                  </w:pPr>
                  <w:r>
                    <w:rPr>
                      <w:rFonts w:hint="default"/>
                      <w:b/>
                      <w:bCs/>
                      <w:color w:val="auto"/>
                      <w:sz w:val="21"/>
                      <w:szCs w:val="21"/>
                    </w:rPr>
                    <w:t>检测点位</w:t>
                  </w:r>
                  <w:r>
                    <w:rPr>
                      <w:rFonts w:hint="eastAsia"/>
                      <w:b/>
                      <w:bCs/>
                      <w:color w:val="auto"/>
                      <w:sz w:val="21"/>
                      <w:szCs w:val="21"/>
                      <w:lang w:val="en-US" w:eastAsia="zh-CN"/>
                    </w:rPr>
                    <w:t>及编号</w:t>
                  </w:r>
                </w:p>
              </w:tc>
              <w:tc>
                <w:tcPr>
                  <w:tcW w:w="886" w:type="pct"/>
                  <w:noWrap w:val="0"/>
                  <w:vAlign w:val="center"/>
                </w:tcPr>
                <w:p>
                  <w:pPr>
                    <w:bidi w:val="0"/>
                    <w:spacing w:line="240" w:lineRule="auto"/>
                    <w:jc w:val="center"/>
                    <w:rPr>
                      <w:rFonts w:hint="default"/>
                      <w:b/>
                      <w:bCs/>
                      <w:color w:val="auto"/>
                      <w:sz w:val="21"/>
                      <w:szCs w:val="21"/>
                    </w:rPr>
                  </w:pPr>
                  <w:r>
                    <w:rPr>
                      <w:rFonts w:hint="default"/>
                      <w:b/>
                      <w:bCs/>
                      <w:color w:val="auto"/>
                      <w:sz w:val="21"/>
                      <w:szCs w:val="21"/>
                    </w:rPr>
                    <w:t>检测项目</w:t>
                  </w:r>
                </w:p>
              </w:tc>
              <w:tc>
                <w:tcPr>
                  <w:tcW w:w="653" w:type="pct"/>
                  <w:noWrap w:val="0"/>
                  <w:vAlign w:val="center"/>
                </w:tcPr>
                <w:p>
                  <w:pPr>
                    <w:bidi w:val="0"/>
                    <w:spacing w:line="240" w:lineRule="auto"/>
                    <w:jc w:val="center"/>
                    <w:rPr>
                      <w:rFonts w:hint="default"/>
                      <w:b/>
                      <w:bCs/>
                      <w:color w:val="auto"/>
                      <w:sz w:val="21"/>
                      <w:szCs w:val="21"/>
                    </w:rPr>
                  </w:pPr>
                  <w:r>
                    <w:rPr>
                      <w:rFonts w:hint="default"/>
                      <w:b/>
                      <w:bCs/>
                      <w:color w:val="auto"/>
                      <w:sz w:val="21"/>
                      <w:szCs w:val="21"/>
                      <w:lang w:val="en-US" w:eastAsia="zh-CN"/>
                    </w:rPr>
                    <w:t>检</w:t>
                  </w:r>
                  <w:r>
                    <w:rPr>
                      <w:rFonts w:hint="default"/>
                      <w:b/>
                      <w:bCs/>
                      <w:color w:val="auto"/>
                      <w:sz w:val="21"/>
                      <w:szCs w:val="21"/>
                    </w:rPr>
                    <w:t>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6#</w:t>
                  </w:r>
                </w:p>
              </w:tc>
              <w:tc>
                <w:tcPr>
                  <w:tcW w:w="3096" w:type="pct"/>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导线档距中央弧垂最低位置中心投影处</w:t>
                  </w:r>
                </w:p>
              </w:tc>
              <w:tc>
                <w:tcPr>
                  <w:tcW w:w="886" w:type="pct"/>
                  <w:vMerge w:val="restar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工频电场强度、工频磁感应强度</w:t>
                  </w:r>
                </w:p>
              </w:tc>
              <w:tc>
                <w:tcPr>
                  <w:tcW w:w="653" w:type="pct"/>
                  <w:vMerge w:val="restart"/>
                  <w:noWrap w:val="0"/>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检测一次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restart"/>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7#</w:t>
                  </w: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向北10m处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向北15m处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向北20m处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向北25m处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向北30m处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向北35m处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向北40m处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向北45m处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右侧</w:t>
                  </w:r>
                  <w:r>
                    <w:rPr>
                      <w:rFonts w:hint="default"/>
                      <w:color w:val="auto"/>
                      <w:sz w:val="21"/>
                      <w:szCs w:val="21"/>
                      <w:lang w:val="en-US" w:eastAsia="zh-CN"/>
                    </w:rPr>
                    <w:t>边导线投影</w:t>
                  </w:r>
                  <w:r>
                    <w:rPr>
                      <w:rFonts w:hint="eastAsia"/>
                      <w:color w:val="auto"/>
                      <w:sz w:val="21"/>
                      <w:szCs w:val="21"/>
                      <w:lang w:val="en-US" w:eastAsia="zh-CN"/>
                    </w:rPr>
                    <w:t>向北50m处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restart"/>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8#</w:t>
                  </w: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向南10m处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向南15m处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向南20m处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向南25m处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向南30m处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向南35m处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向南40m处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向南45m处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pPr>
                    <w:bidi w:val="0"/>
                    <w:spacing w:line="240" w:lineRule="auto"/>
                    <w:jc w:val="center"/>
                    <w:rPr>
                      <w:rFonts w:hint="eastAsia"/>
                      <w:color w:val="auto"/>
                      <w:sz w:val="21"/>
                      <w:szCs w:val="21"/>
                      <w:lang w:val="en-US" w:eastAsia="zh-CN"/>
                    </w:rPr>
                  </w:pPr>
                </w:p>
              </w:tc>
              <w:tc>
                <w:tcPr>
                  <w:tcW w:w="3096" w:type="pct"/>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输电线路塔基BL8～塔基BL</w:t>
                  </w:r>
                  <w:r>
                    <w:rPr>
                      <w:rFonts w:hint="eastAsia"/>
                      <w:color w:val="auto"/>
                      <w:sz w:val="21"/>
                      <w:szCs w:val="21"/>
                      <w:lang w:val="en-US" w:eastAsia="zh-CN"/>
                    </w:rPr>
                    <w:t>9</w:t>
                  </w:r>
                  <w:r>
                    <w:rPr>
                      <w:rFonts w:hint="default"/>
                      <w:color w:val="auto"/>
                      <w:sz w:val="21"/>
                      <w:szCs w:val="21"/>
                      <w:lang w:val="en-US" w:eastAsia="zh-CN"/>
                    </w:rPr>
                    <w:t>导线档距中央弧垂最低位置</w:t>
                  </w:r>
                  <w:r>
                    <w:rPr>
                      <w:rFonts w:hint="eastAsia"/>
                      <w:color w:val="auto"/>
                      <w:sz w:val="21"/>
                      <w:szCs w:val="21"/>
                      <w:lang w:val="en-US" w:eastAsia="zh-CN"/>
                    </w:rPr>
                    <w:t>左侧</w:t>
                  </w:r>
                  <w:r>
                    <w:rPr>
                      <w:rFonts w:hint="default"/>
                      <w:color w:val="auto"/>
                      <w:sz w:val="21"/>
                      <w:szCs w:val="21"/>
                      <w:lang w:val="en-US" w:eastAsia="zh-CN"/>
                    </w:rPr>
                    <w:t>边导线投影</w:t>
                  </w:r>
                  <w:r>
                    <w:rPr>
                      <w:rFonts w:hint="eastAsia"/>
                      <w:color w:val="auto"/>
                      <w:sz w:val="21"/>
                      <w:szCs w:val="21"/>
                      <w:lang w:val="en-US" w:eastAsia="zh-CN"/>
                    </w:rPr>
                    <w:t>向南50m处</w:t>
                  </w:r>
                </w:p>
              </w:tc>
              <w:tc>
                <w:tcPr>
                  <w:tcW w:w="886" w:type="pct"/>
                  <w:vMerge w:val="continue"/>
                  <w:noWrap w:val="0"/>
                  <w:vAlign w:val="center"/>
                </w:tcPr>
                <w:p>
                  <w:pPr>
                    <w:bidi w:val="0"/>
                    <w:spacing w:line="240" w:lineRule="auto"/>
                    <w:jc w:val="center"/>
                    <w:rPr>
                      <w:rFonts w:hint="default"/>
                      <w:color w:val="auto"/>
                      <w:sz w:val="21"/>
                      <w:szCs w:val="21"/>
                      <w:lang w:val="en-US" w:eastAsia="zh-CN"/>
                    </w:rPr>
                  </w:pPr>
                </w:p>
              </w:tc>
              <w:tc>
                <w:tcPr>
                  <w:tcW w:w="653" w:type="pct"/>
                  <w:vMerge w:val="continue"/>
                  <w:noWrap w:val="0"/>
                  <w:vAlign w:val="center"/>
                </w:tcPr>
                <w:p>
                  <w:pPr>
                    <w:bidi w:val="0"/>
                    <w:spacing w:line="240" w:lineRule="auto"/>
                    <w:jc w:val="center"/>
                    <w:rPr>
                      <w:rFonts w:hint="eastAsia"/>
                      <w:color w:val="auto"/>
                      <w:sz w:val="21"/>
                      <w:szCs w:val="21"/>
                      <w:lang w:val="en-US" w:eastAsia="zh-CN"/>
                    </w:rPr>
                  </w:pPr>
                </w:p>
              </w:tc>
            </w:tr>
          </w:tbl>
          <w:p>
            <w:pPr>
              <w:bidi w:val="0"/>
              <w:ind w:firstLine="480" w:firstLineChars="200"/>
              <w:rPr>
                <w:color w:val="auto"/>
              </w:rPr>
            </w:pPr>
            <w:r>
              <w:rPr>
                <w:color w:val="auto"/>
              </w:rPr>
              <w:t>具体监测点位布设见</w:t>
            </w:r>
            <w:r>
              <w:rPr>
                <w:rFonts w:hint="eastAsia"/>
                <w:color w:val="auto"/>
                <w:lang w:val="en-US" w:eastAsia="zh-CN"/>
              </w:rPr>
              <w:t>附图</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continue"/>
            <w:vAlign w:val="center"/>
          </w:tcPr>
          <w:p>
            <w:pPr>
              <w:bidi w:val="0"/>
              <w:rPr>
                <w:color w:val="auto"/>
              </w:rPr>
            </w:pPr>
          </w:p>
        </w:tc>
        <w:tc>
          <w:tcPr>
            <w:tcW w:w="4612" w:type="pct"/>
            <w:vAlign w:val="center"/>
          </w:tcPr>
          <w:p>
            <w:pPr>
              <w:bidi w:val="0"/>
              <w:spacing w:line="360" w:lineRule="auto"/>
              <w:jc w:val="both"/>
              <w:rPr>
                <w:b/>
                <w:bCs/>
                <w:color w:val="auto"/>
                <w:sz w:val="24"/>
                <w:szCs w:val="24"/>
              </w:rPr>
            </w:pPr>
            <w:r>
              <w:rPr>
                <w:b/>
                <w:bCs/>
                <w:color w:val="auto"/>
                <w:sz w:val="24"/>
                <w:szCs w:val="24"/>
              </w:rPr>
              <w:t>监测单位、监测时间、监测环境条件</w:t>
            </w:r>
          </w:p>
          <w:p>
            <w:pPr>
              <w:bidi w:val="0"/>
              <w:ind w:firstLine="480" w:firstLineChars="200"/>
              <w:rPr>
                <w:rFonts w:hint="eastAsia"/>
                <w:color w:val="auto"/>
                <w:lang w:eastAsia="zh-CN"/>
              </w:rPr>
            </w:pPr>
            <w:r>
              <w:rPr>
                <w:color w:val="auto"/>
              </w:rPr>
              <w:t>监测单位：</w:t>
            </w:r>
            <w:r>
              <w:rPr>
                <w:rFonts w:hint="eastAsia"/>
                <w:color w:val="auto"/>
                <w:lang w:eastAsia="zh-CN"/>
              </w:rPr>
              <w:t>甘肃领越检测技术有限公司</w:t>
            </w:r>
          </w:p>
          <w:p>
            <w:pPr>
              <w:bidi w:val="0"/>
              <w:ind w:firstLine="472" w:firstLineChars="200"/>
              <w:rPr>
                <w:rFonts w:hint="eastAsia"/>
                <w:lang w:eastAsia="zh-CN"/>
              </w:rPr>
            </w:pPr>
            <w:r>
              <w:rPr>
                <w:color w:val="auto"/>
                <w:spacing w:val="-2"/>
              </w:rPr>
              <w:t>监测时间及监测环境条件，见表</w:t>
            </w:r>
            <w:r>
              <w:rPr>
                <w:color w:val="auto"/>
                <w:spacing w:val="-35"/>
              </w:rPr>
              <w:t xml:space="preserve"> </w:t>
            </w:r>
            <w:r>
              <w:rPr>
                <w:rFonts w:ascii="Times New Roman" w:hAnsi="Times New Roman" w:eastAsia="Times New Roman" w:cs="Times New Roman"/>
                <w:color w:val="auto"/>
                <w:spacing w:val="-2"/>
              </w:rPr>
              <w:t>7-</w:t>
            </w:r>
            <w:r>
              <w:rPr>
                <w:rFonts w:hint="eastAsia" w:eastAsia="宋体" w:cs="Times New Roman"/>
                <w:color w:val="auto"/>
                <w:spacing w:val="-2"/>
                <w:lang w:val="en-US" w:eastAsia="zh-CN"/>
              </w:rPr>
              <w:t>3</w:t>
            </w:r>
            <w:r>
              <w:rPr>
                <w:color w:val="auto"/>
                <w:spacing w:val="-2"/>
              </w:rPr>
              <w:t>。</w:t>
            </w:r>
          </w:p>
          <w:p>
            <w:pPr>
              <w:bidi w:val="0"/>
              <w:spacing w:line="240" w:lineRule="auto"/>
              <w:ind w:firstLine="482" w:firstLineChars="200"/>
              <w:jc w:val="center"/>
              <w:rPr>
                <w:b/>
                <w:bCs/>
                <w:color w:val="auto"/>
                <w:vertAlign w:val="baseline"/>
              </w:rPr>
            </w:pPr>
            <w:r>
              <w:rPr>
                <w:b/>
                <w:bCs/>
                <w:color w:val="auto"/>
              </w:rPr>
              <w:t>表 7-</w:t>
            </w:r>
            <w:r>
              <w:rPr>
                <w:rFonts w:hint="eastAsia"/>
                <w:b/>
                <w:bCs/>
                <w:color w:val="auto"/>
                <w:lang w:val="en-US" w:eastAsia="zh-CN"/>
              </w:rPr>
              <w:t>3</w:t>
            </w:r>
            <w:r>
              <w:rPr>
                <w:b/>
                <w:bCs/>
                <w:color w:val="auto"/>
              </w:rPr>
              <w:t xml:space="preserve">    监测时间及环境条件一览表</w:t>
            </w:r>
          </w:p>
          <w:tbl>
            <w:tblPr>
              <w:tblStyle w:val="1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2"/>
              <w:gridCol w:w="887"/>
              <w:gridCol w:w="1313"/>
              <w:gridCol w:w="1483"/>
              <w:gridCol w:w="1282"/>
              <w:gridCol w:w="1174"/>
              <w:gridCol w:w="1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检测日期</w:t>
                  </w:r>
                </w:p>
              </w:tc>
              <w:tc>
                <w:tcPr>
                  <w:tcW w:w="512"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eastAsia"/>
                      <w:b/>
                      <w:bCs/>
                      <w:color w:val="auto"/>
                      <w:sz w:val="21"/>
                      <w:szCs w:val="21"/>
                      <w:lang w:val="en-US" w:eastAsia="zh-CN"/>
                    </w:rPr>
                    <w:t>天气</w:t>
                  </w:r>
                </w:p>
              </w:tc>
              <w:tc>
                <w:tcPr>
                  <w:tcW w:w="758"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温度（℃）</w:t>
                  </w:r>
                </w:p>
              </w:tc>
              <w:tc>
                <w:tcPr>
                  <w:tcW w:w="856"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气压（Kpa）</w:t>
                  </w:r>
                </w:p>
              </w:tc>
              <w:tc>
                <w:tcPr>
                  <w:tcW w:w="740"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湿度（%）</w:t>
                  </w:r>
                </w:p>
              </w:tc>
              <w:tc>
                <w:tcPr>
                  <w:tcW w:w="678"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风向</w:t>
                  </w:r>
                </w:p>
              </w:tc>
              <w:tc>
                <w:tcPr>
                  <w:tcW w:w="730"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风速（m/s）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2023.09.09</w:t>
                  </w:r>
                </w:p>
              </w:tc>
              <w:tc>
                <w:tcPr>
                  <w:tcW w:w="512"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多云</w:t>
                  </w:r>
                </w:p>
              </w:tc>
              <w:tc>
                <w:tcPr>
                  <w:tcW w:w="75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20.7～30.2</w:t>
                  </w:r>
                </w:p>
              </w:tc>
              <w:tc>
                <w:tcPr>
                  <w:tcW w:w="856"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84.72～84.80</w:t>
                  </w:r>
                </w:p>
              </w:tc>
              <w:tc>
                <w:tcPr>
                  <w:tcW w:w="74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16.2～30.4</w:t>
                  </w:r>
                </w:p>
              </w:tc>
              <w:tc>
                <w:tcPr>
                  <w:tcW w:w="67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北风</w:t>
                  </w:r>
                </w:p>
              </w:tc>
              <w:tc>
                <w:tcPr>
                  <w:tcW w:w="73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2023.09.10</w:t>
                  </w:r>
                </w:p>
              </w:tc>
              <w:tc>
                <w:tcPr>
                  <w:tcW w:w="512"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多云</w:t>
                  </w:r>
                </w:p>
              </w:tc>
              <w:tc>
                <w:tcPr>
                  <w:tcW w:w="75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18.5～25.0</w:t>
                  </w:r>
                </w:p>
              </w:tc>
              <w:tc>
                <w:tcPr>
                  <w:tcW w:w="856"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84.75～84.81</w:t>
                  </w:r>
                </w:p>
              </w:tc>
              <w:tc>
                <w:tcPr>
                  <w:tcW w:w="74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22.7～42.5</w:t>
                  </w:r>
                </w:p>
              </w:tc>
              <w:tc>
                <w:tcPr>
                  <w:tcW w:w="67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东北风</w:t>
                  </w:r>
                </w:p>
              </w:tc>
              <w:tc>
                <w:tcPr>
                  <w:tcW w:w="73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1.9～2.1</w:t>
                  </w:r>
                </w:p>
              </w:tc>
            </w:tr>
          </w:tbl>
          <w:p>
            <w:pPr>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continue"/>
            <w:vAlign w:val="center"/>
          </w:tcPr>
          <w:p>
            <w:pPr>
              <w:bidi w:val="0"/>
              <w:rPr>
                <w:color w:val="auto"/>
              </w:rPr>
            </w:pPr>
          </w:p>
        </w:tc>
        <w:tc>
          <w:tcPr>
            <w:tcW w:w="4612" w:type="pct"/>
            <w:vAlign w:val="center"/>
          </w:tcPr>
          <w:p>
            <w:pPr>
              <w:bidi w:val="0"/>
              <w:spacing w:line="360" w:lineRule="auto"/>
              <w:jc w:val="both"/>
              <w:rPr>
                <w:b/>
                <w:bCs/>
                <w:color w:val="auto"/>
                <w:sz w:val="24"/>
                <w:szCs w:val="24"/>
              </w:rPr>
            </w:pPr>
            <w:r>
              <w:rPr>
                <w:b/>
                <w:bCs/>
                <w:color w:val="auto"/>
                <w:sz w:val="24"/>
                <w:szCs w:val="24"/>
              </w:rPr>
              <w:t>监测仪器及工况</w:t>
            </w:r>
          </w:p>
          <w:p>
            <w:pPr>
              <w:bidi w:val="0"/>
              <w:ind w:firstLine="482" w:firstLineChars="200"/>
              <w:rPr>
                <w:b/>
                <w:bCs/>
                <w:color w:val="auto"/>
              </w:rPr>
            </w:pPr>
            <w:r>
              <w:rPr>
                <w:rFonts w:hint="eastAsia"/>
                <w:b/>
                <w:bCs/>
                <w:color w:val="auto"/>
                <w:lang w:val="en-US" w:eastAsia="zh-CN"/>
              </w:rPr>
              <w:t>1、</w:t>
            </w:r>
            <w:r>
              <w:rPr>
                <w:b/>
                <w:bCs/>
                <w:color w:val="auto"/>
              </w:rPr>
              <w:t>监测仪器</w:t>
            </w:r>
          </w:p>
          <w:p>
            <w:pPr>
              <w:bidi w:val="0"/>
              <w:spacing w:line="240" w:lineRule="auto"/>
              <w:jc w:val="center"/>
              <w:rPr>
                <w:b/>
                <w:bCs/>
                <w:color w:val="auto"/>
                <w:vertAlign w:val="baseline"/>
              </w:rPr>
            </w:pPr>
            <w:r>
              <w:rPr>
                <w:b/>
                <w:bCs/>
                <w:color w:val="auto"/>
              </w:rPr>
              <w:t>表 7-</w:t>
            </w:r>
            <w:r>
              <w:rPr>
                <w:rFonts w:hint="eastAsia"/>
                <w:b/>
                <w:bCs/>
                <w:color w:val="auto"/>
                <w:lang w:val="en-US" w:eastAsia="zh-CN"/>
              </w:rPr>
              <w:t>4</w:t>
            </w:r>
            <w:r>
              <w:rPr>
                <w:b/>
                <w:bCs/>
                <w:color w:val="auto"/>
              </w:rPr>
              <w:t xml:space="preserve">    电磁环境监测仪器情况一览表</w:t>
            </w:r>
          </w:p>
          <w:tbl>
            <w:tblPr>
              <w:tblStyle w:val="1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5"/>
              <w:gridCol w:w="2819"/>
              <w:gridCol w:w="3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2" w:type="pct"/>
                  <w:vAlign w:val="center"/>
                </w:tcPr>
                <w:p>
                  <w:pPr>
                    <w:bidi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监测项目</w:t>
                  </w:r>
                </w:p>
              </w:tc>
              <w:tc>
                <w:tcPr>
                  <w:tcW w:w="1627" w:type="pct"/>
                  <w:vAlign w:val="center"/>
                </w:tcPr>
                <w:p>
                  <w:pPr>
                    <w:bidi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监测仪器名称</w:t>
                  </w:r>
                </w:p>
              </w:tc>
              <w:tc>
                <w:tcPr>
                  <w:tcW w:w="2029" w:type="pct"/>
                  <w:vAlign w:val="center"/>
                </w:tcPr>
                <w:p>
                  <w:pPr>
                    <w:bidi w:val="0"/>
                    <w:spacing w:line="240" w:lineRule="auto"/>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仪器型号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2" w:type="pct"/>
                  <w:vAlign w:val="center"/>
                </w:tcPr>
                <w:p>
                  <w:pPr>
                    <w:bidi w:val="0"/>
                    <w:spacing w:line="240" w:lineRule="auto"/>
                    <w:jc w:val="center"/>
                    <w:rPr>
                      <w:rFonts w:hint="eastAsia"/>
                      <w:color w:val="auto"/>
                      <w:sz w:val="21"/>
                      <w:szCs w:val="21"/>
                      <w:lang w:val="en-US" w:eastAsia="zh-CN"/>
                    </w:rPr>
                  </w:pPr>
                  <w:r>
                    <w:rPr>
                      <w:color w:val="auto"/>
                      <w:sz w:val="21"/>
                      <w:szCs w:val="21"/>
                    </w:rPr>
                    <w:t>工频电场</w:t>
                  </w:r>
                </w:p>
              </w:tc>
              <w:tc>
                <w:tcPr>
                  <w:tcW w:w="1627" w:type="pct"/>
                  <w:vAlign w:val="center"/>
                </w:tcPr>
                <w:p>
                  <w:pPr>
                    <w:bidi w:val="0"/>
                    <w:spacing w:line="240" w:lineRule="auto"/>
                    <w:jc w:val="center"/>
                    <w:rPr>
                      <w:rFonts w:hint="eastAsia"/>
                      <w:color w:val="auto"/>
                      <w:sz w:val="21"/>
                      <w:szCs w:val="21"/>
                      <w:lang w:val="en-US" w:eastAsia="zh-CN"/>
                    </w:rPr>
                  </w:pPr>
                  <w:r>
                    <w:rPr>
                      <w:rFonts w:hint="eastAsia" w:ascii="Times New Roman" w:hAnsi="Times New Roman" w:eastAsia="宋体" w:cs="Times New Roman"/>
                      <w:color w:val="auto"/>
                      <w:sz w:val="21"/>
                      <w:szCs w:val="21"/>
                      <w:lang w:val="en-US" w:eastAsia="zh-CN"/>
                    </w:rPr>
                    <w:t>工频电磁辐射分析仪</w:t>
                  </w:r>
                </w:p>
              </w:tc>
              <w:tc>
                <w:tcPr>
                  <w:tcW w:w="2029" w:type="pct"/>
                  <w:vAlign w:val="center"/>
                </w:tcPr>
                <w:p>
                  <w:pPr>
                    <w:bidi w:val="0"/>
                    <w:spacing w:line="240" w:lineRule="auto"/>
                    <w:jc w:val="center"/>
                    <w:rPr>
                      <w:rFonts w:hint="eastAsia"/>
                      <w:color w:val="auto"/>
                      <w:sz w:val="21"/>
                      <w:szCs w:val="21"/>
                      <w:lang w:val="en-US" w:eastAsia="zh-CN"/>
                    </w:rPr>
                  </w:pPr>
                  <w:r>
                    <w:rPr>
                      <w:rFonts w:hint="eastAsia" w:ascii="Times New Roman" w:hAnsi="Times New Roman" w:eastAsia="宋体" w:cs="Times New Roman"/>
                      <w:color w:val="auto"/>
                      <w:sz w:val="21"/>
                      <w:szCs w:val="21"/>
                      <w:lang w:val="en-US" w:eastAsia="zh-CN"/>
                    </w:rPr>
                    <w:t>ND1000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2" w:type="pct"/>
                  <w:vAlign w:val="center"/>
                </w:tcPr>
                <w:p>
                  <w:pPr>
                    <w:bidi w:val="0"/>
                    <w:spacing w:line="240" w:lineRule="auto"/>
                    <w:jc w:val="center"/>
                    <w:rPr>
                      <w:rFonts w:hint="eastAsia"/>
                      <w:color w:val="auto"/>
                      <w:sz w:val="21"/>
                      <w:szCs w:val="21"/>
                      <w:lang w:val="en-US" w:eastAsia="zh-CN"/>
                    </w:rPr>
                  </w:pPr>
                  <w:r>
                    <w:rPr>
                      <w:color w:val="auto"/>
                      <w:sz w:val="21"/>
                      <w:szCs w:val="21"/>
                    </w:rPr>
                    <w:t>工频磁场</w:t>
                  </w:r>
                </w:p>
              </w:tc>
              <w:tc>
                <w:tcPr>
                  <w:tcW w:w="2822" w:type="dxa"/>
                  <w:vAlign w:val="center"/>
                </w:tcPr>
                <w:p>
                  <w:pPr>
                    <w:bidi w:val="0"/>
                    <w:spacing w:line="240" w:lineRule="auto"/>
                    <w:jc w:val="center"/>
                    <w:rPr>
                      <w:rFonts w:hint="eastAsia"/>
                      <w:color w:val="auto"/>
                      <w:sz w:val="21"/>
                      <w:szCs w:val="21"/>
                      <w:lang w:val="en-US" w:eastAsia="zh-CN"/>
                    </w:rPr>
                  </w:pPr>
                  <w:r>
                    <w:rPr>
                      <w:rFonts w:hint="eastAsia" w:ascii="Times New Roman" w:hAnsi="Times New Roman" w:eastAsia="宋体" w:cs="Times New Roman"/>
                      <w:color w:val="auto"/>
                      <w:sz w:val="21"/>
                      <w:szCs w:val="21"/>
                      <w:lang w:val="en-US" w:eastAsia="zh-CN"/>
                    </w:rPr>
                    <w:t>工频电磁辐射分析仪</w:t>
                  </w:r>
                </w:p>
              </w:tc>
              <w:tc>
                <w:tcPr>
                  <w:tcW w:w="3520" w:type="dxa"/>
                  <w:vAlign w:val="center"/>
                </w:tcPr>
                <w:p>
                  <w:pPr>
                    <w:bidi w:val="0"/>
                    <w:spacing w:line="240" w:lineRule="auto"/>
                    <w:jc w:val="center"/>
                    <w:rPr>
                      <w:rFonts w:hint="eastAsia"/>
                      <w:color w:val="auto"/>
                      <w:sz w:val="21"/>
                      <w:szCs w:val="21"/>
                      <w:lang w:val="en-US" w:eastAsia="zh-CN"/>
                    </w:rPr>
                  </w:pPr>
                  <w:r>
                    <w:rPr>
                      <w:rFonts w:hint="eastAsia" w:ascii="Times New Roman" w:hAnsi="Times New Roman" w:eastAsia="宋体" w:cs="Times New Roman"/>
                      <w:color w:val="auto"/>
                      <w:sz w:val="21"/>
                      <w:szCs w:val="21"/>
                      <w:lang w:val="en-US" w:eastAsia="zh-CN"/>
                    </w:rPr>
                    <w:t>ND1000</w:t>
                  </w:r>
                </w:p>
              </w:tc>
            </w:tr>
          </w:tbl>
          <w:p>
            <w:pPr>
              <w:bidi w:val="0"/>
              <w:spacing w:line="240" w:lineRule="auto"/>
              <w:ind w:firstLine="482" w:firstLineChars="200"/>
              <w:jc w:val="both"/>
              <w:rPr>
                <w:rFonts w:hint="default" w:eastAsia="宋体"/>
                <w:b/>
                <w:bCs/>
                <w:color w:val="auto"/>
                <w:lang w:val="en-US" w:eastAsia="zh-CN"/>
              </w:rPr>
            </w:pPr>
            <w:r>
              <w:rPr>
                <w:rFonts w:hint="eastAsia"/>
                <w:b/>
                <w:bCs/>
                <w:color w:val="auto"/>
                <w:lang w:val="en-US" w:eastAsia="zh-CN"/>
              </w:rPr>
              <w:t>2、工况</w:t>
            </w:r>
          </w:p>
          <w:p>
            <w:pPr>
              <w:bidi w:val="0"/>
              <w:ind w:firstLine="480" w:firstLineChars="200"/>
              <w:rPr>
                <w:color w:val="auto"/>
              </w:rPr>
            </w:pPr>
            <w:r>
              <w:rPr>
                <w:color w:val="auto"/>
              </w:rPr>
              <w:t>根据《建设项目竣工环境保护验收技术规范  输变电》（HJ 705-2020），验收调查应在建设项目主体工程调试工况稳定、环境保护设施运行正常的情况下进行； 验收监测期间，建设项目实际运行电压应达到设计额定电压等级，主要噪声源设备均应正常运行。本项目监测期间运行工况符合验收监测工况要求。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87" w:type="pct"/>
            <w:vMerge w:val="continue"/>
            <w:vAlign w:val="center"/>
          </w:tcPr>
          <w:p>
            <w:pPr>
              <w:bidi w:val="0"/>
              <w:ind w:firstLine="480" w:firstLineChars="200"/>
              <w:rPr>
                <w:color w:val="auto"/>
              </w:rPr>
            </w:pPr>
          </w:p>
        </w:tc>
        <w:tc>
          <w:tcPr>
            <w:tcW w:w="4612" w:type="pct"/>
            <w:vAlign w:val="center"/>
          </w:tcPr>
          <w:p>
            <w:pPr>
              <w:bidi w:val="0"/>
              <w:spacing w:line="360" w:lineRule="auto"/>
              <w:jc w:val="both"/>
              <w:rPr>
                <w:b/>
                <w:bCs/>
                <w:color w:val="auto"/>
                <w:sz w:val="24"/>
                <w:szCs w:val="24"/>
              </w:rPr>
            </w:pPr>
            <w:r>
              <w:rPr>
                <w:b/>
                <w:bCs/>
                <w:color w:val="auto"/>
                <w:sz w:val="24"/>
                <w:szCs w:val="24"/>
              </w:rPr>
              <w:t>监测结果分析</w:t>
            </w:r>
          </w:p>
          <w:p>
            <w:pPr>
              <w:bidi w:val="0"/>
              <w:ind w:firstLine="480" w:firstLineChars="200"/>
              <w:rPr>
                <w:b/>
                <w:bCs/>
                <w:color w:val="auto"/>
              </w:rPr>
            </w:pPr>
            <w:r>
              <w:rPr>
                <w:color w:val="auto"/>
              </w:rPr>
              <w:t>本工程工频电场强度、工频磁感应强度的测量结果详见表7-</w:t>
            </w:r>
            <w:r>
              <w:rPr>
                <w:rFonts w:hint="eastAsia"/>
                <w:color w:val="auto"/>
                <w:lang w:val="en-US" w:eastAsia="zh-CN"/>
              </w:rPr>
              <w:t>5、7-6</w:t>
            </w:r>
            <w:r>
              <w:rPr>
                <w:color w:val="auto"/>
              </w:rPr>
              <w:t xml:space="preserve">。 </w:t>
            </w:r>
          </w:p>
          <w:p>
            <w:pPr>
              <w:bidi w:val="0"/>
              <w:spacing w:line="240" w:lineRule="auto"/>
              <w:ind w:firstLine="482" w:firstLineChars="200"/>
              <w:jc w:val="center"/>
              <w:rPr>
                <w:b/>
                <w:bCs/>
                <w:color w:val="auto"/>
                <w:szCs w:val="24"/>
                <w:vertAlign w:val="baseline"/>
              </w:rPr>
            </w:pPr>
            <w:r>
              <w:rPr>
                <w:b/>
                <w:bCs/>
                <w:color w:val="auto"/>
              </w:rPr>
              <w:t>表 7-</w:t>
            </w:r>
            <w:r>
              <w:rPr>
                <w:rFonts w:hint="eastAsia"/>
                <w:b/>
                <w:bCs/>
                <w:color w:val="auto"/>
                <w:lang w:val="en-US" w:eastAsia="zh-CN"/>
              </w:rPr>
              <w:t>5</w:t>
            </w:r>
            <w:r>
              <w:rPr>
                <w:b/>
                <w:bCs/>
                <w:color w:val="auto"/>
              </w:rPr>
              <w:t xml:space="preserve">  </w:t>
            </w:r>
            <w:r>
              <w:rPr>
                <w:rFonts w:hint="eastAsia"/>
                <w:b/>
                <w:bCs/>
                <w:color w:val="auto"/>
                <w:lang w:val="en-US" w:eastAsia="zh-CN"/>
              </w:rPr>
              <w:t>升压站</w:t>
            </w:r>
            <w:r>
              <w:rPr>
                <w:b/>
                <w:bCs/>
                <w:color w:val="auto"/>
              </w:rPr>
              <w:t>工频电场、磁感应强度测量结果</w:t>
            </w:r>
          </w:p>
          <w:tbl>
            <w:tblPr>
              <w:tblStyle w:val="1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2821"/>
              <w:gridCol w:w="1186"/>
              <w:gridCol w:w="2153"/>
              <w:gridCol w:w="2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07" w:type="pct"/>
                  <w:gridSpan w:val="2"/>
                  <w:vMerge w:val="restart"/>
                  <w:tcBorders>
                    <w:tl2br w:val="nil"/>
                    <w:tr2bl w:val="nil"/>
                  </w:tcBorders>
                  <w:noWrap w:val="0"/>
                  <w:vAlign w:val="center"/>
                </w:tcPr>
                <w:p>
                  <w:pPr>
                    <w:spacing w:line="240" w:lineRule="auto"/>
                    <w:jc w:val="center"/>
                    <w:rPr>
                      <w:rFonts w:hint="eastAsia"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检测点位及编号</w:t>
                  </w:r>
                </w:p>
              </w:tc>
              <w:tc>
                <w:tcPr>
                  <w:tcW w:w="685" w:type="pct"/>
                  <w:vMerge w:val="restar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测量高度（m）</w:t>
                  </w:r>
                </w:p>
              </w:tc>
              <w:tc>
                <w:tcPr>
                  <w:tcW w:w="2406" w:type="pct"/>
                  <w:gridSpan w:val="2"/>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2023年9月10日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07" w:type="pct"/>
                  <w:gridSpan w:val="2"/>
                  <w:vMerge w:val="continue"/>
                  <w:tcBorders>
                    <w:tl2br w:val="nil"/>
                    <w:tr2bl w:val="nil"/>
                  </w:tcBorders>
                  <w:noWrap w:val="0"/>
                  <w:vAlign w:val="center"/>
                </w:tcPr>
                <w:p>
                  <w:pPr>
                    <w:spacing w:line="240" w:lineRule="auto"/>
                    <w:jc w:val="center"/>
                    <w:rPr>
                      <w:rFonts w:hint="default" w:ascii="Times New Roman" w:hAnsi="Times New Roman" w:eastAsia="宋体" w:cs="Times New Roman"/>
                      <w:b/>
                      <w:bCs/>
                      <w:color w:val="auto"/>
                      <w:sz w:val="21"/>
                      <w:szCs w:val="21"/>
                      <w:lang w:val="en-US" w:eastAsia="zh-CN"/>
                    </w:rPr>
                  </w:pPr>
                </w:p>
              </w:tc>
              <w:tc>
                <w:tcPr>
                  <w:tcW w:w="685" w:type="pct"/>
                  <w:vMerge w:val="continue"/>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lang w:val="en-US" w:eastAsia="zh-CN"/>
                    </w:rPr>
                  </w:pPr>
                </w:p>
              </w:tc>
              <w:tc>
                <w:tcPr>
                  <w:tcW w:w="1243"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工频电场强度（V/m）</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工频磁场强度</w:t>
                  </w:r>
                  <w:r>
                    <w:rPr>
                      <w:rFonts w:hint="default" w:ascii="Times New Roman" w:hAnsi="Times New Roman" w:eastAsia="宋体" w:cs="Times New Roman"/>
                      <w:b/>
                      <w:bCs/>
                      <w:color w:val="auto"/>
                      <w:spacing w:val="-6"/>
                      <w:sz w:val="21"/>
                      <w:szCs w:val="21"/>
                      <w:lang w:val="en-US" w:eastAsia="zh-CN"/>
                    </w:rPr>
                    <w:t>（</w:t>
                  </w:r>
                  <w:r>
                    <w:rPr>
                      <w:rFonts w:hint="default" w:ascii="Times New Roman" w:hAnsi="Times New Roman" w:eastAsia="宋体" w:cs="Times New Roman"/>
                      <w:b/>
                      <w:bCs/>
                      <w:color w:val="auto"/>
                      <w:sz w:val="21"/>
                      <w:szCs w:val="21"/>
                    </w:rPr>
                    <w:t>µ</w:t>
                  </w:r>
                  <w:r>
                    <w:rPr>
                      <w:rFonts w:hint="default" w:ascii="Times New Roman" w:hAnsi="Times New Roman" w:eastAsia="宋体" w:cs="Times New Roman"/>
                      <w:b/>
                      <w:bCs/>
                      <w:color w:val="auto"/>
                      <w:spacing w:val="-6"/>
                      <w:sz w:val="21"/>
                      <w:szCs w:val="21"/>
                      <w:lang w:val="en-US" w:eastAsia="zh-C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tcBorders>
                    <w:tl2br w:val="nil"/>
                    <w:tr2bl w:val="nil"/>
                  </w:tcBorders>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w:t>
                  </w:r>
                </w:p>
              </w:tc>
              <w:tc>
                <w:tcPr>
                  <w:tcW w:w="1629"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rPr>
                    <w:t>升压站南侧围墙外5m</w:t>
                  </w:r>
                  <w:r>
                    <w:rPr>
                      <w:rFonts w:hint="eastAsia" w:ascii="Times New Roman" w:hAnsi="Times New Roman" w:eastAsia="宋体" w:cs="Times New Roman"/>
                      <w:bCs/>
                      <w:color w:val="auto"/>
                      <w:kern w:val="0"/>
                      <w:sz w:val="21"/>
                      <w:szCs w:val="21"/>
                      <w:lang w:val="en-US" w:eastAsia="zh-CN"/>
                    </w:rPr>
                    <w:t>处</w:t>
                  </w:r>
                </w:p>
              </w:tc>
              <w:tc>
                <w:tcPr>
                  <w:tcW w:w="685"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6.376</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tcBorders>
                    <w:tl2br w:val="nil"/>
                    <w:tr2bl w:val="nil"/>
                  </w:tcBorders>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1629" w:type="pct"/>
                  <w:tcBorders>
                    <w:tl2br w:val="nil"/>
                    <w:tr2bl w:val="nil"/>
                  </w:tcBorders>
                  <w:noWrap w:val="0"/>
                  <w:vAlign w:val="center"/>
                </w:tcPr>
                <w:p>
                  <w:pPr>
                    <w:pStyle w:val="5"/>
                    <w:keepNext w:val="0"/>
                    <w:keepLines w:val="0"/>
                    <w:pageBreakBefore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升压站西侧围墙外5m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1404.881</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tcBorders>
                    <w:tl2br w:val="nil"/>
                    <w:tr2bl w:val="nil"/>
                  </w:tcBorders>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w:t>
                  </w:r>
                </w:p>
              </w:tc>
              <w:tc>
                <w:tcPr>
                  <w:tcW w:w="1629" w:type="pct"/>
                  <w:tcBorders>
                    <w:tl2br w:val="nil"/>
                    <w:tr2bl w:val="nil"/>
                  </w:tcBorders>
                  <w:noWrap w:val="0"/>
                  <w:vAlign w:val="center"/>
                </w:tcPr>
                <w:p>
                  <w:pPr>
                    <w:pStyle w:val="5"/>
                    <w:keepNext w:val="0"/>
                    <w:keepLines w:val="0"/>
                    <w:pageBreakBefore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升压站北侧围墙外5m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55.080</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tcBorders>
                    <w:tl2br w:val="nil"/>
                    <w:tr2bl w:val="nil"/>
                  </w:tcBorders>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4#</w:t>
                  </w:r>
                </w:p>
              </w:tc>
              <w:tc>
                <w:tcPr>
                  <w:tcW w:w="1629" w:type="pct"/>
                  <w:tcBorders>
                    <w:tl2br w:val="nil"/>
                    <w:tr2bl w:val="nil"/>
                  </w:tcBorders>
                  <w:noWrap w:val="0"/>
                  <w:vAlign w:val="center"/>
                </w:tcPr>
                <w:p>
                  <w:pPr>
                    <w:pStyle w:val="5"/>
                    <w:keepNext w:val="0"/>
                    <w:keepLines w:val="0"/>
                    <w:pageBreakBefore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升压站东侧围墙外5m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17.366</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5#</w:t>
                  </w:r>
                </w:p>
              </w:tc>
              <w:tc>
                <w:tcPr>
                  <w:tcW w:w="1629" w:type="pct"/>
                  <w:tcBorders>
                    <w:tl2br w:val="nil"/>
                    <w:tr2bl w:val="nil"/>
                  </w:tcBorders>
                  <w:noWrap w:val="0"/>
                  <w:vAlign w:val="center"/>
                </w:tcPr>
                <w:p>
                  <w:pPr>
                    <w:pStyle w:val="28"/>
                    <w:bidi w:val="0"/>
                    <w:spacing w:line="240" w:lineRule="auto"/>
                    <w:ind w:firstLine="0" w:firstLineChars="0"/>
                    <w:jc w:val="center"/>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升压站南侧围墙外</w:t>
                  </w:r>
                  <w:r>
                    <w:rPr>
                      <w:rFonts w:hint="eastAsia" w:ascii="Times New Roman" w:hAnsi="Times New Roman" w:eastAsia="宋体" w:cs="Times New Roman"/>
                      <w:bCs/>
                      <w:color w:val="auto"/>
                      <w:kern w:val="0"/>
                      <w:sz w:val="21"/>
                      <w:szCs w:val="21"/>
                      <w:lang w:val="en-US" w:eastAsia="zh-CN" w:bidi="ar-SA"/>
                    </w:rPr>
                    <w:t>10</w:t>
                  </w:r>
                  <w:r>
                    <w:rPr>
                      <w:rFonts w:hint="default" w:ascii="Times New Roman" w:hAnsi="Times New Roman" w:eastAsia="宋体" w:cs="Times New Roman"/>
                      <w:bCs/>
                      <w:color w:val="auto"/>
                      <w:kern w:val="0"/>
                      <w:sz w:val="21"/>
                      <w:szCs w:val="21"/>
                      <w:lang w:val="en-US" w:eastAsia="zh-CN" w:bidi="ar-SA"/>
                    </w:rPr>
                    <w:t>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6.174</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p>
              </w:tc>
              <w:tc>
                <w:tcPr>
                  <w:tcW w:w="1629" w:type="pct"/>
                  <w:tcBorders>
                    <w:tl2br w:val="nil"/>
                    <w:tr2bl w:val="nil"/>
                  </w:tcBorders>
                  <w:noWrap w:val="0"/>
                  <w:vAlign w:val="center"/>
                </w:tcPr>
                <w:p>
                  <w:pPr>
                    <w:pStyle w:val="28"/>
                    <w:bidi w:val="0"/>
                    <w:spacing w:line="240" w:lineRule="auto"/>
                    <w:ind w:firstLine="0" w:firstLineChars="0"/>
                    <w:jc w:val="center"/>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升压站南侧围墙外</w:t>
                  </w:r>
                  <w:r>
                    <w:rPr>
                      <w:rFonts w:hint="eastAsia" w:ascii="Times New Roman" w:hAnsi="Times New Roman" w:eastAsia="宋体" w:cs="Times New Roman"/>
                      <w:bCs/>
                      <w:color w:val="auto"/>
                      <w:kern w:val="0"/>
                      <w:sz w:val="21"/>
                      <w:szCs w:val="21"/>
                      <w:lang w:val="en-US" w:eastAsia="zh-CN" w:bidi="ar-SA"/>
                    </w:rPr>
                    <w:t>15</w:t>
                  </w:r>
                  <w:r>
                    <w:rPr>
                      <w:rFonts w:hint="default" w:ascii="Times New Roman" w:hAnsi="Times New Roman" w:eastAsia="宋体" w:cs="Times New Roman"/>
                      <w:bCs/>
                      <w:color w:val="auto"/>
                      <w:kern w:val="0"/>
                      <w:sz w:val="21"/>
                      <w:szCs w:val="21"/>
                      <w:lang w:val="en-US" w:eastAsia="zh-CN" w:bidi="ar-SA"/>
                    </w:rPr>
                    <w:t>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5.947</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p>
              </w:tc>
              <w:tc>
                <w:tcPr>
                  <w:tcW w:w="1629"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升压站南侧围墙外</w:t>
                  </w:r>
                  <w:r>
                    <w:rPr>
                      <w:rFonts w:hint="eastAsia" w:ascii="Times New Roman" w:hAnsi="Times New Roman" w:eastAsia="宋体" w:cs="Times New Roman"/>
                      <w:bCs/>
                      <w:color w:val="auto"/>
                      <w:kern w:val="0"/>
                      <w:sz w:val="21"/>
                      <w:szCs w:val="21"/>
                      <w:lang w:val="en-US" w:eastAsia="zh-CN" w:bidi="ar-SA"/>
                    </w:rPr>
                    <w:t>20</w:t>
                  </w:r>
                  <w:r>
                    <w:rPr>
                      <w:rFonts w:hint="default" w:ascii="Times New Roman" w:hAnsi="Times New Roman" w:eastAsia="宋体" w:cs="Times New Roman"/>
                      <w:bCs/>
                      <w:color w:val="auto"/>
                      <w:kern w:val="0"/>
                      <w:sz w:val="21"/>
                      <w:szCs w:val="21"/>
                      <w:lang w:val="en-US" w:eastAsia="zh-CN" w:bidi="ar-SA"/>
                    </w:rPr>
                    <w:t>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5.800</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p>
              </w:tc>
              <w:tc>
                <w:tcPr>
                  <w:tcW w:w="1629"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升压站南侧围墙外</w:t>
                  </w:r>
                  <w:r>
                    <w:rPr>
                      <w:rFonts w:hint="eastAsia" w:ascii="Times New Roman" w:hAnsi="Times New Roman" w:eastAsia="宋体" w:cs="Times New Roman"/>
                      <w:bCs/>
                      <w:color w:val="auto"/>
                      <w:kern w:val="0"/>
                      <w:sz w:val="21"/>
                      <w:szCs w:val="21"/>
                      <w:lang w:val="en-US" w:eastAsia="zh-CN" w:bidi="ar-SA"/>
                    </w:rPr>
                    <w:t>25</w:t>
                  </w:r>
                  <w:r>
                    <w:rPr>
                      <w:rFonts w:hint="default" w:ascii="Times New Roman" w:hAnsi="Times New Roman" w:eastAsia="宋体" w:cs="Times New Roman"/>
                      <w:bCs/>
                      <w:color w:val="auto"/>
                      <w:kern w:val="0"/>
                      <w:sz w:val="21"/>
                      <w:szCs w:val="21"/>
                      <w:lang w:val="en-US" w:eastAsia="zh-CN" w:bidi="ar-SA"/>
                    </w:rPr>
                    <w:t>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5.601</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p>
              </w:tc>
              <w:tc>
                <w:tcPr>
                  <w:tcW w:w="1629"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升压站南侧围墙外</w:t>
                  </w:r>
                  <w:r>
                    <w:rPr>
                      <w:rFonts w:hint="eastAsia" w:ascii="Times New Roman" w:hAnsi="Times New Roman" w:eastAsia="宋体" w:cs="Times New Roman"/>
                      <w:bCs/>
                      <w:color w:val="auto"/>
                      <w:kern w:val="0"/>
                      <w:sz w:val="21"/>
                      <w:szCs w:val="21"/>
                      <w:lang w:val="en-US" w:eastAsia="zh-CN" w:bidi="ar-SA"/>
                    </w:rPr>
                    <w:t>30</w:t>
                  </w:r>
                  <w:r>
                    <w:rPr>
                      <w:rFonts w:hint="default" w:ascii="Times New Roman" w:hAnsi="Times New Roman" w:eastAsia="宋体" w:cs="Times New Roman"/>
                      <w:bCs/>
                      <w:color w:val="auto"/>
                      <w:kern w:val="0"/>
                      <w:sz w:val="21"/>
                      <w:szCs w:val="21"/>
                      <w:lang w:val="en-US" w:eastAsia="zh-CN" w:bidi="ar-SA"/>
                    </w:rPr>
                    <w:t>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5.375</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p>
              </w:tc>
              <w:tc>
                <w:tcPr>
                  <w:tcW w:w="1629"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升压站南侧围墙外</w:t>
                  </w:r>
                  <w:r>
                    <w:rPr>
                      <w:rFonts w:hint="eastAsia" w:ascii="Times New Roman" w:hAnsi="Times New Roman" w:eastAsia="宋体" w:cs="Times New Roman"/>
                      <w:bCs/>
                      <w:color w:val="auto"/>
                      <w:kern w:val="0"/>
                      <w:sz w:val="21"/>
                      <w:szCs w:val="21"/>
                      <w:lang w:val="en-US" w:eastAsia="zh-CN" w:bidi="ar-SA"/>
                    </w:rPr>
                    <w:t>35</w:t>
                  </w:r>
                  <w:r>
                    <w:rPr>
                      <w:rFonts w:hint="default" w:ascii="Times New Roman" w:hAnsi="Times New Roman" w:eastAsia="宋体" w:cs="Times New Roman"/>
                      <w:bCs/>
                      <w:color w:val="auto"/>
                      <w:kern w:val="0"/>
                      <w:sz w:val="21"/>
                      <w:szCs w:val="21"/>
                      <w:lang w:val="en-US" w:eastAsia="zh-CN" w:bidi="ar-SA"/>
                    </w:rPr>
                    <w:t>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5.015</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p>
              </w:tc>
              <w:tc>
                <w:tcPr>
                  <w:tcW w:w="1629"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升压站南侧围墙外</w:t>
                  </w:r>
                  <w:r>
                    <w:rPr>
                      <w:rFonts w:hint="eastAsia" w:ascii="Times New Roman" w:hAnsi="Times New Roman" w:eastAsia="宋体" w:cs="Times New Roman"/>
                      <w:bCs/>
                      <w:color w:val="auto"/>
                      <w:kern w:val="0"/>
                      <w:sz w:val="21"/>
                      <w:szCs w:val="21"/>
                      <w:lang w:val="en-US" w:eastAsia="zh-CN" w:bidi="ar-SA"/>
                    </w:rPr>
                    <w:t>40</w:t>
                  </w:r>
                  <w:r>
                    <w:rPr>
                      <w:rFonts w:hint="default" w:ascii="Times New Roman" w:hAnsi="Times New Roman" w:eastAsia="宋体" w:cs="Times New Roman"/>
                      <w:bCs/>
                      <w:color w:val="auto"/>
                      <w:kern w:val="0"/>
                      <w:sz w:val="21"/>
                      <w:szCs w:val="21"/>
                      <w:lang w:val="en-US" w:eastAsia="zh-CN" w:bidi="ar-SA"/>
                    </w:rPr>
                    <w:t>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4.497</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p>
              </w:tc>
              <w:tc>
                <w:tcPr>
                  <w:tcW w:w="1629"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升压站南侧围墙外</w:t>
                  </w:r>
                  <w:r>
                    <w:rPr>
                      <w:rFonts w:hint="eastAsia" w:ascii="Times New Roman" w:hAnsi="Times New Roman" w:eastAsia="宋体" w:cs="Times New Roman"/>
                      <w:bCs/>
                      <w:color w:val="auto"/>
                      <w:kern w:val="0"/>
                      <w:sz w:val="21"/>
                      <w:szCs w:val="21"/>
                      <w:lang w:val="en-US" w:eastAsia="zh-CN" w:bidi="ar-SA"/>
                    </w:rPr>
                    <w:t>45</w:t>
                  </w:r>
                  <w:r>
                    <w:rPr>
                      <w:rFonts w:hint="default" w:ascii="Times New Roman" w:hAnsi="Times New Roman" w:eastAsia="宋体" w:cs="Times New Roman"/>
                      <w:bCs/>
                      <w:color w:val="auto"/>
                      <w:kern w:val="0"/>
                      <w:sz w:val="21"/>
                      <w:szCs w:val="21"/>
                      <w:lang w:val="en-US" w:eastAsia="zh-CN" w:bidi="ar-SA"/>
                    </w:rPr>
                    <w:t>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4.124</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8"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p>
              </w:tc>
              <w:tc>
                <w:tcPr>
                  <w:tcW w:w="1629"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升压站南侧围墙外</w:t>
                  </w:r>
                  <w:r>
                    <w:rPr>
                      <w:rFonts w:hint="eastAsia" w:ascii="Times New Roman" w:hAnsi="Times New Roman" w:eastAsia="宋体" w:cs="Times New Roman"/>
                      <w:bCs/>
                      <w:color w:val="auto"/>
                      <w:kern w:val="0"/>
                      <w:sz w:val="21"/>
                      <w:szCs w:val="21"/>
                      <w:lang w:val="en-US" w:eastAsia="zh-CN" w:bidi="ar-SA"/>
                    </w:rPr>
                    <w:t>50</w:t>
                  </w:r>
                  <w:r>
                    <w:rPr>
                      <w:rFonts w:hint="default" w:ascii="Times New Roman" w:hAnsi="Times New Roman" w:eastAsia="宋体" w:cs="Times New Roman"/>
                      <w:bCs/>
                      <w:color w:val="auto"/>
                      <w:kern w:val="0"/>
                      <w:sz w:val="21"/>
                      <w:szCs w:val="21"/>
                      <w:lang w:val="en-US" w:eastAsia="zh-CN" w:bidi="ar-SA"/>
                    </w:rPr>
                    <w:t>m</w:t>
                  </w:r>
                  <w:r>
                    <w:rPr>
                      <w:rFonts w:hint="eastAsia" w:ascii="Times New Roman" w:hAnsi="Times New Roman" w:eastAsia="宋体" w:cs="Times New Roman"/>
                      <w:bCs/>
                      <w:color w:val="auto"/>
                      <w:kern w:val="0"/>
                      <w:sz w:val="21"/>
                      <w:szCs w:val="21"/>
                      <w:lang w:val="en-US" w:eastAsia="zh-CN" w:bidi="ar-SA"/>
                    </w:rPr>
                    <w:t>处</w:t>
                  </w:r>
                </w:p>
              </w:tc>
              <w:tc>
                <w:tcPr>
                  <w:tcW w:w="685" w:type="pct"/>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124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3.790</w:t>
                  </w:r>
                </w:p>
              </w:tc>
              <w:tc>
                <w:tcPr>
                  <w:tcW w:w="116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0.022</w:t>
                  </w:r>
                </w:p>
              </w:tc>
            </w:tr>
          </w:tbl>
          <w:p>
            <w:pPr>
              <w:bidi w:val="0"/>
              <w:spacing w:line="240" w:lineRule="auto"/>
              <w:jc w:val="both"/>
              <w:rPr>
                <w:b/>
                <w:bCs/>
                <w:color w:val="auto"/>
              </w:rPr>
            </w:pPr>
          </w:p>
          <w:p>
            <w:pPr>
              <w:bidi w:val="0"/>
              <w:spacing w:line="240" w:lineRule="auto"/>
              <w:jc w:val="center"/>
              <w:rPr>
                <w:b/>
                <w:bCs/>
                <w:color w:val="auto"/>
                <w:szCs w:val="24"/>
                <w:vertAlign w:val="baseline"/>
              </w:rPr>
            </w:pPr>
            <w:r>
              <w:rPr>
                <w:b/>
                <w:bCs/>
                <w:color w:val="auto"/>
              </w:rPr>
              <w:t>表 7-</w:t>
            </w:r>
            <w:r>
              <w:rPr>
                <w:rFonts w:hint="eastAsia"/>
                <w:b/>
                <w:bCs/>
                <w:color w:val="auto"/>
                <w:lang w:val="en-US" w:eastAsia="zh-CN"/>
              </w:rPr>
              <w:t>6</w:t>
            </w:r>
            <w:r>
              <w:rPr>
                <w:b/>
                <w:bCs/>
                <w:color w:val="auto"/>
              </w:rPr>
              <w:t xml:space="preserve">  </w:t>
            </w:r>
            <w:r>
              <w:rPr>
                <w:rFonts w:hint="eastAsia"/>
                <w:b/>
                <w:bCs/>
                <w:color w:val="auto"/>
                <w:lang w:val="en-US" w:eastAsia="zh-CN"/>
              </w:rPr>
              <w:t>送出线路</w:t>
            </w:r>
            <w:r>
              <w:rPr>
                <w:b/>
                <w:bCs/>
                <w:color w:val="auto"/>
              </w:rPr>
              <w:t>工频电场、磁感应强度测量结果</w:t>
            </w:r>
          </w:p>
          <w:tbl>
            <w:tblPr>
              <w:tblStyle w:val="1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3"/>
              <w:gridCol w:w="4238"/>
              <w:gridCol w:w="813"/>
              <w:gridCol w:w="1598"/>
              <w:gridCol w:w="1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38" w:type="pct"/>
                  <w:gridSpan w:val="2"/>
                  <w:vMerge w:val="restart"/>
                  <w:tcBorders>
                    <w:tl2br w:val="nil"/>
                    <w:tr2bl w:val="nil"/>
                  </w:tcBorders>
                  <w:noWrap w:val="0"/>
                  <w:vAlign w:val="center"/>
                </w:tcPr>
                <w:p>
                  <w:pPr>
                    <w:spacing w:line="240" w:lineRule="auto"/>
                    <w:jc w:val="center"/>
                    <w:rPr>
                      <w:rFonts w:hint="eastAsia"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检测点位及编号</w:t>
                  </w:r>
                </w:p>
              </w:tc>
              <w:tc>
                <w:tcPr>
                  <w:tcW w:w="423" w:type="pct"/>
                  <w:vMerge w:val="restar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测量高度（m）</w:t>
                  </w:r>
                </w:p>
              </w:tc>
              <w:tc>
                <w:tcPr>
                  <w:tcW w:w="1837" w:type="pct"/>
                  <w:gridSpan w:val="2"/>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2023年9月10日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38" w:type="pct"/>
                  <w:gridSpan w:val="2"/>
                  <w:vMerge w:val="continue"/>
                  <w:tcBorders>
                    <w:tl2br w:val="nil"/>
                    <w:tr2bl w:val="nil"/>
                  </w:tcBorders>
                  <w:noWrap w:val="0"/>
                  <w:vAlign w:val="center"/>
                </w:tcPr>
                <w:p>
                  <w:pPr>
                    <w:spacing w:line="240" w:lineRule="auto"/>
                    <w:jc w:val="center"/>
                    <w:rPr>
                      <w:rFonts w:hint="default" w:ascii="Times New Roman" w:hAnsi="Times New Roman" w:eastAsia="宋体" w:cs="Times New Roman"/>
                      <w:b/>
                      <w:bCs/>
                      <w:color w:val="auto"/>
                      <w:sz w:val="21"/>
                      <w:szCs w:val="21"/>
                      <w:lang w:val="en-US" w:eastAsia="zh-CN"/>
                    </w:rPr>
                  </w:pPr>
                </w:p>
              </w:tc>
              <w:tc>
                <w:tcPr>
                  <w:tcW w:w="423" w:type="pct"/>
                  <w:vMerge w:val="continue"/>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lang w:val="en-US" w:eastAsia="zh-CN"/>
                    </w:rPr>
                  </w:pPr>
                </w:p>
              </w:tc>
              <w:tc>
                <w:tcPr>
                  <w:tcW w:w="934"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工频电场强度（V/m）</w:t>
                  </w:r>
                </w:p>
              </w:tc>
              <w:tc>
                <w:tcPr>
                  <w:tcW w:w="903" w:type="pc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工频磁场强度</w:t>
                  </w:r>
                  <w:r>
                    <w:rPr>
                      <w:rFonts w:hint="default" w:ascii="Times New Roman" w:hAnsi="Times New Roman" w:eastAsia="宋体" w:cs="Times New Roman"/>
                      <w:b/>
                      <w:bCs/>
                      <w:color w:val="auto"/>
                      <w:spacing w:val="-6"/>
                      <w:sz w:val="21"/>
                      <w:szCs w:val="21"/>
                      <w:lang w:val="en-US" w:eastAsia="zh-CN"/>
                    </w:rPr>
                    <w:t>（</w:t>
                  </w:r>
                  <w:r>
                    <w:rPr>
                      <w:rFonts w:hint="default" w:ascii="Times New Roman" w:hAnsi="Times New Roman" w:eastAsia="宋体" w:cs="Times New Roman"/>
                      <w:b/>
                      <w:bCs/>
                      <w:color w:val="auto"/>
                      <w:sz w:val="21"/>
                      <w:szCs w:val="21"/>
                    </w:rPr>
                    <w:t>µ</w:t>
                  </w:r>
                  <w:r>
                    <w:rPr>
                      <w:rFonts w:hint="default" w:ascii="Times New Roman" w:hAnsi="Times New Roman" w:eastAsia="宋体" w:cs="Times New Roman"/>
                      <w:b/>
                      <w:bCs/>
                      <w:color w:val="auto"/>
                      <w:spacing w:val="-6"/>
                      <w:sz w:val="21"/>
                      <w:szCs w:val="21"/>
                      <w:lang w:val="en-US" w:eastAsia="zh-C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tcBorders>
                    <w:tl2br w:val="nil"/>
                    <w:tr2bl w:val="nil"/>
                  </w:tcBorders>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w:t>
                  </w:r>
                </w:p>
              </w:tc>
              <w:tc>
                <w:tcPr>
                  <w:tcW w:w="2458"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导线档距中央弧垂最低位置中心投影处</w:t>
                  </w:r>
                </w:p>
              </w:tc>
              <w:tc>
                <w:tcPr>
                  <w:tcW w:w="423" w:type="pct"/>
                  <w:tcBorders>
                    <w:tl2br w:val="nil"/>
                    <w:tr2bl w:val="nil"/>
                  </w:tcBorders>
                  <w:noWrap w:val="0"/>
                  <w:vAlign w:val="center"/>
                </w:tcPr>
                <w:p>
                  <w:pPr>
                    <w:spacing w:line="240" w:lineRule="auto"/>
                    <w:jc w:val="center"/>
                    <w:rPr>
                      <w:rFonts w:hint="eastAsia"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1367.608</w:t>
                  </w:r>
                </w:p>
              </w:tc>
              <w:tc>
                <w:tcPr>
                  <w:tcW w:w="90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7#</w:t>
                  </w:r>
                </w:p>
              </w:tc>
              <w:tc>
                <w:tcPr>
                  <w:tcW w:w="2458"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边导线投影处</w:t>
                  </w:r>
                </w:p>
              </w:tc>
              <w:tc>
                <w:tcPr>
                  <w:tcW w:w="423"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1.5</w:t>
                  </w:r>
                </w:p>
              </w:tc>
              <w:tc>
                <w:tcPr>
                  <w:tcW w:w="934"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1232.230</w:t>
                  </w:r>
                </w:p>
              </w:tc>
              <w:tc>
                <w:tcPr>
                  <w:tcW w:w="90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向北5m处</w:t>
                  </w:r>
                </w:p>
              </w:tc>
              <w:tc>
                <w:tcPr>
                  <w:tcW w:w="423" w:type="pct"/>
                  <w:tcBorders>
                    <w:tl2br w:val="nil"/>
                    <w:tr2bl w:val="nil"/>
                  </w:tcBorders>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1095.705</w:t>
                  </w:r>
                </w:p>
              </w:tc>
              <w:tc>
                <w:tcPr>
                  <w:tcW w:w="903" w:type="pct"/>
                  <w:tcBorders>
                    <w:tl2br w:val="nil"/>
                    <w:tr2bl w:val="nil"/>
                  </w:tcBorders>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向北10m处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882.174</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向北15m处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550.956</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向北20m处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275.998</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向北25m处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130.643</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向北30m处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53.816</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向北35m处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20.179</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向北40m处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36.063</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向北45m处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62.062</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向北50m处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80.666</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restar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w:t>
                  </w: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向南5m处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1163.554</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向南10m处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861.904</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向南15m处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521.980</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向南20m处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286.008</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向南25m处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164.785</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向南30m处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92.490</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向南35m处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57.050</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向南40m处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37.081</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向南45m处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19.092</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vMerge w:val="continue"/>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p>
              </w:tc>
              <w:tc>
                <w:tcPr>
                  <w:tcW w:w="2458"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向南50m处</w:t>
                  </w:r>
                </w:p>
              </w:tc>
              <w:tc>
                <w:tcPr>
                  <w:tcW w:w="423" w:type="pct"/>
                  <w:noWrap w:val="0"/>
                  <w:vAlign w:val="center"/>
                </w:tcPr>
                <w:p>
                  <w:pPr>
                    <w:spacing w:line="240" w:lineRule="auto"/>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rPr>
                    <w:t>1.5</w:t>
                  </w:r>
                </w:p>
              </w:tc>
              <w:tc>
                <w:tcPr>
                  <w:tcW w:w="934"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15.267</w:t>
                  </w:r>
                </w:p>
              </w:tc>
              <w:tc>
                <w:tcPr>
                  <w:tcW w:w="903" w:type="pct"/>
                  <w:noWrap w:val="0"/>
                  <w:vAlign w:val="center"/>
                </w:tcPr>
                <w:p>
                  <w:pPr>
                    <w:spacing w:line="240" w:lineRule="auto"/>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0.027</w:t>
                  </w:r>
                </w:p>
              </w:tc>
            </w:tr>
          </w:tbl>
          <w:p>
            <w:pPr>
              <w:bidi w:val="0"/>
              <w:ind w:firstLine="482" w:firstLineChars="200"/>
              <w:rPr>
                <w:b/>
                <w:bCs/>
                <w:color w:val="auto"/>
              </w:rPr>
            </w:pPr>
            <w:r>
              <w:rPr>
                <w:b/>
                <w:bCs/>
                <w:color w:val="auto"/>
              </w:rPr>
              <w:t>（1）</w:t>
            </w:r>
            <w:r>
              <w:rPr>
                <w:rFonts w:hint="eastAsia"/>
                <w:b/>
                <w:bCs/>
                <w:color w:val="auto"/>
                <w:lang w:eastAsia="zh-CN"/>
              </w:rPr>
              <w:t>升压站</w:t>
            </w:r>
            <w:r>
              <w:rPr>
                <w:b/>
                <w:bCs/>
                <w:color w:val="auto"/>
              </w:rPr>
              <w:t>电磁环境影响调查</w:t>
            </w:r>
          </w:p>
          <w:p>
            <w:pPr>
              <w:bidi w:val="0"/>
              <w:ind w:firstLine="480" w:firstLineChars="200"/>
              <w:rPr>
                <w:color w:val="auto"/>
              </w:rPr>
            </w:pPr>
            <w:r>
              <w:rPr>
                <w:color w:val="auto"/>
              </w:rPr>
              <w:t>由表7-</w:t>
            </w:r>
            <w:r>
              <w:rPr>
                <w:rFonts w:hint="eastAsia"/>
                <w:color w:val="auto"/>
                <w:lang w:val="en-US" w:eastAsia="zh-CN"/>
              </w:rPr>
              <w:t>5</w:t>
            </w:r>
            <w:r>
              <w:rPr>
                <w:color w:val="auto"/>
              </w:rPr>
              <w:t>可知：</w:t>
            </w:r>
            <w:r>
              <w:rPr>
                <w:rFonts w:hint="eastAsia"/>
                <w:color w:val="auto"/>
                <w:sz w:val="24"/>
                <w:szCs w:val="24"/>
                <w:lang w:val="en-US" w:eastAsia="zh-CN"/>
              </w:rPr>
              <w:t>110kV北部滩升压站</w:t>
            </w:r>
            <w:r>
              <w:rPr>
                <w:rFonts w:hint="eastAsia"/>
                <w:color w:val="auto"/>
                <w:lang w:eastAsia="zh-CN"/>
              </w:rPr>
              <w:t>工程</w:t>
            </w:r>
            <w:r>
              <w:rPr>
                <w:color w:val="auto"/>
              </w:rPr>
              <w:t>四周工频电场强度、工频磁感应强度现状监测值分别为</w:t>
            </w:r>
            <w:r>
              <w:rPr>
                <w:rFonts w:hint="eastAsia"/>
                <w:color w:val="auto"/>
                <w:lang w:val="en-US" w:eastAsia="zh-CN"/>
              </w:rPr>
              <w:t>3.790</w:t>
            </w:r>
            <w:r>
              <w:rPr>
                <w:color w:val="auto"/>
              </w:rPr>
              <w:t>～</w:t>
            </w:r>
            <w:r>
              <w:rPr>
                <w:rFonts w:hint="eastAsia"/>
                <w:color w:val="auto"/>
                <w:lang w:val="en-US" w:eastAsia="zh-CN"/>
              </w:rPr>
              <w:t>1404.881</w:t>
            </w:r>
            <w:r>
              <w:rPr>
                <w:color w:val="auto"/>
              </w:rPr>
              <w:t>V/m、</w:t>
            </w:r>
            <w:r>
              <w:rPr>
                <w:rFonts w:hint="eastAsia"/>
                <w:color w:val="auto"/>
                <w:lang w:val="en-US" w:eastAsia="zh-CN"/>
              </w:rPr>
              <w:t>0.022</w:t>
            </w:r>
            <w:r>
              <w:rPr>
                <w:color w:val="auto"/>
              </w:rPr>
              <w:t>～</w:t>
            </w:r>
            <w:r>
              <w:rPr>
                <w:rFonts w:hint="eastAsia"/>
                <w:color w:val="auto"/>
                <w:lang w:val="en-US" w:eastAsia="zh-CN"/>
              </w:rPr>
              <w:t>0.268</w:t>
            </w:r>
            <w:r>
              <w:rPr>
                <w:color w:val="auto"/>
              </w:rPr>
              <w:t>µT，满足《电磁环境控制限值》（GB8702-2014）中公众曝露控制限值：50Hz频率下，工频电场强度为4000V/m，工频磁感应强度为100μT的限值要求。</w:t>
            </w:r>
          </w:p>
          <w:p>
            <w:pPr>
              <w:bidi w:val="0"/>
              <w:ind w:firstLine="480" w:firstLineChars="200"/>
              <w:rPr>
                <w:color w:val="auto"/>
              </w:rPr>
            </w:pPr>
            <w:r>
              <w:rPr>
                <w:rFonts w:hint="eastAsia"/>
                <w:color w:val="auto"/>
                <w:lang w:val="en-US" w:eastAsia="zh-CN"/>
              </w:rPr>
              <w:t>根据上述监测结果，本项目验收期间，</w:t>
            </w:r>
            <w:r>
              <w:rPr>
                <w:rFonts w:hint="eastAsia"/>
                <w:color w:val="auto"/>
                <w:sz w:val="24"/>
                <w:szCs w:val="24"/>
                <w:lang w:val="en-US" w:eastAsia="zh-CN"/>
              </w:rPr>
              <w:t>110kV北部滩升压站</w:t>
            </w:r>
            <w:r>
              <w:rPr>
                <w:rFonts w:hint="eastAsia"/>
                <w:color w:val="auto"/>
                <w:lang w:eastAsia="zh-CN"/>
              </w:rPr>
              <w:t>工程</w:t>
            </w:r>
            <w:r>
              <w:rPr>
                <w:color w:val="auto"/>
              </w:rPr>
              <w:t>四周</w:t>
            </w:r>
            <w:r>
              <w:rPr>
                <w:rFonts w:hint="eastAsia"/>
                <w:color w:val="auto"/>
                <w:lang w:val="en-US" w:eastAsia="zh-CN"/>
              </w:rPr>
              <w:t>工频电场、工频感应强度满足</w:t>
            </w:r>
            <w:r>
              <w:rPr>
                <w:rFonts w:hint="default"/>
                <w:color w:val="auto"/>
                <w:lang w:val="en-US" w:eastAsia="zh-CN"/>
              </w:rPr>
              <w:t>《电磁环境控制限值》（GB 8702-2014）中4000V/m的工频电场控制限值和100μT的工频磁场控制限值。</w:t>
            </w:r>
          </w:p>
          <w:p>
            <w:pPr>
              <w:bidi w:val="0"/>
              <w:ind w:firstLine="482" w:firstLineChars="200"/>
              <w:rPr>
                <w:b/>
                <w:bCs/>
                <w:color w:val="auto"/>
              </w:rPr>
            </w:pPr>
            <w:r>
              <w:rPr>
                <w:b/>
                <w:bCs/>
                <w:color w:val="auto"/>
              </w:rPr>
              <w:t>（2）输电线路电磁环境影响调查</w:t>
            </w:r>
          </w:p>
          <w:p>
            <w:pPr>
              <w:bidi w:val="0"/>
              <w:ind w:firstLine="480" w:firstLineChars="200"/>
              <w:jc w:val="left"/>
              <w:rPr>
                <w:rFonts w:hint="eastAsia"/>
                <w:color w:val="auto"/>
                <w:lang w:val="en-US" w:eastAsia="zh-CN"/>
              </w:rPr>
            </w:pPr>
            <w:r>
              <w:rPr>
                <w:rFonts w:hint="eastAsia"/>
                <w:color w:val="auto"/>
                <w:lang w:val="en-US" w:eastAsia="zh-CN"/>
              </w:rPr>
              <w:t>由表7-6可知：</w:t>
            </w:r>
            <w:r>
              <w:rPr>
                <w:rFonts w:hint="default"/>
                <w:color w:val="auto"/>
                <w:lang w:val="en-US" w:eastAsia="zh-CN"/>
              </w:rPr>
              <w:t>110kV北部滩升压站送出路线</w:t>
            </w:r>
            <w:r>
              <w:rPr>
                <w:rFonts w:hint="eastAsia"/>
                <w:color w:val="auto"/>
                <w:lang w:val="en-US" w:eastAsia="zh-CN"/>
              </w:rPr>
              <w:t>的工频电场强度在15.267~1367.608V/m之间，工频磁感应强度在0.027～0.254μT之间；均呈现衰减规律且满足《电磁环境控制限值》（GB8702-2014）中公众曝露控制限值：50Hz频率下，工频电场强度为4000V/m，工频磁感应强度为100μT的限值要求。</w:t>
            </w:r>
          </w:p>
          <w:p>
            <w:pPr>
              <w:bidi w:val="0"/>
              <w:ind w:firstLine="480" w:firstLineChars="200"/>
              <w:jc w:val="left"/>
              <w:rPr>
                <w:color w:val="auto"/>
              </w:rPr>
            </w:pPr>
            <w:r>
              <w:rPr>
                <w:rFonts w:hint="default"/>
                <w:color w:val="auto"/>
                <w:lang w:val="en-US" w:eastAsia="zh-CN"/>
              </w:rPr>
              <w:t>110kV北部滩升压站送出路线塔基</w:t>
            </w:r>
            <w:r>
              <w:rPr>
                <w:rFonts w:hint="default"/>
                <w:color w:val="auto"/>
              </w:rPr>
              <w:t>BL</w:t>
            </w:r>
            <w:r>
              <w:rPr>
                <w:rFonts w:hint="default"/>
                <w:color w:val="auto"/>
                <w:lang w:val="en-US" w:eastAsia="zh-CN"/>
              </w:rPr>
              <w:t>8至塔基</w:t>
            </w:r>
            <w:r>
              <w:rPr>
                <w:rFonts w:hint="default"/>
                <w:color w:val="auto"/>
              </w:rPr>
              <w:t>BL</w:t>
            </w:r>
            <w:r>
              <w:rPr>
                <w:rFonts w:hint="default"/>
                <w:color w:val="auto"/>
                <w:lang w:val="en-US" w:eastAsia="zh-CN"/>
              </w:rPr>
              <w:t>9中间导线线路</w:t>
            </w:r>
            <w:r>
              <w:rPr>
                <w:color w:val="auto"/>
              </w:rPr>
              <w:t>满足输电线路线下的耕地、园地、牧草地、畜禽饲养地、养殖水面、道路等场所</w:t>
            </w:r>
            <w:r>
              <w:rPr>
                <w:rFonts w:hint="eastAsia"/>
                <w:color w:val="auto"/>
                <w:lang w:eastAsia="zh-CN"/>
              </w:rPr>
              <w:t>，</w:t>
            </w:r>
            <w:r>
              <w:rPr>
                <w:color w:val="auto"/>
              </w:rPr>
              <w:t>满足《电磁环境控制限值》（GB8702－2014）中其频率50Hz的工频电场强度控制限值为10kV/m要求。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restart"/>
            <w:vAlign w:val="center"/>
          </w:tcPr>
          <w:p>
            <w:pPr>
              <w:bidi w:val="0"/>
              <w:jc w:val="center"/>
              <w:rPr>
                <w:color w:val="auto"/>
              </w:rPr>
            </w:pPr>
            <w:r>
              <w:rPr>
                <w:rFonts w:hint="eastAsia"/>
                <w:b/>
                <w:bCs/>
                <w:color w:val="auto"/>
                <w:lang w:val="en-US" w:eastAsia="zh-CN"/>
              </w:rPr>
              <w:t>噪声</w:t>
            </w:r>
            <w:r>
              <w:rPr>
                <w:rFonts w:hint="eastAsia" w:ascii="Times New Roman" w:hAnsi="Times New Roman" w:eastAsia="宋体"/>
                <w:b/>
                <w:bCs/>
                <w:color w:val="auto"/>
                <w:lang w:val="en-US" w:eastAsia="zh-CN"/>
              </w:rPr>
              <w:t>环境监测</w:t>
            </w:r>
          </w:p>
        </w:tc>
        <w:tc>
          <w:tcPr>
            <w:tcW w:w="4612" w:type="pct"/>
            <w:vAlign w:val="center"/>
          </w:tcPr>
          <w:p>
            <w:pPr>
              <w:bidi w:val="0"/>
              <w:spacing w:line="360" w:lineRule="auto"/>
              <w:jc w:val="both"/>
              <w:rPr>
                <w:b/>
                <w:bCs/>
                <w:color w:val="auto"/>
                <w:sz w:val="24"/>
                <w:szCs w:val="24"/>
              </w:rPr>
            </w:pPr>
            <w:r>
              <w:rPr>
                <w:b/>
                <w:bCs/>
                <w:color w:val="auto"/>
                <w:sz w:val="24"/>
                <w:szCs w:val="24"/>
              </w:rPr>
              <w:t>监测因子及监测频次</w:t>
            </w:r>
          </w:p>
          <w:p>
            <w:pPr>
              <w:bidi w:val="0"/>
              <w:ind w:firstLine="482" w:firstLineChars="200"/>
              <w:rPr>
                <w:rFonts w:hint="eastAsia"/>
                <w:color w:val="auto"/>
                <w:lang w:val="en-US" w:eastAsia="zh-CN"/>
              </w:rPr>
            </w:pPr>
            <w:r>
              <w:rPr>
                <w:rFonts w:hint="eastAsia"/>
                <w:b/>
                <w:bCs/>
                <w:color w:val="auto"/>
                <w:lang w:val="en-US" w:eastAsia="zh-CN"/>
              </w:rPr>
              <w:t>一、升压站</w:t>
            </w:r>
          </w:p>
          <w:p>
            <w:pPr>
              <w:bidi w:val="0"/>
              <w:ind w:firstLine="482" w:firstLineChars="200"/>
              <w:rPr>
                <w:b/>
                <w:bCs/>
                <w:color w:val="auto"/>
              </w:rPr>
            </w:pPr>
            <w:r>
              <w:rPr>
                <w:rFonts w:hint="eastAsia"/>
                <w:b/>
                <w:bCs/>
                <w:color w:val="auto"/>
                <w:lang w:val="en-US" w:eastAsia="zh-CN"/>
              </w:rPr>
              <w:t>1、</w:t>
            </w:r>
            <w:r>
              <w:rPr>
                <w:b/>
                <w:bCs/>
                <w:color w:val="auto"/>
              </w:rPr>
              <w:t>监测因子及监测指标：</w:t>
            </w:r>
          </w:p>
          <w:p>
            <w:pPr>
              <w:bidi w:val="0"/>
              <w:ind w:firstLine="480" w:firstLineChars="200"/>
              <w:rPr>
                <w:color w:val="auto"/>
              </w:rPr>
            </w:pPr>
            <w:r>
              <w:rPr>
                <w:rFonts w:hint="default"/>
                <w:color w:val="auto"/>
                <w:lang w:val="en-US" w:eastAsia="zh-CN"/>
              </w:rPr>
              <w:t>监测项目：</w:t>
            </w:r>
            <w:r>
              <w:rPr>
                <w:rFonts w:hint="eastAsia"/>
                <w:color w:val="auto"/>
                <w:lang w:val="en-US" w:eastAsia="zh-CN"/>
              </w:rPr>
              <w:t>噪声，等效连续 A 声级</w:t>
            </w:r>
          </w:p>
          <w:p>
            <w:pPr>
              <w:bidi w:val="0"/>
              <w:ind w:firstLine="482" w:firstLineChars="200"/>
              <w:rPr>
                <w:b/>
                <w:bCs/>
                <w:color w:val="auto"/>
              </w:rPr>
            </w:pPr>
            <w:r>
              <w:rPr>
                <w:rFonts w:hint="eastAsia"/>
                <w:b/>
                <w:bCs/>
                <w:color w:val="auto"/>
                <w:lang w:val="en-US" w:eastAsia="zh-CN"/>
              </w:rPr>
              <w:t>2、</w:t>
            </w:r>
            <w:r>
              <w:rPr>
                <w:b/>
                <w:bCs/>
                <w:color w:val="auto"/>
              </w:rPr>
              <w:t>监测频次：</w:t>
            </w:r>
          </w:p>
          <w:p>
            <w:pPr>
              <w:bidi w:val="0"/>
              <w:ind w:firstLine="480" w:firstLineChars="200"/>
              <w:rPr>
                <w:rFonts w:hint="default"/>
                <w:color w:val="auto"/>
                <w:lang w:val="en-US" w:eastAsia="zh-CN"/>
              </w:rPr>
            </w:pPr>
            <w:r>
              <w:rPr>
                <w:rFonts w:hint="default"/>
                <w:color w:val="auto"/>
                <w:lang w:val="en-US" w:eastAsia="zh-CN"/>
              </w:rPr>
              <w:t>监测时间：连续2天</w:t>
            </w:r>
          </w:p>
          <w:p>
            <w:pPr>
              <w:bidi w:val="0"/>
              <w:ind w:firstLine="480" w:firstLineChars="200"/>
              <w:rPr>
                <w:rFonts w:hint="default"/>
                <w:color w:val="auto"/>
                <w:lang w:val="en-US" w:eastAsia="zh-CN"/>
              </w:rPr>
            </w:pPr>
            <w:r>
              <w:rPr>
                <w:rFonts w:hint="default"/>
                <w:color w:val="auto"/>
                <w:lang w:val="en-US" w:eastAsia="zh-CN"/>
              </w:rPr>
              <w:t>监测频率：每天昼、夜间各1次</w:t>
            </w:r>
          </w:p>
          <w:p>
            <w:pPr>
              <w:numPr>
                <w:ilvl w:val="0"/>
                <w:numId w:val="0"/>
              </w:numPr>
              <w:bidi w:val="0"/>
              <w:ind w:leftChars="200"/>
              <w:rPr>
                <w:rFonts w:hint="eastAsia"/>
                <w:color w:val="auto"/>
                <w:lang w:val="en-US" w:eastAsia="zh-CN"/>
              </w:rPr>
            </w:pPr>
            <w:r>
              <w:rPr>
                <w:rFonts w:hint="eastAsia"/>
                <w:b/>
                <w:bCs/>
                <w:color w:val="auto"/>
                <w:lang w:val="en-US" w:eastAsia="zh-CN"/>
              </w:rPr>
              <w:t>二、送出线路</w:t>
            </w:r>
          </w:p>
          <w:p>
            <w:pPr>
              <w:bidi w:val="0"/>
              <w:ind w:firstLine="482" w:firstLineChars="200"/>
              <w:rPr>
                <w:b/>
                <w:bCs/>
                <w:color w:val="auto"/>
              </w:rPr>
            </w:pPr>
            <w:r>
              <w:rPr>
                <w:rFonts w:hint="eastAsia"/>
                <w:b/>
                <w:bCs/>
                <w:color w:val="auto"/>
                <w:lang w:val="en-US" w:eastAsia="zh-CN"/>
              </w:rPr>
              <w:t>1、</w:t>
            </w:r>
            <w:r>
              <w:rPr>
                <w:b/>
                <w:bCs/>
                <w:color w:val="auto"/>
              </w:rPr>
              <w:t>监测因子及监测指标：</w:t>
            </w:r>
          </w:p>
          <w:p>
            <w:pPr>
              <w:bidi w:val="0"/>
              <w:ind w:firstLine="480" w:firstLineChars="200"/>
              <w:rPr>
                <w:color w:val="auto"/>
              </w:rPr>
            </w:pPr>
            <w:r>
              <w:rPr>
                <w:rFonts w:hint="default"/>
                <w:color w:val="auto"/>
                <w:lang w:val="en-US" w:eastAsia="zh-CN"/>
              </w:rPr>
              <w:t>监测项目：</w:t>
            </w:r>
            <w:r>
              <w:rPr>
                <w:rFonts w:hint="eastAsia"/>
                <w:color w:val="auto"/>
                <w:lang w:val="en-US" w:eastAsia="zh-CN"/>
              </w:rPr>
              <w:t>噪声，等效连续 A声级</w:t>
            </w:r>
          </w:p>
          <w:p>
            <w:pPr>
              <w:bidi w:val="0"/>
              <w:ind w:firstLine="482" w:firstLineChars="200"/>
              <w:rPr>
                <w:b/>
                <w:bCs/>
                <w:color w:val="auto"/>
              </w:rPr>
            </w:pPr>
            <w:r>
              <w:rPr>
                <w:rFonts w:hint="eastAsia"/>
                <w:b/>
                <w:bCs/>
                <w:color w:val="auto"/>
                <w:lang w:val="en-US" w:eastAsia="zh-CN"/>
              </w:rPr>
              <w:t>2、</w:t>
            </w:r>
            <w:r>
              <w:rPr>
                <w:b/>
                <w:bCs/>
                <w:color w:val="auto"/>
              </w:rPr>
              <w:t>监测频次：</w:t>
            </w:r>
          </w:p>
          <w:p>
            <w:pPr>
              <w:bidi w:val="0"/>
              <w:ind w:firstLine="480" w:firstLineChars="200"/>
              <w:rPr>
                <w:rFonts w:hint="default"/>
                <w:color w:val="auto"/>
                <w:lang w:val="en-US" w:eastAsia="zh-CN"/>
              </w:rPr>
            </w:pPr>
            <w:r>
              <w:rPr>
                <w:rFonts w:hint="default"/>
                <w:color w:val="auto"/>
                <w:lang w:val="en-US" w:eastAsia="zh-CN"/>
              </w:rPr>
              <w:t>监测时间：连续2天</w:t>
            </w:r>
          </w:p>
          <w:p>
            <w:pPr>
              <w:bidi w:val="0"/>
              <w:ind w:firstLine="480" w:firstLineChars="200"/>
              <w:rPr>
                <w:color w:val="auto"/>
              </w:rPr>
            </w:pPr>
            <w:r>
              <w:rPr>
                <w:rFonts w:hint="default"/>
                <w:color w:val="auto"/>
                <w:lang w:val="en-US" w:eastAsia="zh-CN"/>
              </w:rPr>
              <w:t>监测频率：每天昼、夜间各1次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continue"/>
            <w:vAlign w:val="center"/>
          </w:tcPr>
          <w:p>
            <w:pPr>
              <w:bidi w:val="0"/>
              <w:jc w:val="center"/>
              <w:rPr>
                <w:rFonts w:hint="eastAsia"/>
                <w:b/>
                <w:bCs/>
                <w:color w:val="auto"/>
                <w:lang w:val="en-US" w:eastAsia="zh-CN"/>
              </w:rPr>
            </w:pPr>
          </w:p>
        </w:tc>
        <w:tc>
          <w:tcPr>
            <w:tcW w:w="4612" w:type="pct"/>
            <w:vAlign w:val="center"/>
          </w:tcPr>
          <w:p>
            <w:pPr>
              <w:bidi w:val="0"/>
              <w:rPr>
                <w:rFonts w:hint="eastAsia"/>
                <w:b/>
                <w:bCs/>
                <w:color w:val="auto"/>
                <w:lang w:val="en-US" w:eastAsia="zh-CN"/>
              </w:rPr>
            </w:pPr>
            <w:r>
              <w:rPr>
                <w:rFonts w:hint="eastAsia"/>
                <w:b/>
                <w:bCs/>
                <w:color w:val="auto"/>
                <w:lang w:val="en-US" w:eastAsia="zh-CN"/>
              </w:rPr>
              <w:t>执行标准</w:t>
            </w:r>
          </w:p>
          <w:p>
            <w:pPr>
              <w:bidi w:val="0"/>
              <w:ind w:firstLine="480" w:firstLineChars="200"/>
              <w:rPr>
                <w:color w:val="auto"/>
              </w:rPr>
            </w:pPr>
            <w:r>
              <w:rPr>
                <w:rFonts w:hint="default"/>
                <w:color w:val="auto"/>
                <w:lang w:val="en-US" w:eastAsia="zh-CN"/>
              </w:rPr>
              <w:t>执行《工业企业厂界环境噪声排放标准》GB12348-2008中的2类区标准限值。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continue"/>
            <w:vAlign w:val="center"/>
          </w:tcPr>
          <w:p>
            <w:pPr>
              <w:bidi w:val="0"/>
              <w:spacing w:line="360" w:lineRule="auto"/>
              <w:jc w:val="both"/>
              <w:rPr>
                <w:color w:val="auto"/>
                <w:sz w:val="24"/>
                <w:szCs w:val="24"/>
              </w:rPr>
            </w:pPr>
          </w:p>
        </w:tc>
        <w:tc>
          <w:tcPr>
            <w:tcW w:w="4612" w:type="pct"/>
            <w:vAlign w:val="center"/>
          </w:tcPr>
          <w:p>
            <w:pPr>
              <w:bidi w:val="0"/>
              <w:spacing w:line="360" w:lineRule="auto"/>
              <w:jc w:val="both"/>
              <w:rPr>
                <w:b/>
                <w:bCs/>
                <w:color w:val="auto"/>
                <w:sz w:val="24"/>
                <w:szCs w:val="24"/>
              </w:rPr>
            </w:pPr>
            <w:r>
              <w:rPr>
                <w:b/>
                <w:bCs/>
                <w:color w:val="auto"/>
                <w:sz w:val="24"/>
                <w:szCs w:val="24"/>
              </w:rPr>
              <w:t>监测方法及监测布点</w:t>
            </w:r>
          </w:p>
          <w:p>
            <w:pPr>
              <w:bidi w:val="0"/>
              <w:ind w:firstLine="482" w:firstLineChars="200"/>
              <w:rPr>
                <w:b/>
                <w:bCs/>
                <w:color w:val="auto"/>
              </w:rPr>
            </w:pPr>
            <w:r>
              <w:rPr>
                <w:rFonts w:hint="eastAsia"/>
                <w:b/>
                <w:bCs/>
                <w:color w:val="auto"/>
                <w:lang w:val="en-US" w:eastAsia="zh-CN"/>
              </w:rPr>
              <w:t>1、</w:t>
            </w:r>
            <w:r>
              <w:rPr>
                <w:b/>
                <w:bCs/>
                <w:color w:val="auto"/>
              </w:rPr>
              <w:t>监测方法</w:t>
            </w:r>
          </w:p>
          <w:p>
            <w:pPr>
              <w:bidi w:val="0"/>
              <w:ind w:firstLine="480" w:firstLineChars="200"/>
              <w:rPr>
                <w:color w:val="auto"/>
              </w:rPr>
            </w:pPr>
            <w:r>
              <w:rPr>
                <w:color w:val="auto"/>
              </w:rPr>
              <w:t>《工业企业厂界环境噪声排放标准》（GB12348-2008）</w:t>
            </w:r>
          </w:p>
          <w:p>
            <w:pPr>
              <w:bidi w:val="0"/>
              <w:ind w:firstLine="480" w:firstLineChars="200"/>
              <w:rPr>
                <w:rFonts w:hint="eastAsia"/>
                <w:b/>
                <w:bCs/>
                <w:color w:val="auto"/>
                <w:lang w:val="en-US" w:eastAsia="zh-CN"/>
              </w:rPr>
            </w:pPr>
            <w:r>
              <w:rPr>
                <w:color w:val="auto"/>
              </w:rPr>
              <w:t>《声环境质量标准》（GB3096-2008）</w:t>
            </w:r>
          </w:p>
          <w:p>
            <w:pPr>
              <w:bidi w:val="0"/>
              <w:ind w:firstLine="482" w:firstLineChars="200"/>
              <w:rPr>
                <w:b/>
                <w:bCs/>
                <w:color w:val="auto"/>
              </w:rPr>
            </w:pPr>
            <w:r>
              <w:rPr>
                <w:rFonts w:hint="eastAsia"/>
                <w:b/>
                <w:bCs/>
                <w:color w:val="auto"/>
                <w:lang w:val="en-US" w:eastAsia="zh-CN"/>
              </w:rPr>
              <w:t>2、</w:t>
            </w:r>
            <w:r>
              <w:rPr>
                <w:b/>
                <w:bCs/>
                <w:color w:val="auto"/>
              </w:rPr>
              <w:t>监测布点</w:t>
            </w:r>
          </w:p>
          <w:p>
            <w:pPr>
              <w:bidi w:val="0"/>
              <w:ind w:firstLine="480" w:firstLineChars="200"/>
              <w:rPr>
                <w:rFonts w:hint="default"/>
                <w:color w:val="auto"/>
                <w:lang w:val="en-US" w:eastAsia="zh-CN"/>
              </w:rPr>
            </w:pPr>
            <w:r>
              <w:rPr>
                <w:rFonts w:hint="default"/>
                <w:color w:val="auto"/>
                <w:lang w:val="en-US" w:eastAsia="zh-CN"/>
              </w:rPr>
              <w:t>根据项目特征，</w:t>
            </w:r>
            <w:r>
              <w:rPr>
                <w:rFonts w:hint="eastAsia"/>
                <w:color w:val="auto"/>
                <w:lang w:val="en-US" w:eastAsia="zh-CN"/>
              </w:rPr>
              <w:t>升压站厂界四周各设1个点，共4个监测点</w:t>
            </w:r>
            <w:r>
              <w:rPr>
                <w:rFonts w:hint="default"/>
                <w:color w:val="auto"/>
                <w:lang w:val="en-US" w:eastAsia="zh-CN"/>
              </w:rPr>
              <w:t>。</w:t>
            </w:r>
          </w:p>
          <w:p>
            <w:pPr>
              <w:bidi w:val="0"/>
              <w:spacing w:line="240" w:lineRule="auto"/>
              <w:jc w:val="center"/>
              <w:rPr>
                <w:rFonts w:hint="eastAsia"/>
                <w:b/>
                <w:bCs/>
                <w:color w:val="auto"/>
                <w:lang w:val="en-US" w:eastAsia="zh-CN"/>
              </w:rPr>
            </w:pPr>
            <w:r>
              <w:rPr>
                <w:rFonts w:hint="eastAsia"/>
                <w:b/>
                <w:bCs/>
                <w:color w:val="auto"/>
                <w:lang w:val="en-US" w:eastAsia="zh-CN"/>
              </w:rPr>
              <w:t>表7-7  升压站噪声监测点位一览表</w:t>
            </w:r>
          </w:p>
          <w:tbl>
            <w:tblPr>
              <w:tblStyle w:val="1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4218"/>
              <w:gridCol w:w="3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eastAsia"/>
                      <w:b/>
                      <w:bCs/>
                      <w:color w:val="auto"/>
                      <w:sz w:val="21"/>
                      <w:szCs w:val="21"/>
                      <w:lang w:val="en-US" w:eastAsia="zh-CN"/>
                    </w:rPr>
                    <w:t>编号</w:t>
                  </w:r>
                </w:p>
              </w:tc>
              <w:tc>
                <w:tcPr>
                  <w:tcW w:w="2436"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eastAsia"/>
                      <w:b/>
                      <w:bCs/>
                      <w:color w:val="auto"/>
                      <w:sz w:val="21"/>
                      <w:szCs w:val="21"/>
                      <w:lang w:val="en-US" w:eastAsia="zh-CN"/>
                    </w:rPr>
                    <w:t>检测点位</w:t>
                  </w:r>
                </w:p>
              </w:tc>
              <w:tc>
                <w:tcPr>
                  <w:tcW w:w="2063"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eastAsia"/>
                      <w:b/>
                      <w:bCs/>
                      <w:color w:val="auto"/>
                      <w:sz w:val="21"/>
                      <w:szCs w:val="21"/>
                      <w:lang w:val="en-US" w:eastAsia="zh-CN"/>
                    </w:rPr>
                    <w:t>点位坐标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1#</w:t>
                  </w: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升压站南侧围墙外5m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29.96</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2#</w:t>
                  </w: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升压站西侧围墙外5m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06.74</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32.94</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3#</w:t>
                  </w: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升压站北侧围墙外5m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10.95</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36.50</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4#</w:t>
                  </w:r>
                </w:p>
              </w:tc>
              <w:tc>
                <w:tcPr>
                  <w:tcW w:w="2436"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升压站东侧围墙外5m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14.72</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33.03</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Merge w:val="restar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5#</w:t>
                  </w: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10</w:t>
                  </w:r>
                  <w:r>
                    <w:rPr>
                      <w:rFonts w:hint="default"/>
                      <w:color w:val="auto"/>
                      <w:sz w:val="21"/>
                      <w:szCs w:val="21"/>
                      <w:lang w:val="en-US" w:eastAsia="zh-CN"/>
                    </w:rPr>
                    <w:t>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29.82</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Merge w:val="continue"/>
                  <w:tcBorders>
                    <w:tl2br w:val="nil"/>
                    <w:tr2bl w:val="nil"/>
                  </w:tcBorders>
                  <w:noWrap w:val="0"/>
                  <w:vAlign w:val="center"/>
                </w:tcPr>
                <w:p>
                  <w:pPr>
                    <w:bidi w:val="0"/>
                    <w:spacing w:line="240" w:lineRule="auto"/>
                    <w:jc w:val="center"/>
                    <w:rPr>
                      <w:rFonts w:hint="eastAsia"/>
                      <w:color w:val="auto"/>
                      <w:sz w:val="21"/>
                      <w:szCs w:val="21"/>
                      <w:lang w:val="en-US" w:eastAsia="zh-CN"/>
                    </w:rPr>
                  </w:pP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15</w:t>
                  </w:r>
                  <w:r>
                    <w:rPr>
                      <w:rFonts w:hint="default"/>
                      <w:color w:val="auto"/>
                      <w:sz w:val="21"/>
                      <w:szCs w:val="21"/>
                      <w:lang w:val="en-US" w:eastAsia="zh-CN"/>
                    </w:rPr>
                    <w:t>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29.66</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Merge w:val="continue"/>
                  <w:tcBorders>
                    <w:tl2br w:val="nil"/>
                    <w:tr2bl w:val="nil"/>
                  </w:tcBorders>
                  <w:noWrap w:val="0"/>
                  <w:vAlign w:val="center"/>
                </w:tcPr>
                <w:p>
                  <w:pPr>
                    <w:bidi w:val="0"/>
                    <w:spacing w:line="240" w:lineRule="auto"/>
                    <w:jc w:val="center"/>
                    <w:rPr>
                      <w:rFonts w:hint="eastAsia"/>
                      <w:color w:val="auto"/>
                      <w:sz w:val="21"/>
                      <w:szCs w:val="21"/>
                      <w:lang w:val="en-US" w:eastAsia="zh-CN"/>
                    </w:rPr>
                  </w:pP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20</w:t>
                  </w:r>
                  <w:r>
                    <w:rPr>
                      <w:rFonts w:hint="default"/>
                      <w:color w:val="auto"/>
                      <w:sz w:val="21"/>
                      <w:szCs w:val="21"/>
                      <w:lang w:val="en-US" w:eastAsia="zh-CN"/>
                    </w:rPr>
                    <w:t>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29.49</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Merge w:val="continue"/>
                  <w:tcBorders>
                    <w:tl2br w:val="nil"/>
                    <w:tr2bl w:val="nil"/>
                  </w:tcBorders>
                  <w:noWrap w:val="0"/>
                  <w:vAlign w:val="center"/>
                </w:tcPr>
                <w:p>
                  <w:pPr>
                    <w:bidi w:val="0"/>
                    <w:spacing w:line="240" w:lineRule="auto"/>
                    <w:jc w:val="center"/>
                    <w:rPr>
                      <w:rFonts w:hint="eastAsia"/>
                      <w:color w:val="auto"/>
                      <w:sz w:val="21"/>
                      <w:szCs w:val="21"/>
                      <w:lang w:val="en-US" w:eastAsia="zh-CN"/>
                    </w:rPr>
                  </w:pP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25</w:t>
                  </w:r>
                  <w:r>
                    <w:rPr>
                      <w:rFonts w:hint="default"/>
                      <w:color w:val="auto"/>
                      <w:sz w:val="21"/>
                      <w:szCs w:val="21"/>
                      <w:lang w:val="en-US" w:eastAsia="zh-CN"/>
                    </w:rPr>
                    <w:t>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29.33</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Merge w:val="continue"/>
                  <w:tcBorders>
                    <w:tl2br w:val="nil"/>
                    <w:tr2bl w:val="nil"/>
                  </w:tcBorders>
                  <w:noWrap w:val="0"/>
                  <w:vAlign w:val="center"/>
                </w:tcPr>
                <w:p>
                  <w:pPr>
                    <w:bidi w:val="0"/>
                    <w:spacing w:line="240" w:lineRule="auto"/>
                    <w:jc w:val="center"/>
                    <w:rPr>
                      <w:rFonts w:hint="eastAsia"/>
                      <w:color w:val="auto"/>
                      <w:sz w:val="21"/>
                      <w:szCs w:val="21"/>
                      <w:lang w:val="en-US" w:eastAsia="zh-CN"/>
                    </w:rPr>
                  </w:pP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30</w:t>
                  </w:r>
                  <w:r>
                    <w:rPr>
                      <w:rFonts w:hint="default"/>
                      <w:color w:val="auto"/>
                      <w:sz w:val="21"/>
                      <w:szCs w:val="21"/>
                      <w:lang w:val="en-US" w:eastAsia="zh-CN"/>
                    </w:rPr>
                    <w:t>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29.17</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Merge w:val="continue"/>
                  <w:tcBorders>
                    <w:tl2br w:val="nil"/>
                    <w:tr2bl w:val="nil"/>
                  </w:tcBorders>
                  <w:noWrap w:val="0"/>
                  <w:vAlign w:val="center"/>
                </w:tcPr>
                <w:p>
                  <w:pPr>
                    <w:bidi w:val="0"/>
                    <w:spacing w:line="240" w:lineRule="auto"/>
                    <w:jc w:val="center"/>
                    <w:rPr>
                      <w:rFonts w:hint="eastAsia"/>
                      <w:color w:val="auto"/>
                      <w:sz w:val="21"/>
                      <w:szCs w:val="21"/>
                      <w:lang w:val="en-US" w:eastAsia="zh-CN"/>
                    </w:rPr>
                  </w:pP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35</w:t>
                  </w:r>
                  <w:r>
                    <w:rPr>
                      <w:rFonts w:hint="default"/>
                      <w:color w:val="auto"/>
                      <w:sz w:val="21"/>
                      <w:szCs w:val="21"/>
                      <w:lang w:val="en-US" w:eastAsia="zh-CN"/>
                    </w:rPr>
                    <w:t>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29.01</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Merge w:val="continue"/>
                  <w:tcBorders>
                    <w:tl2br w:val="nil"/>
                    <w:tr2bl w:val="nil"/>
                  </w:tcBorders>
                  <w:noWrap w:val="0"/>
                  <w:vAlign w:val="center"/>
                </w:tcPr>
                <w:p>
                  <w:pPr>
                    <w:bidi w:val="0"/>
                    <w:spacing w:line="240" w:lineRule="auto"/>
                    <w:jc w:val="center"/>
                    <w:rPr>
                      <w:rFonts w:hint="eastAsia"/>
                      <w:color w:val="auto"/>
                      <w:sz w:val="21"/>
                      <w:szCs w:val="21"/>
                      <w:lang w:val="en-US" w:eastAsia="zh-CN"/>
                    </w:rPr>
                  </w:pP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40</w:t>
                  </w:r>
                  <w:r>
                    <w:rPr>
                      <w:rFonts w:hint="default"/>
                      <w:color w:val="auto"/>
                      <w:sz w:val="21"/>
                      <w:szCs w:val="21"/>
                      <w:lang w:val="en-US" w:eastAsia="zh-CN"/>
                    </w:rPr>
                    <w:t>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28.85</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Merge w:val="continue"/>
                  <w:tcBorders>
                    <w:tl2br w:val="nil"/>
                    <w:tr2bl w:val="nil"/>
                  </w:tcBorders>
                  <w:noWrap w:val="0"/>
                  <w:vAlign w:val="center"/>
                </w:tcPr>
                <w:p>
                  <w:pPr>
                    <w:bidi w:val="0"/>
                    <w:spacing w:line="240" w:lineRule="auto"/>
                    <w:jc w:val="center"/>
                    <w:rPr>
                      <w:rFonts w:hint="eastAsia"/>
                      <w:color w:val="auto"/>
                      <w:sz w:val="21"/>
                      <w:szCs w:val="21"/>
                      <w:lang w:val="en-US" w:eastAsia="zh-CN"/>
                    </w:rPr>
                  </w:pP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45</w:t>
                  </w:r>
                  <w:r>
                    <w:rPr>
                      <w:rFonts w:hint="default"/>
                      <w:color w:val="auto"/>
                      <w:sz w:val="21"/>
                      <w:szCs w:val="21"/>
                      <w:lang w:val="en-US" w:eastAsia="zh-CN"/>
                    </w:rPr>
                    <w:t>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28.69</w:t>
                  </w:r>
                  <w:r>
                    <w:rPr>
                      <w:rFonts w:hint="default"/>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Merge w:val="continue"/>
                  <w:tcBorders>
                    <w:tl2br w:val="nil"/>
                    <w:tr2bl w:val="nil"/>
                  </w:tcBorders>
                  <w:noWrap w:val="0"/>
                  <w:vAlign w:val="center"/>
                </w:tcPr>
                <w:p>
                  <w:pPr>
                    <w:bidi w:val="0"/>
                    <w:spacing w:line="240" w:lineRule="auto"/>
                    <w:jc w:val="center"/>
                    <w:rPr>
                      <w:rFonts w:hint="eastAsia"/>
                      <w:color w:val="auto"/>
                      <w:sz w:val="21"/>
                      <w:szCs w:val="21"/>
                      <w:lang w:val="en-US" w:eastAsia="zh-CN"/>
                    </w:rPr>
                  </w:pPr>
                </w:p>
              </w:tc>
              <w:tc>
                <w:tcPr>
                  <w:tcW w:w="2436" w:type="pct"/>
                  <w:tcBorders>
                    <w:tl2br w:val="nil"/>
                    <w:tr2bl w:val="nil"/>
                  </w:tcBorders>
                  <w:noWrap w:val="0"/>
                  <w:vAlign w:val="center"/>
                </w:tcPr>
                <w:p>
                  <w:pPr>
                    <w:bidi w:val="0"/>
                    <w:spacing w:line="240" w:lineRule="auto"/>
                    <w:jc w:val="center"/>
                    <w:rPr>
                      <w:rFonts w:hint="eastAsia"/>
                      <w:color w:val="auto"/>
                      <w:sz w:val="21"/>
                      <w:szCs w:val="21"/>
                      <w:lang w:val="en-US" w:eastAsia="zh-CN"/>
                    </w:rPr>
                  </w:pPr>
                  <w:r>
                    <w:rPr>
                      <w:rFonts w:hint="default"/>
                      <w:color w:val="auto"/>
                      <w:sz w:val="21"/>
                      <w:szCs w:val="21"/>
                      <w:lang w:val="en-US" w:eastAsia="zh-CN"/>
                    </w:rPr>
                    <w:t>升压站南侧围墙外</w:t>
                  </w:r>
                  <w:r>
                    <w:rPr>
                      <w:rFonts w:hint="eastAsia"/>
                      <w:color w:val="auto"/>
                      <w:sz w:val="21"/>
                      <w:szCs w:val="21"/>
                      <w:lang w:val="en-US" w:eastAsia="zh-CN"/>
                    </w:rPr>
                    <w:t>50</w:t>
                  </w:r>
                  <w:r>
                    <w:rPr>
                      <w:rFonts w:hint="default"/>
                      <w:color w:val="auto"/>
                      <w:sz w:val="21"/>
                      <w:szCs w:val="21"/>
                      <w:lang w:val="en-US" w:eastAsia="zh-CN"/>
                    </w:rPr>
                    <w:t>m</w:t>
                  </w:r>
                  <w:r>
                    <w:rPr>
                      <w:rFonts w:hint="eastAsia"/>
                      <w:color w:val="auto"/>
                      <w:sz w:val="21"/>
                      <w:szCs w:val="21"/>
                      <w:lang w:val="en-US" w:eastAsia="zh-CN"/>
                    </w:rPr>
                    <w:t>处</w:t>
                  </w:r>
                </w:p>
              </w:tc>
              <w:tc>
                <w:tcPr>
                  <w:tcW w:w="2063" w:type="pct"/>
                  <w:tcBorders>
                    <w:tl2br w:val="nil"/>
                    <w:tr2bl w:val="nil"/>
                  </w:tcBorders>
                  <w:noWrap w:val="0"/>
                  <w:vAlign w:val="center"/>
                </w:tcPr>
                <w:p>
                  <w:pPr>
                    <w:bidi w:val="0"/>
                    <w:spacing w:line="240" w:lineRule="auto"/>
                    <w:jc w:val="center"/>
                    <w:rPr>
                      <w:rFonts w:hint="default"/>
                      <w:color w:val="auto"/>
                      <w:sz w:val="21"/>
                      <w:szCs w:val="21"/>
                    </w:rPr>
                  </w:pPr>
                  <w:r>
                    <w:rPr>
                      <w:rFonts w:hint="default"/>
                      <w:color w:val="auto"/>
                      <w:sz w:val="21"/>
                      <w:szCs w:val="21"/>
                    </w:rPr>
                    <w:t>E：</w:t>
                  </w:r>
                  <w:r>
                    <w:rPr>
                      <w:rFonts w:hint="eastAsia"/>
                      <w:color w:val="auto"/>
                      <w:sz w:val="21"/>
                      <w:szCs w:val="21"/>
                      <w:lang w:val="en-US" w:eastAsia="zh-CN"/>
                    </w:rPr>
                    <w:t>99</w:t>
                  </w:r>
                  <w:r>
                    <w:rPr>
                      <w:rFonts w:hint="default"/>
                      <w:color w:val="auto"/>
                      <w:sz w:val="21"/>
                      <w:szCs w:val="21"/>
                    </w:rPr>
                    <w:t>°</w:t>
                  </w:r>
                  <w:r>
                    <w:rPr>
                      <w:rFonts w:hint="eastAsia"/>
                      <w:color w:val="auto"/>
                      <w:sz w:val="21"/>
                      <w:szCs w:val="21"/>
                      <w:lang w:val="en-US" w:eastAsia="zh-CN"/>
                    </w:rPr>
                    <w:t>34</w:t>
                  </w:r>
                  <w:r>
                    <w:rPr>
                      <w:rFonts w:hint="default"/>
                      <w:color w:val="auto"/>
                      <w:sz w:val="21"/>
                      <w:szCs w:val="21"/>
                    </w:rPr>
                    <w:t>′</w:t>
                  </w:r>
                  <w:r>
                    <w:rPr>
                      <w:rFonts w:hint="eastAsia"/>
                      <w:color w:val="auto"/>
                      <w:sz w:val="21"/>
                      <w:szCs w:val="21"/>
                      <w:lang w:val="en-US" w:eastAsia="zh-CN"/>
                    </w:rPr>
                    <w:t>11.01</w:t>
                  </w:r>
                  <w:r>
                    <w:rPr>
                      <w:rFonts w:hint="default"/>
                      <w:color w:val="auto"/>
                      <w:sz w:val="21"/>
                      <w:szCs w:val="21"/>
                    </w:rPr>
                    <w:t>″</w:t>
                  </w:r>
                  <w:r>
                    <w:rPr>
                      <w:rFonts w:hint="eastAsia"/>
                      <w:color w:val="auto"/>
                      <w:sz w:val="21"/>
                      <w:szCs w:val="21"/>
                      <w:lang w:eastAsia="zh-CN"/>
                    </w:rPr>
                    <w:t>，</w:t>
                  </w:r>
                  <w:r>
                    <w:rPr>
                      <w:rFonts w:hint="default"/>
                      <w:color w:val="auto"/>
                      <w:sz w:val="21"/>
                      <w:szCs w:val="21"/>
                    </w:rPr>
                    <w:t>N：</w:t>
                  </w:r>
                  <w:r>
                    <w:rPr>
                      <w:rFonts w:hint="eastAsia"/>
                      <w:color w:val="auto"/>
                      <w:sz w:val="21"/>
                      <w:szCs w:val="21"/>
                      <w:lang w:val="en-US" w:eastAsia="zh-CN"/>
                    </w:rPr>
                    <w:t>39</w:t>
                  </w:r>
                  <w:r>
                    <w:rPr>
                      <w:rFonts w:hint="default"/>
                      <w:color w:val="auto"/>
                      <w:sz w:val="21"/>
                      <w:szCs w:val="21"/>
                    </w:rPr>
                    <w:t>°</w:t>
                  </w:r>
                  <w:r>
                    <w:rPr>
                      <w:rFonts w:hint="eastAsia"/>
                      <w:color w:val="auto"/>
                      <w:sz w:val="21"/>
                      <w:szCs w:val="21"/>
                      <w:lang w:val="en-US" w:eastAsia="zh-CN"/>
                    </w:rPr>
                    <w:t>47</w:t>
                  </w:r>
                  <w:r>
                    <w:rPr>
                      <w:rFonts w:hint="default"/>
                      <w:color w:val="auto"/>
                      <w:sz w:val="21"/>
                      <w:szCs w:val="21"/>
                    </w:rPr>
                    <w:t>′</w:t>
                  </w:r>
                  <w:r>
                    <w:rPr>
                      <w:rFonts w:hint="eastAsia"/>
                      <w:color w:val="auto"/>
                      <w:sz w:val="21"/>
                      <w:szCs w:val="21"/>
                      <w:lang w:val="en-US" w:eastAsia="zh-CN"/>
                    </w:rPr>
                    <w:t>28.53</w:t>
                  </w:r>
                  <w:r>
                    <w:rPr>
                      <w:rFonts w:hint="default"/>
                      <w:color w:val="auto"/>
                      <w:sz w:val="21"/>
                      <w:szCs w:val="21"/>
                    </w:rPr>
                    <w:t>″</w:t>
                  </w:r>
                </w:p>
              </w:tc>
            </w:tr>
          </w:tbl>
          <w:p>
            <w:pPr>
              <w:bidi w:val="0"/>
              <w:ind w:firstLine="482" w:firstLineChars="200"/>
              <w:rPr>
                <w:rFonts w:hint="default" w:ascii="Times New Roman" w:hAnsi="Times New Roman" w:eastAsia="宋体"/>
                <w:b/>
                <w:bCs/>
                <w:color w:val="auto"/>
                <w:lang w:val="en-US" w:eastAsia="zh-CN"/>
              </w:rPr>
            </w:pPr>
            <w:r>
              <w:rPr>
                <w:rFonts w:hint="eastAsia"/>
                <w:b/>
                <w:bCs/>
                <w:color w:val="auto"/>
                <w:lang w:val="en-US" w:eastAsia="zh-CN"/>
              </w:rPr>
              <w:t>二、送出线路</w:t>
            </w:r>
          </w:p>
          <w:p>
            <w:pPr>
              <w:bidi w:val="0"/>
              <w:ind w:firstLine="482" w:firstLineChars="200"/>
              <w:rPr>
                <w:rFonts w:ascii="Times New Roman" w:hAnsi="Times New Roman" w:eastAsia="宋体"/>
                <w:b/>
                <w:bCs/>
                <w:color w:val="auto"/>
              </w:rPr>
            </w:pPr>
            <w:r>
              <w:rPr>
                <w:rFonts w:hint="eastAsia" w:ascii="Times New Roman" w:hAnsi="Times New Roman" w:eastAsia="宋体"/>
                <w:b/>
                <w:bCs/>
                <w:color w:val="auto"/>
                <w:lang w:val="en-US" w:eastAsia="zh-CN"/>
              </w:rPr>
              <w:t>1、</w:t>
            </w:r>
            <w:r>
              <w:rPr>
                <w:rFonts w:ascii="Times New Roman" w:hAnsi="Times New Roman" w:eastAsia="宋体"/>
                <w:b/>
                <w:bCs/>
                <w:color w:val="auto"/>
              </w:rPr>
              <w:t>监测方法</w:t>
            </w:r>
          </w:p>
          <w:p>
            <w:pPr>
              <w:bidi w:val="0"/>
              <w:ind w:firstLine="480" w:firstLineChars="200"/>
              <w:rPr>
                <w:color w:val="auto"/>
              </w:rPr>
            </w:pPr>
            <w:r>
              <w:rPr>
                <w:color w:val="auto"/>
              </w:rPr>
              <w:t>《工业企业厂界环境噪声排放标准》（GB12348-2008）</w:t>
            </w:r>
          </w:p>
          <w:p>
            <w:pPr>
              <w:bidi w:val="0"/>
              <w:ind w:firstLine="480" w:firstLineChars="200"/>
              <w:rPr>
                <w:rFonts w:hint="eastAsia"/>
                <w:b/>
                <w:bCs/>
                <w:color w:val="auto"/>
                <w:lang w:val="en-US" w:eastAsia="zh-CN"/>
              </w:rPr>
            </w:pPr>
            <w:r>
              <w:rPr>
                <w:color w:val="auto"/>
              </w:rPr>
              <w:t>《声环境质量标准》（GB3096-2008）</w:t>
            </w:r>
          </w:p>
          <w:p>
            <w:pPr>
              <w:numPr>
                <w:ilvl w:val="0"/>
                <w:numId w:val="0"/>
              </w:numPr>
              <w:bidi w:val="0"/>
              <w:ind w:firstLine="482" w:firstLineChars="200"/>
              <w:rPr>
                <w:b/>
                <w:bCs/>
                <w:color w:val="auto"/>
              </w:rPr>
            </w:pPr>
            <w:r>
              <w:rPr>
                <w:rFonts w:hint="eastAsia"/>
                <w:b/>
                <w:bCs/>
                <w:color w:val="auto"/>
                <w:lang w:val="en-US" w:eastAsia="zh-CN"/>
              </w:rPr>
              <w:t>2、</w:t>
            </w:r>
            <w:r>
              <w:rPr>
                <w:b/>
                <w:bCs/>
                <w:color w:val="auto"/>
              </w:rPr>
              <w:t>监测布点</w:t>
            </w:r>
          </w:p>
          <w:p>
            <w:pPr>
              <w:bidi w:val="0"/>
              <w:ind w:firstLine="480" w:firstLineChars="200"/>
              <w:rPr>
                <w:color w:val="auto"/>
              </w:rPr>
            </w:pPr>
            <w:r>
              <w:rPr>
                <w:rFonts w:hint="default"/>
                <w:color w:val="auto"/>
                <w:lang w:val="en-US" w:eastAsia="zh-CN"/>
              </w:rPr>
              <w:t>根据项目特征，输电线路塔基</w:t>
            </w:r>
            <w:r>
              <w:rPr>
                <w:rFonts w:hint="default"/>
                <w:color w:val="auto"/>
              </w:rPr>
              <w:t>BL</w:t>
            </w:r>
            <w:r>
              <w:rPr>
                <w:rFonts w:hint="default"/>
                <w:color w:val="auto"/>
                <w:lang w:val="en-US" w:eastAsia="zh-CN"/>
              </w:rPr>
              <w:t>8～塔基</w:t>
            </w:r>
            <w:r>
              <w:rPr>
                <w:rFonts w:hint="default"/>
                <w:color w:val="auto"/>
              </w:rPr>
              <w:t>BL</w:t>
            </w:r>
            <w:r>
              <w:rPr>
                <w:rFonts w:hint="eastAsia"/>
                <w:color w:val="auto"/>
                <w:lang w:val="en-US" w:eastAsia="zh-CN"/>
              </w:rPr>
              <w:t>9</w:t>
            </w:r>
            <w:r>
              <w:rPr>
                <w:rFonts w:hint="default"/>
                <w:color w:val="auto"/>
                <w:lang w:val="en-US" w:eastAsia="zh-CN"/>
              </w:rPr>
              <w:t>导线档距中央弧垂最低位置中心投影处</w:t>
            </w:r>
            <w:r>
              <w:rPr>
                <w:rFonts w:hint="eastAsia"/>
                <w:color w:val="auto"/>
                <w:lang w:val="en-US" w:eastAsia="zh-CN"/>
              </w:rPr>
              <w:t>布设以下监测点</w:t>
            </w:r>
            <w:r>
              <w:rPr>
                <w:rFonts w:hint="default"/>
                <w:color w:val="auto"/>
                <w:lang w:val="en-US" w:eastAsia="zh-CN"/>
              </w:rPr>
              <w:t>。</w:t>
            </w:r>
          </w:p>
          <w:p>
            <w:pPr>
              <w:bidi w:val="0"/>
              <w:spacing w:line="240" w:lineRule="auto"/>
              <w:jc w:val="center"/>
              <w:rPr>
                <w:rFonts w:hint="eastAsia"/>
                <w:b/>
                <w:bCs/>
                <w:color w:val="auto"/>
                <w:lang w:val="en-US" w:eastAsia="zh-CN"/>
              </w:rPr>
            </w:pPr>
            <w:r>
              <w:rPr>
                <w:rFonts w:hint="eastAsia"/>
                <w:b/>
                <w:bCs/>
                <w:color w:val="auto"/>
                <w:lang w:val="en-US" w:eastAsia="zh-CN"/>
              </w:rPr>
              <w:t>表7-8  送出线路噪声监测点位一览表</w:t>
            </w:r>
          </w:p>
          <w:tbl>
            <w:tblPr>
              <w:tblStyle w:val="1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4727"/>
              <w:gridCol w:w="3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编号</w:t>
                  </w:r>
                </w:p>
              </w:tc>
              <w:tc>
                <w:tcPr>
                  <w:tcW w:w="2730"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检测点位</w:t>
                  </w:r>
                </w:p>
              </w:tc>
              <w:tc>
                <w:tcPr>
                  <w:tcW w:w="1770"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点位坐标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tcBorders>
                    <w:tl2br w:val="nil"/>
                    <w:tr2bl w:val="nil"/>
                  </w:tcBorders>
                  <w:noWrap w:val="0"/>
                  <w:vAlign w:val="center"/>
                </w:tcPr>
                <w:p>
                  <w:pPr>
                    <w:spacing w:line="240" w:lineRule="auto"/>
                    <w:jc w:val="center"/>
                    <w:rPr>
                      <w:rFonts w:hint="default" w:ascii="Times New Roman" w:hAnsi="Times New Roman" w:cs="Times New Roman"/>
                      <w:bCs/>
                      <w:color w:val="auto"/>
                      <w:kern w:val="0"/>
                      <w:sz w:val="21"/>
                      <w:szCs w:val="21"/>
                      <w:lang w:val="en-US" w:eastAsia="zh-CN"/>
                    </w:rPr>
                  </w:pPr>
                  <w:r>
                    <w:rPr>
                      <w:rFonts w:hint="eastAsia" w:ascii="Times New Roman" w:hAnsi="Times New Roman" w:cs="Times New Roman"/>
                      <w:bCs/>
                      <w:color w:val="auto"/>
                      <w:kern w:val="0"/>
                      <w:sz w:val="21"/>
                      <w:szCs w:val="21"/>
                      <w:lang w:val="en-US" w:eastAsia="zh-CN"/>
                    </w:rPr>
                    <w:t>6#</w:t>
                  </w:r>
                </w:p>
              </w:tc>
              <w:tc>
                <w:tcPr>
                  <w:tcW w:w="2730"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导线档距中央弧垂最低位置中心投影处</w:t>
                  </w:r>
                </w:p>
              </w:tc>
              <w:tc>
                <w:tcPr>
                  <w:tcW w:w="1770"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44.61</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09.37</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restart"/>
                  <w:tcBorders>
                    <w:tl2br w:val="nil"/>
                    <w:tr2bl w:val="nil"/>
                  </w:tcBorders>
                  <w:noWrap w:val="0"/>
                  <w:vAlign w:val="center"/>
                </w:tcPr>
                <w:p>
                  <w:pPr>
                    <w:spacing w:line="240" w:lineRule="auto"/>
                    <w:jc w:val="center"/>
                    <w:rPr>
                      <w:rFonts w:hint="default" w:ascii="Times New Roman" w:hAnsi="Times New Roman" w:cs="Times New Roman"/>
                      <w:bCs/>
                      <w:color w:val="auto"/>
                      <w:kern w:val="0"/>
                      <w:sz w:val="21"/>
                      <w:szCs w:val="21"/>
                      <w:lang w:val="en-US" w:eastAsia="zh-CN"/>
                    </w:rPr>
                  </w:pPr>
                  <w:r>
                    <w:rPr>
                      <w:rFonts w:hint="eastAsia" w:ascii="Times New Roman" w:hAnsi="Times New Roman" w:cs="Times New Roman"/>
                      <w:bCs/>
                      <w:color w:val="auto"/>
                      <w:kern w:val="0"/>
                      <w:sz w:val="21"/>
                      <w:szCs w:val="21"/>
                      <w:lang w:val="en-US" w:eastAsia="zh-CN"/>
                    </w:rPr>
                    <w:t>7#</w:t>
                  </w:r>
                </w:p>
              </w:tc>
              <w:tc>
                <w:tcPr>
                  <w:tcW w:w="2730"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边导线投影处</w:t>
                  </w:r>
                </w:p>
              </w:tc>
              <w:tc>
                <w:tcPr>
                  <w:tcW w:w="1770"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44.65</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09.42</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向北5m处</w:t>
                  </w:r>
                </w:p>
              </w:tc>
              <w:tc>
                <w:tcPr>
                  <w:tcW w:w="1770"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44.72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09.58</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向北10m处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44.80</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09.73</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向北15m处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44.89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09.88</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向北20m处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44.97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10.03</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向北25m处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45.05</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10.18</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向北30m处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45.15</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10.33</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向北35m处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45.25</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10.47</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向北40m处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45.32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10.62</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向北45m处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45.40</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10.77</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右侧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向北50m处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45.48</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10.92</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restar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w:t>
                  </w: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向南5m处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44.51</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09.26</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向南10m处</w:t>
                  </w:r>
                </w:p>
              </w:tc>
              <w:tc>
                <w:tcPr>
                  <w:tcW w:w="1770"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44.43</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09.11</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向南15m处</w:t>
                  </w:r>
                </w:p>
              </w:tc>
              <w:tc>
                <w:tcPr>
                  <w:tcW w:w="1770"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08.97</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向南20m处</w:t>
                  </w:r>
                </w:p>
              </w:tc>
              <w:tc>
                <w:tcPr>
                  <w:tcW w:w="1770"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44.24</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08.81</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向南25m处</w:t>
                  </w:r>
                </w:p>
              </w:tc>
              <w:tc>
                <w:tcPr>
                  <w:tcW w:w="1770"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44.16</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08.56</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向南30m处</w:t>
                  </w:r>
                </w:p>
              </w:tc>
              <w:tc>
                <w:tcPr>
                  <w:tcW w:w="1770"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44.08</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08.49</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向南35m处</w:t>
                  </w:r>
                </w:p>
              </w:tc>
              <w:tc>
                <w:tcPr>
                  <w:tcW w:w="1770"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44.00</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08.33</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向南40m处</w:t>
                  </w:r>
                </w:p>
              </w:tc>
              <w:tc>
                <w:tcPr>
                  <w:tcW w:w="1770"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43.92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08.17</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向南45m处</w:t>
                  </w:r>
                </w:p>
              </w:tc>
              <w:tc>
                <w:tcPr>
                  <w:tcW w:w="1770"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43.84</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08.01</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9" w:type="pct"/>
                  <w:vMerge w:val="continue"/>
                  <w:noWrap w:val="0"/>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730" w:type="pct"/>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eastAsia"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输电线路塔基BL8～塔基BL</w:t>
                  </w:r>
                  <w:r>
                    <w:rPr>
                      <w:rFonts w:hint="eastAsia" w:ascii="Times New Roman" w:hAnsi="Times New Roman" w:eastAsia="宋体" w:cs="Times New Roman"/>
                      <w:bCs/>
                      <w:color w:val="auto"/>
                      <w:kern w:val="0"/>
                      <w:sz w:val="21"/>
                      <w:szCs w:val="21"/>
                      <w:lang w:val="en-US" w:eastAsia="zh-CN" w:bidi="ar-SA"/>
                    </w:rPr>
                    <w:t>9</w:t>
                  </w:r>
                  <w:r>
                    <w:rPr>
                      <w:rFonts w:hint="default" w:ascii="Times New Roman" w:hAnsi="Times New Roman" w:eastAsia="宋体" w:cs="Times New Roman"/>
                      <w:bCs/>
                      <w:color w:val="auto"/>
                      <w:kern w:val="0"/>
                      <w:sz w:val="21"/>
                      <w:szCs w:val="21"/>
                      <w:lang w:val="en-US" w:eastAsia="zh-CN" w:bidi="ar-SA"/>
                    </w:rPr>
                    <w:t>导线档距中央弧垂最低位置</w:t>
                  </w:r>
                  <w:r>
                    <w:rPr>
                      <w:rFonts w:hint="eastAsia" w:ascii="Times New Roman" w:hAnsi="Times New Roman" w:eastAsia="宋体" w:cs="Times New Roman"/>
                      <w:bCs/>
                      <w:color w:val="auto"/>
                      <w:kern w:val="0"/>
                      <w:sz w:val="21"/>
                      <w:szCs w:val="21"/>
                      <w:lang w:val="en-US" w:eastAsia="zh-CN" w:bidi="ar-SA"/>
                    </w:rPr>
                    <w:t>左侧</w:t>
                  </w:r>
                  <w:r>
                    <w:rPr>
                      <w:rFonts w:hint="default" w:ascii="Times New Roman" w:hAnsi="Times New Roman" w:eastAsia="宋体" w:cs="Times New Roman"/>
                      <w:bCs/>
                      <w:color w:val="auto"/>
                      <w:kern w:val="0"/>
                      <w:sz w:val="21"/>
                      <w:szCs w:val="21"/>
                      <w:lang w:val="en-US" w:eastAsia="zh-CN" w:bidi="ar-SA"/>
                    </w:rPr>
                    <w:t>边导线投影</w:t>
                  </w:r>
                  <w:r>
                    <w:rPr>
                      <w:rFonts w:hint="eastAsia" w:ascii="Times New Roman" w:hAnsi="Times New Roman" w:eastAsia="宋体" w:cs="Times New Roman"/>
                      <w:bCs/>
                      <w:color w:val="auto"/>
                      <w:kern w:val="0"/>
                      <w:sz w:val="21"/>
                      <w:szCs w:val="21"/>
                      <w:lang w:val="en-US" w:eastAsia="zh-CN" w:bidi="ar-SA"/>
                    </w:rPr>
                    <w:t>向南50m处</w:t>
                  </w:r>
                </w:p>
              </w:tc>
              <w:tc>
                <w:tcPr>
                  <w:tcW w:w="1770" w:type="pct"/>
                  <w:noWrap w:val="0"/>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99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43.78</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07.85</w:t>
                  </w:r>
                  <w:r>
                    <w:rPr>
                      <w:rFonts w:hint="default" w:ascii="Times New Roman" w:hAnsi="Times New Roman" w:eastAsia="宋体" w:cs="Times New Roman"/>
                      <w:color w:val="auto"/>
                      <w:sz w:val="21"/>
                      <w:szCs w:val="21"/>
                    </w:rPr>
                    <w:t>″</w:t>
                  </w:r>
                </w:p>
              </w:tc>
            </w:tr>
          </w:tbl>
          <w:p>
            <w:pPr>
              <w:bidi w:val="0"/>
              <w:ind w:firstLine="480" w:firstLineChars="200"/>
              <w:rPr>
                <w:b/>
                <w:bCs/>
                <w:color w:val="auto"/>
                <w:szCs w:val="24"/>
              </w:rPr>
            </w:pPr>
            <w:r>
              <w:rPr>
                <w:color w:val="auto"/>
              </w:rPr>
              <w:t>监测布点位置示意图可见</w:t>
            </w:r>
            <w:r>
              <w:rPr>
                <w:rFonts w:hint="eastAsia"/>
                <w:color w:val="auto"/>
                <w:lang w:val="en-US" w:eastAsia="zh-CN"/>
              </w:rPr>
              <w:t>附图</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continue"/>
            <w:vAlign w:val="center"/>
          </w:tcPr>
          <w:p>
            <w:pPr>
              <w:bidi w:val="0"/>
              <w:spacing w:line="360" w:lineRule="auto"/>
              <w:jc w:val="both"/>
              <w:rPr>
                <w:color w:val="auto"/>
                <w:sz w:val="24"/>
                <w:szCs w:val="24"/>
              </w:rPr>
            </w:pPr>
          </w:p>
        </w:tc>
        <w:tc>
          <w:tcPr>
            <w:tcW w:w="4612" w:type="pct"/>
            <w:vAlign w:val="center"/>
          </w:tcPr>
          <w:p>
            <w:pPr>
              <w:bidi w:val="0"/>
              <w:spacing w:line="360" w:lineRule="auto"/>
              <w:jc w:val="both"/>
              <w:rPr>
                <w:b/>
                <w:bCs/>
                <w:color w:val="auto"/>
                <w:sz w:val="24"/>
                <w:szCs w:val="24"/>
              </w:rPr>
            </w:pPr>
            <w:r>
              <w:rPr>
                <w:b/>
                <w:bCs/>
                <w:color w:val="auto"/>
                <w:sz w:val="24"/>
                <w:szCs w:val="24"/>
              </w:rPr>
              <w:t>监测单位、监测时间、监测环境条件</w:t>
            </w:r>
          </w:p>
          <w:p>
            <w:pPr>
              <w:bidi w:val="0"/>
              <w:ind w:firstLine="480" w:firstLineChars="200"/>
              <w:rPr>
                <w:rFonts w:hint="eastAsia" w:eastAsia="宋体"/>
                <w:color w:val="auto"/>
                <w:lang w:eastAsia="zh-CN"/>
              </w:rPr>
            </w:pPr>
            <w:r>
              <w:rPr>
                <w:color w:val="auto"/>
              </w:rPr>
              <w:t>监测单位：</w:t>
            </w:r>
            <w:r>
              <w:rPr>
                <w:rFonts w:hint="eastAsia"/>
                <w:color w:val="auto"/>
                <w:lang w:eastAsia="zh-CN"/>
              </w:rPr>
              <w:t>甘肃领越检测技术有限公司</w:t>
            </w:r>
          </w:p>
          <w:p>
            <w:pPr>
              <w:bidi w:val="0"/>
              <w:ind w:firstLine="472" w:firstLineChars="200"/>
              <w:rPr>
                <w:color w:val="auto"/>
              </w:rPr>
            </w:pPr>
            <w:r>
              <w:rPr>
                <w:color w:val="auto"/>
                <w:spacing w:val="-2"/>
              </w:rPr>
              <w:t>监测时间及监测环境条件，见表</w:t>
            </w:r>
            <w:r>
              <w:rPr>
                <w:color w:val="auto"/>
                <w:spacing w:val="-35"/>
              </w:rPr>
              <w:t xml:space="preserve"> </w:t>
            </w:r>
            <w:r>
              <w:rPr>
                <w:rFonts w:ascii="Times New Roman" w:hAnsi="Times New Roman" w:eastAsia="Times New Roman" w:cs="Times New Roman"/>
                <w:color w:val="auto"/>
                <w:spacing w:val="-2"/>
              </w:rPr>
              <w:t>7-</w:t>
            </w:r>
            <w:r>
              <w:rPr>
                <w:rFonts w:hint="eastAsia" w:eastAsia="宋体" w:cs="Times New Roman"/>
                <w:color w:val="auto"/>
                <w:spacing w:val="-2"/>
                <w:lang w:val="en-US" w:eastAsia="zh-CN"/>
              </w:rPr>
              <w:t>3</w:t>
            </w:r>
            <w:r>
              <w:rPr>
                <w:color w:val="auto"/>
                <w:spacing w:val="-2"/>
              </w:rPr>
              <w:t>。</w:t>
            </w:r>
          </w:p>
          <w:p>
            <w:pPr>
              <w:bidi w:val="0"/>
              <w:spacing w:line="240" w:lineRule="auto"/>
              <w:ind w:firstLine="482" w:firstLineChars="200"/>
              <w:jc w:val="center"/>
              <w:rPr>
                <w:b/>
                <w:bCs/>
                <w:color w:val="auto"/>
                <w:vertAlign w:val="baseline"/>
              </w:rPr>
            </w:pPr>
            <w:r>
              <w:rPr>
                <w:b/>
                <w:bCs/>
                <w:color w:val="auto"/>
              </w:rPr>
              <w:t>表 7-</w:t>
            </w:r>
            <w:r>
              <w:rPr>
                <w:rFonts w:hint="eastAsia"/>
                <w:b/>
                <w:bCs/>
                <w:color w:val="auto"/>
                <w:lang w:val="en-US" w:eastAsia="zh-CN"/>
              </w:rPr>
              <w:t>3</w:t>
            </w:r>
            <w:r>
              <w:rPr>
                <w:b/>
                <w:bCs/>
                <w:color w:val="auto"/>
              </w:rPr>
              <w:t xml:space="preserve">    监测时间及环境条件一览表</w:t>
            </w:r>
          </w:p>
          <w:tbl>
            <w:tblPr>
              <w:tblStyle w:val="1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2"/>
              <w:gridCol w:w="887"/>
              <w:gridCol w:w="1313"/>
              <w:gridCol w:w="1483"/>
              <w:gridCol w:w="1282"/>
              <w:gridCol w:w="1174"/>
              <w:gridCol w:w="1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检测日期</w:t>
                  </w:r>
                </w:p>
              </w:tc>
              <w:tc>
                <w:tcPr>
                  <w:tcW w:w="512"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eastAsia"/>
                      <w:b/>
                      <w:bCs/>
                      <w:color w:val="auto"/>
                      <w:sz w:val="21"/>
                      <w:szCs w:val="21"/>
                      <w:lang w:val="en-US" w:eastAsia="zh-CN"/>
                    </w:rPr>
                    <w:t>天气</w:t>
                  </w:r>
                </w:p>
              </w:tc>
              <w:tc>
                <w:tcPr>
                  <w:tcW w:w="758"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温度（℃）</w:t>
                  </w:r>
                </w:p>
              </w:tc>
              <w:tc>
                <w:tcPr>
                  <w:tcW w:w="856"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气压（Kpa）</w:t>
                  </w:r>
                </w:p>
              </w:tc>
              <w:tc>
                <w:tcPr>
                  <w:tcW w:w="740"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湿度（%）</w:t>
                  </w:r>
                </w:p>
              </w:tc>
              <w:tc>
                <w:tcPr>
                  <w:tcW w:w="678"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风向</w:t>
                  </w:r>
                </w:p>
              </w:tc>
              <w:tc>
                <w:tcPr>
                  <w:tcW w:w="730"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风速（m/s）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2023.09.09</w:t>
                  </w:r>
                </w:p>
              </w:tc>
              <w:tc>
                <w:tcPr>
                  <w:tcW w:w="512"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多云</w:t>
                  </w:r>
                </w:p>
              </w:tc>
              <w:tc>
                <w:tcPr>
                  <w:tcW w:w="75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20.7～30.2</w:t>
                  </w:r>
                </w:p>
              </w:tc>
              <w:tc>
                <w:tcPr>
                  <w:tcW w:w="856"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84.72～84.80</w:t>
                  </w:r>
                </w:p>
              </w:tc>
              <w:tc>
                <w:tcPr>
                  <w:tcW w:w="74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16.2～30.4</w:t>
                  </w:r>
                </w:p>
              </w:tc>
              <w:tc>
                <w:tcPr>
                  <w:tcW w:w="67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北风</w:t>
                  </w:r>
                </w:p>
              </w:tc>
              <w:tc>
                <w:tcPr>
                  <w:tcW w:w="73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2023.09.10</w:t>
                  </w:r>
                </w:p>
              </w:tc>
              <w:tc>
                <w:tcPr>
                  <w:tcW w:w="512"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多云</w:t>
                  </w:r>
                </w:p>
              </w:tc>
              <w:tc>
                <w:tcPr>
                  <w:tcW w:w="75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18.5～25.0</w:t>
                  </w:r>
                </w:p>
              </w:tc>
              <w:tc>
                <w:tcPr>
                  <w:tcW w:w="856"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84.75～84.81</w:t>
                  </w:r>
                </w:p>
              </w:tc>
              <w:tc>
                <w:tcPr>
                  <w:tcW w:w="74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22.7～42.5</w:t>
                  </w:r>
                </w:p>
              </w:tc>
              <w:tc>
                <w:tcPr>
                  <w:tcW w:w="67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东北风</w:t>
                  </w:r>
                </w:p>
              </w:tc>
              <w:tc>
                <w:tcPr>
                  <w:tcW w:w="73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1.9～2.1</w:t>
                  </w:r>
                </w:p>
              </w:tc>
            </w:tr>
          </w:tbl>
          <w:p>
            <w:pPr>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continue"/>
            <w:vAlign w:val="center"/>
          </w:tcPr>
          <w:p>
            <w:pPr>
              <w:bidi w:val="0"/>
              <w:spacing w:line="360" w:lineRule="auto"/>
              <w:jc w:val="both"/>
              <w:rPr>
                <w:color w:val="auto"/>
                <w:sz w:val="24"/>
                <w:szCs w:val="24"/>
              </w:rPr>
            </w:pPr>
          </w:p>
        </w:tc>
        <w:tc>
          <w:tcPr>
            <w:tcW w:w="4612" w:type="pct"/>
            <w:vAlign w:val="center"/>
          </w:tcPr>
          <w:p>
            <w:pPr>
              <w:bidi w:val="0"/>
              <w:spacing w:line="360" w:lineRule="auto"/>
              <w:jc w:val="both"/>
              <w:rPr>
                <w:b/>
                <w:bCs/>
                <w:color w:val="auto"/>
                <w:sz w:val="24"/>
                <w:szCs w:val="24"/>
              </w:rPr>
            </w:pPr>
            <w:r>
              <w:rPr>
                <w:b/>
                <w:bCs/>
                <w:color w:val="auto"/>
                <w:sz w:val="24"/>
                <w:szCs w:val="24"/>
              </w:rPr>
              <w:t>监测仪器及工况</w:t>
            </w:r>
          </w:p>
          <w:p>
            <w:pPr>
              <w:bidi w:val="0"/>
              <w:ind w:firstLine="482" w:firstLineChars="200"/>
              <w:rPr>
                <w:b/>
                <w:bCs/>
                <w:color w:val="auto"/>
              </w:rPr>
            </w:pPr>
            <w:r>
              <w:rPr>
                <w:rFonts w:hint="eastAsia"/>
                <w:b/>
                <w:bCs/>
                <w:color w:val="auto"/>
                <w:lang w:val="en-US" w:eastAsia="zh-CN"/>
              </w:rPr>
              <w:t>1、</w:t>
            </w:r>
            <w:r>
              <w:rPr>
                <w:b/>
                <w:bCs/>
                <w:color w:val="auto"/>
              </w:rPr>
              <w:t>监测仪器</w:t>
            </w:r>
          </w:p>
          <w:p>
            <w:pPr>
              <w:bidi w:val="0"/>
              <w:spacing w:line="240" w:lineRule="auto"/>
              <w:jc w:val="center"/>
              <w:rPr>
                <w:color w:val="auto"/>
              </w:rPr>
            </w:pPr>
            <w:r>
              <w:rPr>
                <w:b/>
                <w:bCs/>
                <w:color w:val="auto"/>
              </w:rPr>
              <w:t>表 7-</w:t>
            </w:r>
            <w:r>
              <w:rPr>
                <w:rFonts w:hint="eastAsia"/>
                <w:b/>
                <w:bCs/>
                <w:color w:val="auto"/>
                <w:lang w:val="en-US" w:eastAsia="zh-CN"/>
              </w:rPr>
              <w:t>9</w:t>
            </w:r>
            <w:r>
              <w:rPr>
                <w:b/>
                <w:bCs/>
                <w:color w:val="auto"/>
              </w:rPr>
              <w:t xml:space="preserve">    噪声监测仪器情况一览表</w:t>
            </w:r>
          </w:p>
          <w:tbl>
            <w:tblPr>
              <w:tblStyle w:val="15"/>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088"/>
              <w:gridCol w:w="3081"/>
              <w:gridCol w:w="249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1782" w:type="pct"/>
                  <w:vAlign w:val="center"/>
                </w:tcPr>
                <w:p>
                  <w:pPr>
                    <w:bidi w:val="0"/>
                    <w:spacing w:line="240" w:lineRule="auto"/>
                    <w:jc w:val="center"/>
                    <w:rPr>
                      <w:b/>
                      <w:bCs/>
                      <w:color w:val="auto"/>
                      <w:sz w:val="21"/>
                      <w:szCs w:val="21"/>
                    </w:rPr>
                  </w:pPr>
                  <w:r>
                    <w:rPr>
                      <w:b/>
                      <w:bCs/>
                      <w:color w:val="auto"/>
                      <w:sz w:val="21"/>
                      <w:szCs w:val="21"/>
                    </w:rPr>
                    <w:t>检测项目</w:t>
                  </w:r>
                </w:p>
              </w:tc>
              <w:tc>
                <w:tcPr>
                  <w:tcW w:w="1778" w:type="pct"/>
                  <w:vAlign w:val="center"/>
                </w:tcPr>
                <w:p>
                  <w:pPr>
                    <w:bidi w:val="0"/>
                    <w:spacing w:line="240" w:lineRule="auto"/>
                    <w:jc w:val="center"/>
                    <w:rPr>
                      <w:b/>
                      <w:bCs/>
                      <w:color w:val="auto"/>
                      <w:sz w:val="21"/>
                      <w:szCs w:val="21"/>
                    </w:rPr>
                  </w:pPr>
                  <w:r>
                    <w:rPr>
                      <w:b/>
                      <w:bCs/>
                      <w:color w:val="auto"/>
                      <w:sz w:val="21"/>
                      <w:szCs w:val="21"/>
                    </w:rPr>
                    <w:t>监测仪器名称</w:t>
                  </w:r>
                </w:p>
              </w:tc>
              <w:tc>
                <w:tcPr>
                  <w:tcW w:w="1439" w:type="pct"/>
                  <w:vAlign w:val="center"/>
                </w:tcPr>
                <w:p>
                  <w:pPr>
                    <w:bidi w:val="0"/>
                    <w:spacing w:line="240" w:lineRule="auto"/>
                    <w:jc w:val="center"/>
                    <w:rPr>
                      <w:b/>
                      <w:bCs/>
                      <w:color w:val="auto"/>
                      <w:sz w:val="21"/>
                      <w:szCs w:val="21"/>
                    </w:rPr>
                  </w:pPr>
                  <w:r>
                    <w:rPr>
                      <w:b/>
                      <w:bCs/>
                      <w:color w:val="auto"/>
                      <w:sz w:val="21"/>
                      <w:szCs w:val="21"/>
                    </w:rPr>
                    <w:t>仪器型号</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1782" w:type="pct"/>
                  <w:vAlign w:val="center"/>
                </w:tcPr>
                <w:p>
                  <w:pPr>
                    <w:bidi w:val="0"/>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噪声</w:t>
                  </w:r>
                </w:p>
              </w:tc>
              <w:tc>
                <w:tcPr>
                  <w:tcW w:w="1778" w:type="pct"/>
                  <w:vAlign w:val="center"/>
                </w:tcPr>
                <w:p>
                  <w:pPr>
                    <w:bidi w:val="0"/>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多功能声级计</w:t>
                  </w:r>
                </w:p>
              </w:tc>
              <w:tc>
                <w:tcPr>
                  <w:tcW w:w="1439" w:type="pct"/>
                  <w:vAlign w:val="center"/>
                </w:tcPr>
                <w:p>
                  <w:pPr>
                    <w:bidi w:val="0"/>
                    <w:spacing w:line="240" w:lineRule="auto"/>
                    <w:jc w:val="center"/>
                    <w:rPr>
                      <w:rFonts w:ascii="Times New Roman" w:hAnsi="Times New Roman" w:eastAsia="宋体"/>
                      <w:color w:val="auto"/>
                      <w:sz w:val="21"/>
                      <w:szCs w:val="21"/>
                    </w:rPr>
                  </w:pPr>
                  <w:r>
                    <w:rPr>
                      <w:rFonts w:hint="default" w:ascii="Times New Roman" w:hAnsi="Times New Roman" w:eastAsia="宋体"/>
                      <w:color w:val="auto"/>
                      <w:sz w:val="21"/>
                      <w:szCs w:val="21"/>
                    </w:rPr>
                    <w:t>AWA</w:t>
                  </w:r>
                  <w:r>
                    <w:rPr>
                      <w:rFonts w:hint="eastAsia" w:ascii="Times New Roman" w:hAnsi="Times New Roman" w:eastAsia="宋体"/>
                      <w:color w:val="auto"/>
                      <w:sz w:val="21"/>
                      <w:szCs w:val="21"/>
                      <w:lang w:val="en-US" w:eastAsia="zh-CN"/>
                    </w:rPr>
                    <w:t>6228+</w:t>
                  </w:r>
                </w:p>
              </w:tc>
            </w:tr>
          </w:tbl>
          <w:p>
            <w:pPr>
              <w:bidi w:val="0"/>
              <w:ind w:firstLine="482" w:firstLineChars="200"/>
              <w:rPr>
                <w:b/>
                <w:bCs/>
                <w:color w:val="auto"/>
              </w:rPr>
            </w:pPr>
            <w:r>
              <w:rPr>
                <w:rFonts w:hint="eastAsia"/>
                <w:b/>
                <w:bCs/>
                <w:color w:val="auto"/>
                <w:lang w:val="en-US" w:eastAsia="zh-CN"/>
              </w:rPr>
              <w:t>2、</w:t>
            </w:r>
            <w:r>
              <w:rPr>
                <w:b/>
                <w:bCs/>
                <w:color w:val="auto"/>
              </w:rPr>
              <w:t>监测工况</w:t>
            </w:r>
          </w:p>
          <w:p>
            <w:pPr>
              <w:bidi w:val="0"/>
              <w:ind w:firstLine="480" w:firstLineChars="200"/>
              <w:rPr>
                <w:rFonts w:hint="eastAsia" w:eastAsia="宋体"/>
                <w:color w:val="auto"/>
                <w:lang w:eastAsia="zh-CN"/>
              </w:rPr>
            </w:pPr>
            <w:r>
              <w:rPr>
                <w:color w:val="auto"/>
              </w:rPr>
              <w:t>噪声验收监测工况同电磁环境监测</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87" w:type="pct"/>
            <w:vMerge w:val="continue"/>
            <w:vAlign w:val="center"/>
          </w:tcPr>
          <w:p>
            <w:pPr>
              <w:bidi w:val="0"/>
              <w:spacing w:line="360" w:lineRule="auto"/>
              <w:jc w:val="both"/>
              <w:rPr>
                <w:color w:val="auto"/>
                <w:sz w:val="24"/>
                <w:szCs w:val="24"/>
              </w:rPr>
            </w:pPr>
          </w:p>
        </w:tc>
        <w:tc>
          <w:tcPr>
            <w:tcW w:w="4612" w:type="pct"/>
            <w:vAlign w:val="center"/>
          </w:tcPr>
          <w:p>
            <w:pPr>
              <w:bidi w:val="0"/>
              <w:spacing w:line="360" w:lineRule="auto"/>
              <w:jc w:val="both"/>
              <w:rPr>
                <w:b/>
                <w:bCs/>
                <w:color w:val="auto"/>
                <w:sz w:val="24"/>
                <w:szCs w:val="24"/>
              </w:rPr>
            </w:pPr>
            <w:r>
              <w:rPr>
                <w:b/>
                <w:bCs/>
                <w:color w:val="auto"/>
                <w:sz w:val="24"/>
                <w:szCs w:val="24"/>
              </w:rPr>
              <w:t>监测结果分析</w:t>
            </w:r>
          </w:p>
          <w:p>
            <w:pPr>
              <w:bidi w:val="0"/>
              <w:ind w:firstLine="480" w:firstLineChars="200"/>
              <w:rPr>
                <w:color w:val="auto"/>
              </w:rPr>
            </w:pPr>
            <w:r>
              <w:rPr>
                <w:color w:val="auto"/>
              </w:rPr>
              <w:t>本工程噪声的测量结果详见表7-</w:t>
            </w:r>
            <w:r>
              <w:rPr>
                <w:rFonts w:hint="eastAsia"/>
                <w:color w:val="auto"/>
                <w:lang w:val="en-US" w:eastAsia="zh-CN"/>
              </w:rPr>
              <w:t>10、7-11</w:t>
            </w:r>
            <w:r>
              <w:rPr>
                <w:color w:val="auto"/>
              </w:rPr>
              <w:t>。</w:t>
            </w:r>
          </w:p>
          <w:p>
            <w:pPr>
              <w:bidi w:val="0"/>
              <w:spacing w:line="240" w:lineRule="auto"/>
              <w:jc w:val="center"/>
              <w:rPr>
                <w:b/>
                <w:bCs/>
                <w:color w:val="auto"/>
              </w:rPr>
            </w:pPr>
            <w:r>
              <w:rPr>
                <w:b/>
                <w:bCs/>
                <w:color w:val="auto"/>
              </w:rPr>
              <w:t>表 7-</w:t>
            </w:r>
            <w:r>
              <w:rPr>
                <w:rFonts w:hint="eastAsia"/>
                <w:b/>
                <w:bCs/>
                <w:color w:val="auto"/>
                <w:lang w:val="en-US" w:eastAsia="zh-CN"/>
              </w:rPr>
              <w:t>10</w:t>
            </w:r>
            <w:r>
              <w:rPr>
                <w:b/>
                <w:bCs/>
                <w:color w:val="auto"/>
              </w:rPr>
              <w:t xml:space="preserve">    </w:t>
            </w:r>
            <w:r>
              <w:rPr>
                <w:rFonts w:hint="eastAsia"/>
                <w:b/>
                <w:bCs/>
                <w:color w:val="auto"/>
                <w:lang w:val="en-US" w:eastAsia="zh-CN"/>
              </w:rPr>
              <w:t>升压站</w:t>
            </w:r>
            <w:r>
              <w:rPr>
                <w:b/>
                <w:bCs/>
                <w:color w:val="auto"/>
              </w:rPr>
              <w:t>噪声监测结果一览表 单位： Leq（dB（A））</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0"/>
              <w:gridCol w:w="1818"/>
              <w:gridCol w:w="1266"/>
              <w:gridCol w:w="1306"/>
              <w:gridCol w:w="1143"/>
              <w:gridCol w:w="1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tcBorders>
                    <w:tl2br w:val="nil"/>
                    <w:tr2bl w:val="nil"/>
                  </w:tcBorders>
                  <w:noWrap w:val="0"/>
                  <w:vAlign w:val="center"/>
                </w:tcPr>
                <w:p>
                  <w:pPr>
                    <w:spacing w:line="240" w:lineRule="auto"/>
                    <w:jc w:val="center"/>
                    <w:rPr>
                      <w:rFonts w:ascii="Times New Roman" w:hAnsi="Times New Roman" w:eastAsia="宋体"/>
                      <w:b/>
                      <w:bCs/>
                      <w:color w:val="auto"/>
                      <w:sz w:val="21"/>
                      <w:szCs w:val="21"/>
                    </w:rPr>
                  </w:pPr>
                  <w:r>
                    <w:rPr>
                      <w:rFonts w:ascii="Times New Roman" w:hAnsi="Times New Roman" w:eastAsia="宋体"/>
                      <w:b/>
                      <w:bCs/>
                      <w:color w:val="auto"/>
                      <w:sz w:val="21"/>
                      <w:szCs w:val="21"/>
                    </w:rPr>
                    <w:t>测点编号</w:t>
                  </w:r>
                </w:p>
              </w:tc>
              <w:tc>
                <w:tcPr>
                  <w:tcW w:w="1050" w:type="pct"/>
                  <w:tcBorders>
                    <w:tl2br w:val="nil"/>
                    <w:tr2bl w:val="nil"/>
                  </w:tcBorders>
                  <w:noWrap w:val="0"/>
                  <w:vAlign w:val="center"/>
                </w:tcPr>
                <w:p>
                  <w:pPr>
                    <w:spacing w:line="240" w:lineRule="auto"/>
                    <w:jc w:val="center"/>
                    <w:rPr>
                      <w:rFonts w:ascii="Times New Roman" w:hAnsi="Times New Roman" w:eastAsia="宋体"/>
                      <w:b/>
                      <w:bCs/>
                      <w:color w:val="auto"/>
                      <w:sz w:val="21"/>
                      <w:szCs w:val="21"/>
                    </w:rPr>
                  </w:pPr>
                  <w:r>
                    <w:rPr>
                      <w:rFonts w:ascii="Times New Roman" w:hAnsi="Times New Roman" w:eastAsia="宋体"/>
                      <w:b/>
                      <w:bCs/>
                      <w:color w:val="auto"/>
                      <w:sz w:val="21"/>
                      <w:szCs w:val="21"/>
                    </w:rPr>
                    <w:t>检测日期</w:t>
                  </w:r>
                </w:p>
              </w:tc>
              <w:tc>
                <w:tcPr>
                  <w:tcW w:w="731" w:type="pct"/>
                  <w:tcBorders>
                    <w:tl2br w:val="nil"/>
                    <w:tr2bl w:val="nil"/>
                  </w:tcBorders>
                  <w:noWrap w:val="0"/>
                  <w:vAlign w:val="center"/>
                </w:tcPr>
                <w:p>
                  <w:pPr>
                    <w:spacing w:line="240" w:lineRule="auto"/>
                    <w:jc w:val="center"/>
                    <w:rPr>
                      <w:rFonts w:ascii="Times New Roman" w:hAnsi="Times New Roman" w:eastAsia="宋体"/>
                      <w:b/>
                      <w:bCs/>
                      <w:color w:val="auto"/>
                      <w:sz w:val="21"/>
                      <w:szCs w:val="21"/>
                    </w:rPr>
                  </w:pPr>
                  <w:r>
                    <w:rPr>
                      <w:rFonts w:ascii="Times New Roman" w:hAnsi="Times New Roman" w:eastAsia="宋体"/>
                      <w:b/>
                      <w:bCs/>
                      <w:color w:val="auto"/>
                      <w:sz w:val="21"/>
                      <w:szCs w:val="21"/>
                    </w:rPr>
                    <w:t>检测时段</w:t>
                  </w:r>
                </w:p>
              </w:tc>
              <w:tc>
                <w:tcPr>
                  <w:tcW w:w="754" w:type="pct"/>
                  <w:tcBorders>
                    <w:tl2br w:val="nil"/>
                    <w:tr2bl w:val="nil"/>
                  </w:tcBorders>
                  <w:noWrap w:val="0"/>
                  <w:vAlign w:val="center"/>
                </w:tcPr>
                <w:p>
                  <w:pPr>
                    <w:spacing w:line="240" w:lineRule="auto"/>
                    <w:jc w:val="center"/>
                    <w:rPr>
                      <w:rFonts w:ascii="Times New Roman" w:hAnsi="Times New Roman" w:eastAsia="宋体"/>
                      <w:b/>
                      <w:bCs/>
                      <w:color w:val="auto"/>
                      <w:sz w:val="21"/>
                      <w:szCs w:val="21"/>
                    </w:rPr>
                  </w:pPr>
                  <w:r>
                    <w:rPr>
                      <w:rFonts w:ascii="Times New Roman" w:hAnsi="Times New Roman" w:eastAsia="宋体"/>
                      <w:b/>
                      <w:bCs/>
                      <w:color w:val="auto"/>
                      <w:sz w:val="21"/>
                      <w:szCs w:val="21"/>
                    </w:rPr>
                    <w:t>检测结果Leq[dB(A)]</w:t>
                  </w:r>
                </w:p>
              </w:tc>
              <w:tc>
                <w:tcPr>
                  <w:tcW w:w="660" w:type="pct"/>
                  <w:tcBorders>
                    <w:tl2br w:val="nil"/>
                    <w:tr2bl w:val="nil"/>
                  </w:tcBorders>
                  <w:noWrap w:val="0"/>
                  <w:vAlign w:val="center"/>
                </w:tcPr>
                <w:p>
                  <w:pPr>
                    <w:spacing w:line="240" w:lineRule="auto"/>
                    <w:jc w:val="center"/>
                    <w:rPr>
                      <w:rFonts w:ascii="Times New Roman" w:hAnsi="Times New Roman" w:eastAsia="宋体"/>
                      <w:b/>
                      <w:bCs/>
                      <w:color w:val="auto"/>
                      <w:sz w:val="21"/>
                      <w:szCs w:val="21"/>
                    </w:rPr>
                  </w:pPr>
                  <w:r>
                    <w:rPr>
                      <w:rFonts w:ascii="Times New Roman" w:hAnsi="Times New Roman" w:eastAsia="宋体"/>
                      <w:b/>
                      <w:bCs/>
                      <w:color w:val="auto"/>
                      <w:sz w:val="21"/>
                      <w:szCs w:val="21"/>
                    </w:rPr>
                    <w:t>标准限值</w:t>
                  </w:r>
                </w:p>
              </w:tc>
              <w:tc>
                <w:tcPr>
                  <w:tcW w:w="578" w:type="pct"/>
                  <w:tcBorders>
                    <w:tl2br w:val="nil"/>
                    <w:tr2bl w:val="nil"/>
                  </w:tcBorders>
                  <w:noWrap w:val="0"/>
                  <w:vAlign w:val="center"/>
                </w:tcPr>
                <w:p>
                  <w:pPr>
                    <w:spacing w:line="240" w:lineRule="auto"/>
                    <w:jc w:val="center"/>
                    <w:rPr>
                      <w:rFonts w:ascii="Times New Roman" w:hAnsi="Times New Roman" w:eastAsia="宋体"/>
                      <w:b/>
                      <w:bCs/>
                      <w:color w:val="auto"/>
                      <w:sz w:val="21"/>
                      <w:szCs w:val="21"/>
                    </w:rPr>
                  </w:pPr>
                  <w:r>
                    <w:rPr>
                      <w:rFonts w:ascii="Times New Roman" w:hAnsi="Times New Roman" w:eastAsia="宋体"/>
                      <w:b/>
                      <w:bCs/>
                      <w:color w:val="auto"/>
                      <w:sz w:val="21"/>
                      <w:szCs w:val="21"/>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restart"/>
                  <w:tcBorders>
                    <w:tl2br w:val="nil"/>
                    <w:tr2bl w:val="nil"/>
                  </w:tcBorders>
                  <w:noWrap w:val="0"/>
                  <w:vAlign w:val="center"/>
                </w:tcPr>
                <w:p>
                  <w:pPr>
                    <w:spacing w:line="240" w:lineRule="auto"/>
                    <w:jc w:val="center"/>
                    <w:rPr>
                      <w:rFonts w:ascii="Times New Roman" w:hAnsi="Times New Roman"/>
                      <w:color w:val="auto"/>
                      <w:sz w:val="21"/>
                      <w:szCs w:val="21"/>
                    </w:rPr>
                  </w:pPr>
                  <w:r>
                    <w:rPr>
                      <w:rFonts w:ascii="Times New Roman" w:hAnsi="Times New Roman"/>
                      <w:color w:val="auto"/>
                      <w:sz w:val="21"/>
                      <w:szCs w:val="21"/>
                    </w:rPr>
                    <w:t>1#</w:t>
                  </w:r>
                </w:p>
                <w:p>
                  <w:pPr>
                    <w:spacing w:line="240" w:lineRule="auto"/>
                    <w:jc w:val="center"/>
                    <w:rPr>
                      <w:rFonts w:ascii="Times New Roman" w:hAnsi="Times New Roman" w:eastAsia="宋体"/>
                      <w:color w:val="auto"/>
                      <w:sz w:val="21"/>
                      <w:szCs w:val="21"/>
                    </w:rPr>
                  </w:pPr>
                  <w:r>
                    <w:rPr>
                      <w:rFonts w:hint="default" w:ascii="Times New Roman" w:hAnsi="Times New Roman" w:eastAsia="宋体" w:cs="Times New Roman"/>
                      <w:bCs/>
                      <w:color w:val="auto"/>
                      <w:kern w:val="0"/>
                      <w:sz w:val="21"/>
                      <w:szCs w:val="21"/>
                      <w:lang w:val="en-US" w:eastAsia="zh-CN"/>
                    </w:rPr>
                    <w:t>升压站</w:t>
                  </w:r>
                  <w:r>
                    <w:rPr>
                      <w:rFonts w:hint="eastAsia" w:ascii="Times New Roman" w:hAnsi="Times New Roman" w:eastAsia="宋体" w:cs="Times New Roman"/>
                      <w:bCs/>
                      <w:color w:val="auto"/>
                      <w:kern w:val="0"/>
                      <w:sz w:val="21"/>
                      <w:szCs w:val="21"/>
                      <w:lang w:val="en-US" w:eastAsia="zh-CN"/>
                    </w:rPr>
                    <w:t>厂界东侧</w:t>
                  </w:r>
                </w:p>
              </w:tc>
              <w:tc>
                <w:tcPr>
                  <w:tcW w:w="1050" w:type="pct"/>
                  <w:vMerge w:val="restart"/>
                  <w:tcBorders>
                    <w:tl2br w:val="nil"/>
                    <w:tr2bl w:val="nil"/>
                  </w:tcBorders>
                  <w:noWrap w:val="0"/>
                  <w:vAlign w:val="center"/>
                </w:tcPr>
                <w:p>
                  <w:pPr>
                    <w:spacing w:line="240" w:lineRule="auto"/>
                    <w:jc w:val="center"/>
                    <w:rPr>
                      <w:rFonts w:hint="default" w:ascii="Times New Roman" w:hAnsi="Times New Roman" w:eastAsia="宋体"/>
                      <w:color w:val="auto"/>
                      <w:sz w:val="21"/>
                      <w:szCs w:val="21"/>
                      <w:lang w:val="en-US" w:eastAsia="zh-CN"/>
                    </w:rPr>
                  </w:pPr>
                  <w:r>
                    <w:rPr>
                      <w:rFonts w:ascii="Times New Roman" w:hAnsi="Times New Roman" w:eastAsia="宋体"/>
                      <w:color w:val="auto"/>
                      <w:sz w:val="21"/>
                      <w:szCs w:val="21"/>
                    </w:rPr>
                    <w:t>202</w:t>
                  </w:r>
                  <w:r>
                    <w:rPr>
                      <w:rFonts w:hint="eastAsia" w:eastAsia="宋体"/>
                      <w:color w:val="auto"/>
                      <w:sz w:val="21"/>
                      <w:szCs w:val="21"/>
                      <w:lang w:val="en-US" w:eastAsia="zh-CN"/>
                    </w:rPr>
                    <w:t>3.09.09</w:t>
                  </w:r>
                </w:p>
              </w:tc>
              <w:tc>
                <w:tcPr>
                  <w:tcW w:w="731"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昼间</w:t>
                  </w:r>
                </w:p>
              </w:tc>
              <w:tc>
                <w:tcPr>
                  <w:tcW w:w="754" w:type="pct"/>
                  <w:tcBorders>
                    <w:tl2br w:val="nil"/>
                    <w:tr2bl w:val="nil"/>
                  </w:tcBorders>
                  <w:noWrap w:val="0"/>
                  <w:vAlign w:val="center"/>
                </w:tcPr>
                <w:p>
                  <w:pPr>
                    <w:spacing w:line="240" w:lineRule="auto"/>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48.9</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sz w:val="21"/>
                      <w:szCs w:val="21"/>
                      <w:lang w:val="en-US" w:eastAsia="zh-CN"/>
                    </w:rPr>
                  </w:pPr>
                  <w:r>
                    <w:rPr>
                      <w:rFonts w:hint="eastAsia"/>
                      <w:color w:val="auto"/>
                      <w:sz w:val="21"/>
                      <w:szCs w:val="21"/>
                      <w:lang w:val="en-US" w:eastAsia="zh-CN"/>
                    </w:rPr>
                    <w:t>60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731"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夜间</w:t>
                  </w:r>
                </w:p>
              </w:tc>
              <w:tc>
                <w:tcPr>
                  <w:tcW w:w="754" w:type="pct"/>
                  <w:tcBorders>
                    <w:tl2br w:val="nil"/>
                    <w:tr2bl w:val="nil"/>
                  </w:tcBorders>
                  <w:noWrap w:val="0"/>
                  <w:vAlign w:val="center"/>
                </w:tcPr>
                <w:p>
                  <w:pPr>
                    <w:spacing w:line="240" w:lineRule="auto"/>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44.1</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sz w:val="21"/>
                      <w:szCs w:val="21"/>
                      <w:lang w:val="en-US" w:eastAsia="zh-CN"/>
                    </w:rPr>
                  </w:pPr>
                  <w:r>
                    <w:rPr>
                      <w:rFonts w:hint="eastAsia"/>
                      <w:color w:val="auto"/>
                      <w:sz w:val="21"/>
                      <w:szCs w:val="21"/>
                      <w:lang w:val="en-US" w:eastAsia="zh-CN"/>
                    </w:rPr>
                    <w:t>50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restart"/>
                  <w:tcBorders>
                    <w:tl2br w:val="nil"/>
                    <w:tr2bl w:val="nil"/>
                  </w:tcBorders>
                  <w:noWrap w:val="0"/>
                  <w:vAlign w:val="center"/>
                </w:tcPr>
                <w:p>
                  <w:pPr>
                    <w:spacing w:line="240" w:lineRule="auto"/>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202</w:t>
                  </w:r>
                  <w:r>
                    <w:rPr>
                      <w:rFonts w:hint="eastAsia" w:eastAsia="宋体"/>
                      <w:color w:val="auto"/>
                      <w:sz w:val="21"/>
                      <w:szCs w:val="21"/>
                      <w:lang w:val="en-US" w:eastAsia="zh-CN"/>
                    </w:rPr>
                    <w:t>3.09.10</w:t>
                  </w:r>
                </w:p>
              </w:tc>
              <w:tc>
                <w:tcPr>
                  <w:tcW w:w="731"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昼间</w:t>
                  </w:r>
                </w:p>
              </w:tc>
              <w:tc>
                <w:tcPr>
                  <w:tcW w:w="754"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48.6</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60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731"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夜间</w:t>
                  </w:r>
                </w:p>
              </w:tc>
              <w:tc>
                <w:tcPr>
                  <w:tcW w:w="754"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44.5</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50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restart"/>
                  <w:tcBorders>
                    <w:tl2br w:val="nil"/>
                    <w:tr2bl w:val="nil"/>
                  </w:tcBorders>
                  <w:noWrap w:val="0"/>
                  <w:vAlign w:val="center"/>
                </w:tcPr>
                <w:p>
                  <w:pPr>
                    <w:spacing w:line="240" w:lineRule="auto"/>
                    <w:jc w:val="center"/>
                    <w:rPr>
                      <w:rFonts w:ascii="Times New Roman" w:hAnsi="Times New Roman"/>
                      <w:color w:val="auto"/>
                      <w:sz w:val="21"/>
                      <w:szCs w:val="21"/>
                    </w:rPr>
                  </w:pPr>
                  <w:r>
                    <w:rPr>
                      <w:rFonts w:ascii="Times New Roman" w:hAnsi="Times New Roman"/>
                      <w:color w:val="auto"/>
                      <w:sz w:val="21"/>
                      <w:szCs w:val="21"/>
                    </w:rPr>
                    <w:t>2#</w:t>
                  </w:r>
                </w:p>
                <w:p>
                  <w:pPr>
                    <w:spacing w:line="240" w:lineRule="auto"/>
                    <w:jc w:val="center"/>
                    <w:rPr>
                      <w:rFonts w:ascii="Times New Roman" w:hAnsi="Times New Roman" w:eastAsia="宋体"/>
                      <w:color w:val="auto"/>
                      <w:sz w:val="21"/>
                      <w:szCs w:val="21"/>
                    </w:rPr>
                  </w:pPr>
                  <w:r>
                    <w:rPr>
                      <w:rFonts w:hint="default" w:ascii="Times New Roman" w:hAnsi="Times New Roman" w:eastAsia="宋体" w:cs="Times New Roman"/>
                      <w:bCs/>
                      <w:color w:val="auto"/>
                      <w:kern w:val="0"/>
                      <w:sz w:val="21"/>
                      <w:szCs w:val="21"/>
                      <w:lang w:val="en-US" w:eastAsia="zh-CN"/>
                    </w:rPr>
                    <w:t>升压站</w:t>
                  </w:r>
                  <w:r>
                    <w:rPr>
                      <w:rFonts w:hint="eastAsia" w:ascii="Times New Roman" w:hAnsi="Times New Roman" w:eastAsia="宋体" w:cs="Times New Roman"/>
                      <w:bCs/>
                      <w:color w:val="auto"/>
                      <w:kern w:val="0"/>
                      <w:sz w:val="21"/>
                      <w:szCs w:val="21"/>
                      <w:lang w:val="en-US" w:eastAsia="zh-CN"/>
                    </w:rPr>
                    <w:t>厂界南侧</w:t>
                  </w:r>
                </w:p>
              </w:tc>
              <w:tc>
                <w:tcPr>
                  <w:tcW w:w="1050" w:type="pct"/>
                  <w:vMerge w:val="restar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202</w:t>
                  </w:r>
                  <w:r>
                    <w:rPr>
                      <w:rFonts w:hint="eastAsia" w:eastAsia="宋体"/>
                      <w:color w:val="auto"/>
                      <w:sz w:val="21"/>
                      <w:szCs w:val="21"/>
                      <w:lang w:val="en-US" w:eastAsia="zh-CN"/>
                    </w:rPr>
                    <w:t>3.09.09</w:t>
                  </w:r>
                </w:p>
              </w:tc>
              <w:tc>
                <w:tcPr>
                  <w:tcW w:w="731"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昼间</w:t>
                  </w:r>
                </w:p>
              </w:tc>
              <w:tc>
                <w:tcPr>
                  <w:tcW w:w="754" w:type="pct"/>
                  <w:tcBorders>
                    <w:tl2br w:val="nil"/>
                    <w:tr2bl w:val="nil"/>
                  </w:tcBorders>
                  <w:noWrap w:val="0"/>
                  <w:vAlign w:val="center"/>
                </w:tcPr>
                <w:p>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46.7</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60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731"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夜间</w:t>
                  </w:r>
                </w:p>
              </w:tc>
              <w:tc>
                <w:tcPr>
                  <w:tcW w:w="754"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bidi="ar-SA"/>
                    </w:rPr>
                    <w:t>42.8</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50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restar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sz w:val="21"/>
                      <w:szCs w:val="21"/>
                      <w:lang w:val="en-US" w:eastAsia="zh-CN"/>
                    </w:rPr>
                    <w:t>202</w:t>
                  </w:r>
                  <w:r>
                    <w:rPr>
                      <w:rFonts w:hint="eastAsia" w:eastAsia="宋体"/>
                      <w:color w:val="auto"/>
                      <w:sz w:val="21"/>
                      <w:szCs w:val="21"/>
                      <w:lang w:val="en-US" w:eastAsia="zh-CN"/>
                    </w:rPr>
                    <w:t>3.09.10</w:t>
                  </w:r>
                </w:p>
              </w:tc>
              <w:tc>
                <w:tcPr>
                  <w:tcW w:w="731"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昼间</w:t>
                  </w:r>
                </w:p>
              </w:tc>
              <w:tc>
                <w:tcPr>
                  <w:tcW w:w="754"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bidi="ar-SA"/>
                    </w:rPr>
                    <w:t>46.3</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60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731"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夜间</w:t>
                  </w:r>
                </w:p>
              </w:tc>
              <w:tc>
                <w:tcPr>
                  <w:tcW w:w="754"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bidi="ar-SA"/>
                    </w:rPr>
                    <w:t>42.4</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50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restart"/>
                  <w:tcBorders>
                    <w:tl2br w:val="nil"/>
                    <w:tr2bl w:val="nil"/>
                  </w:tcBorders>
                  <w:noWrap w:val="0"/>
                  <w:vAlign w:val="center"/>
                </w:tcPr>
                <w:p>
                  <w:pPr>
                    <w:spacing w:line="240" w:lineRule="auto"/>
                    <w:jc w:val="center"/>
                    <w:rPr>
                      <w:rFonts w:ascii="Times New Roman" w:hAnsi="Times New Roman"/>
                      <w:color w:val="auto"/>
                      <w:sz w:val="21"/>
                      <w:szCs w:val="21"/>
                    </w:rPr>
                  </w:pPr>
                  <w:r>
                    <w:rPr>
                      <w:rFonts w:ascii="Times New Roman" w:hAnsi="Times New Roman"/>
                      <w:color w:val="auto"/>
                      <w:sz w:val="21"/>
                      <w:szCs w:val="21"/>
                    </w:rPr>
                    <w:t>3#</w:t>
                  </w:r>
                </w:p>
                <w:p>
                  <w:pPr>
                    <w:spacing w:line="240" w:lineRule="auto"/>
                    <w:jc w:val="center"/>
                    <w:rPr>
                      <w:rFonts w:ascii="Times New Roman" w:hAnsi="Times New Roman" w:eastAsia="宋体"/>
                      <w:color w:val="auto"/>
                      <w:sz w:val="21"/>
                      <w:szCs w:val="21"/>
                    </w:rPr>
                  </w:pPr>
                  <w:r>
                    <w:rPr>
                      <w:rFonts w:hint="default" w:ascii="Times New Roman" w:hAnsi="Times New Roman" w:eastAsia="宋体" w:cs="Times New Roman"/>
                      <w:bCs/>
                      <w:color w:val="auto"/>
                      <w:kern w:val="0"/>
                      <w:sz w:val="21"/>
                      <w:szCs w:val="21"/>
                      <w:lang w:val="en-US" w:eastAsia="zh-CN"/>
                    </w:rPr>
                    <w:t>升压站</w:t>
                  </w:r>
                  <w:r>
                    <w:rPr>
                      <w:rFonts w:hint="eastAsia" w:ascii="Times New Roman" w:hAnsi="Times New Roman" w:eastAsia="宋体" w:cs="Times New Roman"/>
                      <w:bCs/>
                      <w:color w:val="auto"/>
                      <w:kern w:val="0"/>
                      <w:sz w:val="21"/>
                      <w:szCs w:val="21"/>
                      <w:lang w:val="en-US" w:eastAsia="zh-CN"/>
                    </w:rPr>
                    <w:t>厂界西侧</w:t>
                  </w:r>
                </w:p>
              </w:tc>
              <w:tc>
                <w:tcPr>
                  <w:tcW w:w="1050" w:type="pct"/>
                  <w:vMerge w:val="restar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202</w:t>
                  </w:r>
                  <w:r>
                    <w:rPr>
                      <w:rFonts w:hint="eastAsia" w:eastAsia="宋体"/>
                      <w:color w:val="auto"/>
                      <w:sz w:val="21"/>
                      <w:szCs w:val="21"/>
                      <w:lang w:val="en-US" w:eastAsia="zh-CN"/>
                    </w:rPr>
                    <w:t>3.09.09</w:t>
                  </w:r>
                </w:p>
              </w:tc>
              <w:tc>
                <w:tcPr>
                  <w:tcW w:w="731"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昼间</w:t>
                  </w:r>
                </w:p>
              </w:tc>
              <w:tc>
                <w:tcPr>
                  <w:tcW w:w="754"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bidi="ar-SA"/>
                    </w:rPr>
                    <w:t>48.0</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60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731"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夜间</w:t>
                  </w:r>
                </w:p>
              </w:tc>
              <w:tc>
                <w:tcPr>
                  <w:tcW w:w="754" w:type="pct"/>
                  <w:tcBorders>
                    <w:tl2br w:val="nil"/>
                    <w:tr2bl w:val="nil"/>
                  </w:tcBorders>
                  <w:noWrap w:val="0"/>
                  <w:vAlign w:val="center"/>
                </w:tcPr>
                <w:p>
                  <w:pPr>
                    <w:pStyle w:val="28"/>
                    <w:keepNext w:val="0"/>
                    <w:keepLines w:val="0"/>
                    <w:pageBreakBefore w:val="0"/>
                    <w:widowControl/>
                    <w:kinsoku/>
                    <w:wordWrap/>
                    <w:overflowPunct w:val="0"/>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bidi="ar-SA"/>
                    </w:rPr>
                    <w:t>43.6</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50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restar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sz w:val="21"/>
                      <w:szCs w:val="21"/>
                      <w:lang w:val="en-US" w:eastAsia="zh-CN"/>
                    </w:rPr>
                    <w:t>202</w:t>
                  </w:r>
                  <w:r>
                    <w:rPr>
                      <w:rFonts w:hint="eastAsia" w:eastAsia="宋体"/>
                      <w:color w:val="auto"/>
                      <w:sz w:val="21"/>
                      <w:szCs w:val="21"/>
                      <w:lang w:val="en-US" w:eastAsia="zh-CN"/>
                    </w:rPr>
                    <w:t>3.09.10</w:t>
                  </w:r>
                </w:p>
              </w:tc>
              <w:tc>
                <w:tcPr>
                  <w:tcW w:w="731"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昼间</w:t>
                  </w:r>
                </w:p>
              </w:tc>
              <w:tc>
                <w:tcPr>
                  <w:tcW w:w="754" w:type="pct"/>
                  <w:tcBorders>
                    <w:tl2br w:val="nil"/>
                    <w:tr2bl w:val="nil"/>
                  </w:tcBorders>
                  <w:noWrap w:val="0"/>
                  <w:vAlign w:val="center"/>
                </w:tcPr>
                <w:p>
                  <w:pPr>
                    <w:spacing w:line="240" w:lineRule="auto"/>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48.3</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60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731"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夜间</w:t>
                  </w:r>
                </w:p>
              </w:tc>
              <w:tc>
                <w:tcPr>
                  <w:tcW w:w="754" w:type="pct"/>
                  <w:tcBorders>
                    <w:tl2br w:val="nil"/>
                    <w:tr2bl w:val="nil"/>
                  </w:tcBorders>
                  <w:noWrap w:val="0"/>
                  <w:vAlign w:val="center"/>
                </w:tcPr>
                <w:p>
                  <w:pPr>
                    <w:spacing w:line="240" w:lineRule="auto"/>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43.3</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50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restart"/>
                  <w:tcBorders>
                    <w:tl2br w:val="nil"/>
                    <w:tr2bl w:val="nil"/>
                  </w:tcBorders>
                  <w:noWrap w:val="0"/>
                  <w:vAlign w:val="center"/>
                </w:tcPr>
                <w:p>
                  <w:pPr>
                    <w:spacing w:line="240" w:lineRule="auto"/>
                    <w:jc w:val="center"/>
                    <w:rPr>
                      <w:rFonts w:ascii="Times New Roman" w:hAnsi="Times New Roman"/>
                      <w:color w:val="auto"/>
                      <w:sz w:val="21"/>
                      <w:szCs w:val="21"/>
                    </w:rPr>
                  </w:pPr>
                  <w:r>
                    <w:rPr>
                      <w:rFonts w:ascii="Times New Roman" w:hAnsi="Times New Roman"/>
                      <w:color w:val="auto"/>
                      <w:sz w:val="21"/>
                      <w:szCs w:val="21"/>
                    </w:rPr>
                    <w:t>4#</w:t>
                  </w:r>
                </w:p>
                <w:p>
                  <w:pPr>
                    <w:spacing w:line="240" w:lineRule="auto"/>
                    <w:jc w:val="center"/>
                    <w:rPr>
                      <w:rFonts w:ascii="Times New Roman" w:hAnsi="Times New Roman" w:eastAsia="宋体"/>
                      <w:color w:val="auto"/>
                      <w:sz w:val="21"/>
                      <w:szCs w:val="21"/>
                    </w:rPr>
                  </w:pPr>
                  <w:r>
                    <w:rPr>
                      <w:rFonts w:hint="default" w:ascii="Times New Roman" w:hAnsi="Times New Roman" w:eastAsia="宋体" w:cs="Times New Roman"/>
                      <w:bCs/>
                      <w:color w:val="auto"/>
                      <w:kern w:val="0"/>
                      <w:sz w:val="21"/>
                      <w:szCs w:val="21"/>
                      <w:lang w:val="en-US" w:eastAsia="zh-CN"/>
                    </w:rPr>
                    <w:t>升压站</w:t>
                  </w:r>
                  <w:r>
                    <w:rPr>
                      <w:rFonts w:hint="eastAsia" w:ascii="Times New Roman" w:hAnsi="Times New Roman" w:eastAsia="宋体" w:cs="Times New Roman"/>
                      <w:bCs/>
                      <w:color w:val="auto"/>
                      <w:kern w:val="0"/>
                      <w:sz w:val="21"/>
                      <w:szCs w:val="21"/>
                      <w:lang w:val="en-US" w:eastAsia="zh-CN"/>
                    </w:rPr>
                    <w:t>厂界北侧</w:t>
                  </w:r>
                </w:p>
              </w:tc>
              <w:tc>
                <w:tcPr>
                  <w:tcW w:w="1050" w:type="pct"/>
                  <w:vMerge w:val="restar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202</w:t>
                  </w:r>
                  <w:r>
                    <w:rPr>
                      <w:rFonts w:hint="eastAsia" w:eastAsia="宋体"/>
                      <w:color w:val="auto"/>
                      <w:sz w:val="21"/>
                      <w:szCs w:val="21"/>
                      <w:lang w:val="en-US" w:eastAsia="zh-CN"/>
                    </w:rPr>
                    <w:t>3.09.09</w:t>
                  </w:r>
                </w:p>
              </w:tc>
              <w:tc>
                <w:tcPr>
                  <w:tcW w:w="731"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昼间</w:t>
                  </w:r>
                </w:p>
              </w:tc>
              <w:tc>
                <w:tcPr>
                  <w:tcW w:w="754" w:type="pct"/>
                  <w:tcBorders>
                    <w:tl2br w:val="nil"/>
                    <w:tr2bl w:val="nil"/>
                  </w:tcBorders>
                  <w:noWrap w:val="0"/>
                  <w:vAlign w:val="center"/>
                </w:tcPr>
                <w:p>
                  <w:pPr>
                    <w:spacing w:line="240" w:lineRule="auto"/>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47.5</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60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731"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夜间</w:t>
                  </w:r>
                </w:p>
              </w:tc>
              <w:tc>
                <w:tcPr>
                  <w:tcW w:w="754" w:type="pct"/>
                  <w:tcBorders>
                    <w:tl2br w:val="nil"/>
                    <w:tr2bl w:val="nil"/>
                  </w:tcBorders>
                  <w:noWrap w:val="0"/>
                  <w:vAlign w:val="center"/>
                </w:tcPr>
                <w:p>
                  <w:pPr>
                    <w:spacing w:line="240" w:lineRule="auto"/>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43.0</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50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restar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sz w:val="21"/>
                      <w:szCs w:val="21"/>
                      <w:lang w:val="en-US" w:eastAsia="zh-CN"/>
                    </w:rPr>
                    <w:t>202</w:t>
                  </w:r>
                  <w:r>
                    <w:rPr>
                      <w:rFonts w:hint="eastAsia" w:eastAsia="宋体"/>
                      <w:color w:val="auto"/>
                      <w:sz w:val="21"/>
                      <w:szCs w:val="21"/>
                      <w:lang w:val="en-US" w:eastAsia="zh-CN"/>
                    </w:rPr>
                    <w:t>3.09.10</w:t>
                  </w:r>
                </w:p>
              </w:tc>
              <w:tc>
                <w:tcPr>
                  <w:tcW w:w="731"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昼间</w:t>
                  </w:r>
                </w:p>
              </w:tc>
              <w:tc>
                <w:tcPr>
                  <w:tcW w:w="754" w:type="pct"/>
                  <w:tcBorders>
                    <w:tl2br w:val="nil"/>
                    <w:tr2bl w:val="nil"/>
                  </w:tcBorders>
                  <w:noWrap w:val="0"/>
                  <w:vAlign w:val="center"/>
                </w:tcPr>
                <w:p>
                  <w:pPr>
                    <w:spacing w:line="240" w:lineRule="auto"/>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47.0</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60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1050" w:type="pct"/>
                  <w:vMerge w:val="continue"/>
                  <w:tcBorders>
                    <w:tl2br w:val="nil"/>
                    <w:tr2bl w:val="nil"/>
                  </w:tcBorders>
                  <w:noWrap w:val="0"/>
                  <w:vAlign w:val="center"/>
                </w:tcPr>
                <w:p>
                  <w:pPr>
                    <w:spacing w:line="240" w:lineRule="auto"/>
                    <w:jc w:val="center"/>
                    <w:rPr>
                      <w:rFonts w:ascii="Times New Roman" w:hAnsi="Times New Roman" w:eastAsia="宋体"/>
                      <w:color w:val="auto"/>
                      <w:sz w:val="21"/>
                      <w:szCs w:val="21"/>
                    </w:rPr>
                  </w:pPr>
                </w:p>
              </w:tc>
              <w:tc>
                <w:tcPr>
                  <w:tcW w:w="731"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夜间</w:t>
                  </w:r>
                </w:p>
              </w:tc>
              <w:tc>
                <w:tcPr>
                  <w:tcW w:w="754" w:type="pct"/>
                  <w:tcBorders>
                    <w:tl2br w:val="nil"/>
                    <w:tr2bl w:val="nil"/>
                  </w:tcBorders>
                  <w:noWrap w:val="0"/>
                  <w:vAlign w:val="center"/>
                </w:tcPr>
                <w:p>
                  <w:pPr>
                    <w:spacing w:line="240" w:lineRule="auto"/>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42.7</w:t>
                  </w:r>
                </w:p>
              </w:tc>
              <w:tc>
                <w:tcPr>
                  <w:tcW w:w="660" w:type="pct"/>
                  <w:tcBorders>
                    <w:tl2br w:val="nil"/>
                    <w:tr2bl w:val="nil"/>
                  </w:tcBorders>
                  <w:noWrap w:val="0"/>
                  <w:vAlign w:val="center"/>
                </w:tcPr>
                <w:p>
                  <w:pPr>
                    <w:spacing w:line="240" w:lineRule="auto"/>
                    <w:jc w:val="center"/>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50</w:t>
                  </w:r>
                </w:p>
              </w:tc>
              <w:tc>
                <w:tcPr>
                  <w:tcW w:w="578" w:type="pct"/>
                  <w:tcBorders>
                    <w:tl2br w:val="nil"/>
                    <w:tr2bl w:val="nil"/>
                  </w:tcBorders>
                  <w:noWrap w:val="0"/>
                  <w:vAlign w:val="center"/>
                </w:tcPr>
                <w:p>
                  <w:pPr>
                    <w:spacing w:line="240" w:lineRule="auto"/>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4" w:type="pct"/>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hint="eastAsia" w:ascii="Times New Roman" w:hAnsi="Times New Roman" w:eastAsia="宋体" w:cs="Times New Roman"/>
                      <w:color w:val="auto"/>
                      <w:sz w:val="21"/>
                      <w:szCs w:val="21"/>
                      <w:lang w:val="en-US" w:eastAsia="zh-CN"/>
                    </w:rPr>
                    <w:t>执行标准</w:t>
                  </w:r>
                </w:p>
              </w:tc>
              <w:tc>
                <w:tcPr>
                  <w:tcW w:w="3775" w:type="pct"/>
                  <w:gridSpan w:val="5"/>
                  <w:tcBorders>
                    <w:tl2br w:val="nil"/>
                    <w:tr2bl w:val="nil"/>
                  </w:tcBorders>
                  <w:noWrap w:val="0"/>
                  <w:vAlign w:val="center"/>
                </w:tcPr>
                <w:p>
                  <w:pPr>
                    <w:pStyle w:val="16"/>
                    <w:spacing w:line="240" w:lineRule="auto"/>
                    <w:jc w:val="center"/>
                    <w:rPr>
                      <w:rFonts w:hint="default" w:ascii="Times New Roman" w:hAnsi="Times New Roman" w:eastAsia="宋体"/>
                      <w:color w:val="auto"/>
                      <w:sz w:val="21"/>
                      <w:szCs w:val="21"/>
                      <w:lang w:val="en-US"/>
                    </w:rPr>
                  </w:pPr>
                  <w:r>
                    <w:rPr>
                      <w:rFonts w:ascii="Times New Roman" w:hAnsi="Times New Roman" w:eastAsia="宋体" w:cs="Times New Roman"/>
                      <w:color w:val="auto"/>
                      <w:kern w:val="2"/>
                      <w:sz w:val="21"/>
                      <w:szCs w:val="21"/>
                    </w:rPr>
                    <w:t>《工业企业厂界环境噪声排放标准》</w:t>
                  </w:r>
                  <w:r>
                    <w:rPr>
                      <w:rFonts w:hint="eastAsia" w:ascii="Times New Roman" w:hAnsi="Times New Roman" w:eastAsia="宋体" w:cs="Times New Roman"/>
                      <w:color w:val="auto"/>
                      <w:kern w:val="2"/>
                      <w:sz w:val="21"/>
                      <w:szCs w:val="21"/>
                      <w:lang w:eastAsia="zh-CN"/>
                    </w:rPr>
                    <w:t>（</w:t>
                  </w:r>
                  <w:r>
                    <w:rPr>
                      <w:rFonts w:ascii="Times New Roman" w:hAnsi="Times New Roman" w:eastAsia="宋体" w:cs="Times New Roman"/>
                      <w:color w:val="auto"/>
                      <w:kern w:val="2"/>
                      <w:sz w:val="21"/>
                      <w:szCs w:val="21"/>
                    </w:rPr>
                    <w:t>GB 12348-2</w:t>
                  </w:r>
                  <w:r>
                    <w:rPr>
                      <w:rFonts w:hint="eastAsia" w:ascii="Times New Roman" w:hAnsi="Times New Roman" w:eastAsia="宋体" w:cs="Times New Roman"/>
                      <w:color w:val="auto"/>
                      <w:kern w:val="2"/>
                      <w:sz w:val="21"/>
                      <w:szCs w:val="21"/>
                      <w:lang w:val="en-US" w:eastAsia="zh-CN"/>
                    </w:rPr>
                    <w:t>008</w:t>
                  </w:r>
                  <w:r>
                    <w:rPr>
                      <w:rFonts w:hint="eastAsia" w:ascii="Times New Roman" w:hAnsi="Times New Roman" w:eastAsia="宋体" w:cs="Times New Roman"/>
                      <w:color w:val="auto"/>
                      <w:kern w:val="2"/>
                      <w:sz w:val="21"/>
                      <w:szCs w:val="21"/>
                      <w:lang w:eastAsia="zh-CN"/>
                    </w:rPr>
                    <w:t>）</w:t>
                  </w:r>
                  <w:r>
                    <w:rPr>
                      <w:rFonts w:hint="eastAsia" w:ascii="Times New Roman" w:hAnsi="Times New Roman" w:eastAsia="宋体" w:cs="Times New Roman"/>
                      <w:color w:val="auto"/>
                      <w:kern w:val="2"/>
                      <w:sz w:val="21"/>
                      <w:szCs w:val="21"/>
                      <w:lang w:val="en-US" w:eastAsia="zh-CN"/>
                    </w:rPr>
                    <w:t>中</w:t>
                  </w:r>
                  <w:r>
                    <w:rPr>
                      <w:rFonts w:hint="eastAsia" w:ascii="Times New Roman" w:hAnsi="Times New Roman" w:cs="Times New Roman"/>
                      <w:color w:val="auto"/>
                      <w:kern w:val="2"/>
                      <w:sz w:val="21"/>
                      <w:szCs w:val="21"/>
                      <w:lang w:val="en-US" w:eastAsia="zh-CN"/>
                    </w:rPr>
                    <w:t>2类标准限值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tcBorders>
                    <w:tl2br w:val="nil"/>
                    <w:tr2bl w:val="nil"/>
                  </w:tcBorders>
                  <w:noWrap w:val="0"/>
                  <w:vAlign w:val="center"/>
                </w:tcPr>
                <w:p>
                  <w:pPr>
                    <w:spacing w:line="240" w:lineRule="auto"/>
                    <w:jc w:val="center"/>
                    <w:rPr>
                      <w:rFonts w:ascii="Times New Roman" w:hAnsi="Times New Roman" w:eastAsia="宋体"/>
                      <w:color w:val="auto"/>
                      <w:sz w:val="21"/>
                      <w:szCs w:val="21"/>
                    </w:rPr>
                  </w:pPr>
                  <w:r>
                    <w:rPr>
                      <w:rFonts w:hint="eastAsia" w:ascii="Times New Roman" w:hAnsi="Times New Roman" w:eastAsia="宋体" w:cs="Times New Roman"/>
                      <w:color w:val="auto"/>
                      <w:sz w:val="21"/>
                      <w:szCs w:val="21"/>
                      <w:lang w:val="en-US" w:eastAsia="zh-CN"/>
                    </w:rPr>
                    <w:t>注：昼间是指06:00-22:00之间的时段</w:t>
                  </w:r>
                  <w:r>
                    <w:rPr>
                      <w:rFonts w:hint="eastAsia" w:ascii="Times New Roman" w:hAnsi="Times New Roman"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夜间是指22:00-次日06:00之间的时段。</w:t>
                  </w:r>
                </w:p>
              </w:tc>
            </w:tr>
          </w:tbl>
          <w:p>
            <w:pPr>
              <w:bidi w:val="0"/>
              <w:spacing w:line="240" w:lineRule="auto"/>
              <w:jc w:val="both"/>
              <w:rPr>
                <w:b/>
                <w:bCs/>
                <w:color w:val="auto"/>
              </w:rPr>
            </w:pPr>
          </w:p>
          <w:p>
            <w:pPr>
              <w:bidi w:val="0"/>
              <w:spacing w:line="240" w:lineRule="auto"/>
              <w:jc w:val="center"/>
              <w:rPr>
                <w:b/>
                <w:bCs/>
                <w:color w:val="auto"/>
              </w:rPr>
            </w:pPr>
            <w:r>
              <w:rPr>
                <w:b/>
                <w:bCs/>
                <w:color w:val="auto"/>
              </w:rPr>
              <w:t>表 7-</w:t>
            </w:r>
            <w:r>
              <w:rPr>
                <w:rFonts w:hint="eastAsia"/>
                <w:b/>
                <w:bCs/>
                <w:color w:val="auto"/>
                <w:lang w:val="en-US" w:eastAsia="zh-CN"/>
              </w:rPr>
              <w:t>11</w:t>
            </w:r>
            <w:r>
              <w:rPr>
                <w:b/>
                <w:bCs/>
                <w:color w:val="auto"/>
              </w:rPr>
              <w:t xml:space="preserve">    </w:t>
            </w:r>
            <w:r>
              <w:rPr>
                <w:rFonts w:hint="eastAsia"/>
                <w:b/>
                <w:bCs/>
                <w:color w:val="auto"/>
                <w:lang w:val="en-US" w:eastAsia="zh-CN"/>
              </w:rPr>
              <w:t>送出线路</w:t>
            </w:r>
            <w:r>
              <w:rPr>
                <w:b/>
                <w:bCs/>
                <w:color w:val="auto"/>
              </w:rPr>
              <w:t>噪声监测结果一览表 单位： Leq（dB（A））</w:t>
            </w:r>
          </w:p>
          <w:tbl>
            <w:tblPr>
              <w:tblStyle w:val="1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4"/>
              <w:gridCol w:w="1281"/>
              <w:gridCol w:w="1523"/>
              <w:gridCol w:w="1626"/>
              <w:gridCol w:w="1336"/>
              <w:gridCol w:w="1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8"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rPr>
                    <w:t>测点</w:t>
                  </w:r>
                  <w:r>
                    <w:rPr>
                      <w:rFonts w:hint="default"/>
                      <w:b/>
                      <w:bCs/>
                      <w:color w:val="auto"/>
                      <w:sz w:val="21"/>
                      <w:szCs w:val="21"/>
                      <w:lang w:val="en-US" w:eastAsia="zh-CN"/>
                    </w:rPr>
                    <w:t>名称及编号</w:t>
                  </w:r>
                </w:p>
              </w:tc>
              <w:tc>
                <w:tcPr>
                  <w:tcW w:w="740"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rPr>
                    <w:t>检测日期</w:t>
                  </w:r>
                </w:p>
              </w:tc>
              <w:tc>
                <w:tcPr>
                  <w:tcW w:w="880"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rPr>
                    <w:t>检测时段</w:t>
                  </w:r>
                </w:p>
              </w:tc>
              <w:tc>
                <w:tcPr>
                  <w:tcW w:w="939" w:type="pct"/>
                  <w:tcBorders>
                    <w:tl2br w:val="nil"/>
                    <w:tr2bl w:val="nil"/>
                  </w:tcBorders>
                  <w:noWrap w:val="0"/>
                  <w:vAlign w:val="center"/>
                </w:tcPr>
                <w:p>
                  <w:pPr>
                    <w:bidi w:val="0"/>
                    <w:spacing w:line="240" w:lineRule="auto"/>
                    <w:jc w:val="center"/>
                    <w:rPr>
                      <w:rFonts w:hint="default"/>
                      <w:b/>
                      <w:bCs/>
                      <w:color w:val="auto"/>
                      <w:sz w:val="21"/>
                      <w:szCs w:val="21"/>
                    </w:rPr>
                  </w:pPr>
                  <w:r>
                    <w:rPr>
                      <w:rFonts w:hint="default"/>
                      <w:b/>
                      <w:bCs/>
                      <w:color w:val="auto"/>
                      <w:sz w:val="21"/>
                      <w:szCs w:val="21"/>
                    </w:rPr>
                    <w:t>检测结果Leq[dB(A)]</w:t>
                  </w:r>
                </w:p>
              </w:tc>
              <w:tc>
                <w:tcPr>
                  <w:tcW w:w="772"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标准限值</w:t>
                  </w:r>
                </w:p>
              </w:tc>
              <w:tc>
                <w:tcPr>
                  <w:tcW w:w="578" w:type="pct"/>
                  <w:tcBorders>
                    <w:tl2br w:val="nil"/>
                    <w:tr2bl w:val="nil"/>
                  </w:tcBorders>
                  <w:noWrap w:val="0"/>
                  <w:vAlign w:val="center"/>
                </w:tcPr>
                <w:p>
                  <w:pPr>
                    <w:bidi w:val="0"/>
                    <w:spacing w:line="240" w:lineRule="auto"/>
                    <w:jc w:val="center"/>
                    <w:rPr>
                      <w:rFonts w:hint="default"/>
                      <w:b/>
                      <w:bCs/>
                      <w:color w:val="auto"/>
                      <w:sz w:val="21"/>
                      <w:szCs w:val="21"/>
                      <w:lang w:val="en-US" w:eastAsia="zh-CN"/>
                    </w:rPr>
                  </w:pPr>
                  <w:r>
                    <w:rPr>
                      <w:rFonts w:hint="default"/>
                      <w:b/>
                      <w:bCs/>
                      <w:color w:val="auto"/>
                      <w:sz w:val="21"/>
                      <w:szCs w:val="21"/>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8" w:type="pct"/>
                  <w:vMerge w:val="restar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default"/>
                      <w:color w:val="auto"/>
                      <w:sz w:val="21"/>
                      <w:szCs w:val="21"/>
                      <w:lang w:val="en-US" w:eastAsia="zh-CN"/>
                    </w:rPr>
                    <w:t>输电线路塔基</w:t>
                  </w:r>
                  <w:r>
                    <w:rPr>
                      <w:rFonts w:hint="default"/>
                      <w:color w:val="auto"/>
                      <w:sz w:val="21"/>
                      <w:szCs w:val="21"/>
                    </w:rPr>
                    <w:t>BL</w:t>
                  </w:r>
                  <w:r>
                    <w:rPr>
                      <w:rFonts w:hint="default"/>
                      <w:color w:val="auto"/>
                      <w:sz w:val="21"/>
                      <w:szCs w:val="21"/>
                      <w:lang w:val="en-US" w:eastAsia="zh-CN"/>
                    </w:rPr>
                    <w:t>8～塔基</w:t>
                  </w:r>
                  <w:r>
                    <w:rPr>
                      <w:rFonts w:hint="default"/>
                      <w:color w:val="auto"/>
                      <w:sz w:val="21"/>
                      <w:szCs w:val="21"/>
                    </w:rPr>
                    <w:t>BL</w:t>
                  </w:r>
                  <w:r>
                    <w:rPr>
                      <w:rFonts w:hint="eastAsia"/>
                      <w:color w:val="auto"/>
                      <w:sz w:val="21"/>
                      <w:szCs w:val="21"/>
                      <w:lang w:val="en-US" w:eastAsia="zh-CN"/>
                    </w:rPr>
                    <w:t>9</w:t>
                  </w:r>
                  <w:r>
                    <w:rPr>
                      <w:rFonts w:hint="default"/>
                      <w:color w:val="auto"/>
                      <w:sz w:val="21"/>
                      <w:szCs w:val="21"/>
                      <w:lang w:val="en-US" w:eastAsia="zh-CN"/>
                    </w:rPr>
                    <w:t>导线档距中央弧垂最低位置中心投影处</w:t>
                  </w:r>
                </w:p>
              </w:tc>
              <w:tc>
                <w:tcPr>
                  <w:tcW w:w="740" w:type="pct"/>
                  <w:vMerge w:val="restart"/>
                  <w:tcBorders>
                    <w:tl2br w:val="nil"/>
                    <w:tr2bl w:val="nil"/>
                  </w:tcBorders>
                  <w:noWrap w:val="0"/>
                  <w:vAlign w:val="center"/>
                </w:tcPr>
                <w:p>
                  <w:pPr>
                    <w:bidi w:val="0"/>
                    <w:spacing w:line="240" w:lineRule="auto"/>
                    <w:jc w:val="center"/>
                    <w:rPr>
                      <w:rFonts w:hint="default"/>
                      <w:color w:val="auto"/>
                      <w:sz w:val="21"/>
                      <w:szCs w:val="21"/>
                      <w:lang w:val="en-US" w:eastAsia="zh-CN"/>
                    </w:rPr>
                  </w:pPr>
                  <w:r>
                    <w:rPr>
                      <w:color w:val="auto"/>
                      <w:sz w:val="21"/>
                      <w:szCs w:val="21"/>
                    </w:rPr>
                    <w:t>202</w:t>
                  </w:r>
                  <w:r>
                    <w:rPr>
                      <w:rFonts w:hint="eastAsia"/>
                      <w:color w:val="auto"/>
                      <w:sz w:val="21"/>
                      <w:szCs w:val="21"/>
                      <w:lang w:val="en-US" w:eastAsia="zh-CN"/>
                    </w:rPr>
                    <w:t>3.09.09</w:t>
                  </w:r>
                </w:p>
              </w:tc>
              <w:tc>
                <w:tcPr>
                  <w:tcW w:w="88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color w:val="auto"/>
                      <w:sz w:val="21"/>
                      <w:szCs w:val="21"/>
                    </w:rPr>
                    <w:t>昼间</w:t>
                  </w:r>
                </w:p>
              </w:tc>
              <w:tc>
                <w:tcPr>
                  <w:tcW w:w="939"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46.3</w:t>
                  </w:r>
                </w:p>
              </w:tc>
              <w:tc>
                <w:tcPr>
                  <w:tcW w:w="772"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60</w:t>
                  </w:r>
                </w:p>
              </w:tc>
              <w:tc>
                <w:tcPr>
                  <w:tcW w:w="57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8" w:type="pct"/>
                  <w:vMerge w:val="continue"/>
                  <w:tcBorders>
                    <w:tl2br w:val="nil"/>
                    <w:tr2bl w:val="nil"/>
                  </w:tcBorders>
                  <w:noWrap w:val="0"/>
                  <w:vAlign w:val="center"/>
                </w:tcPr>
                <w:p>
                  <w:pPr>
                    <w:bidi w:val="0"/>
                    <w:spacing w:line="240" w:lineRule="auto"/>
                    <w:jc w:val="center"/>
                    <w:rPr>
                      <w:rFonts w:hint="default"/>
                      <w:color w:val="auto"/>
                      <w:sz w:val="21"/>
                      <w:szCs w:val="21"/>
                      <w:lang w:val="en-US" w:eastAsia="zh-CN"/>
                    </w:rPr>
                  </w:pPr>
                </w:p>
              </w:tc>
              <w:tc>
                <w:tcPr>
                  <w:tcW w:w="740" w:type="pct"/>
                  <w:vMerge w:val="continue"/>
                  <w:tcBorders>
                    <w:tl2br w:val="nil"/>
                    <w:tr2bl w:val="nil"/>
                  </w:tcBorders>
                  <w:noWrap w:val="0"/>
                  <w:vAlign w:val="center"/>
                </w:tcPr>
                <w:p>
                  <w:pPr>
                    <w:bidi w:val="0"/>
                    <w:spacing w:line="240" w:lineRule="auto"/>
                    <w:jc w:val="center"/>
                    <w:rPr>
                      <w:rFonts w:hint="default"/>
                      <w:color w:val="auto"/>
                      <w:sz w:val="21"/>
                      <w:szCs w:val="21"/>
                      <w:lang w:val="en-US" w:eastAsia="zh-CN"/>
                    </w:rPr>
                  </w:pPr>
                </w:p>
              </w:tc>
              <w:tc>
                <w:tcPr>
                  <w:tcW w:w="88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color w:val="auto"/>
                      <w:sz w:val="21"/>
                      <w:szCs w:val="21"/>
                    </w:rPr>
                    <w:t>夜间</w:t>
                  </w:r>
                </w:p>
              </w:tc>
              <w:tc>
                <w:tcPr>
                  <w:tcW w:w="939"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41.2</w:t>
                  </w:r>
                </w:p>
              </w:tc>
              <w:tc>
                <w:tcPr>
                  <w:tcW w:w="772"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50</w:t>
                  </w:r>
                </w:p>
              </w:tc>
              <w:tc>
                <w:tcPr>
                  <w:tcW w:w="57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8" w:type="pct"/>
                  <w:vMerge w:val="continue"/>
                  <w:tcBorders>
                    <w:tl2br w:val="nil"/>
                    <w:tr2bl w:val="nil"/>
                  </w:tcBorders>
                  <w:noWrap w:val="0"/>
                  <w:vAlign w:val="center"/>
                </w:tcPr>
                <w:p>
                  <w:pPr>
                    <w:bidi w:val="0"/>
                    <w:spacing w:line="240" w:lineRule="auto"/>
                    <w:jc w:val="center"/>
                    <w:rPr>
                      <w:rFonts w:hint="default"/>
                      <w:color w:val="auto"/>
                      <w:sz w:val="21"/>
                      <w:szCs w:val="21"/>
                      <w:lang w:val="en-US" w:eastAsia="zh-CN"/>
                    </w:rPr>
                  </w:pPr>
                </w:p>
              </w:tc>
              <w:tc>
                <w:tcPr>
                  <w:tcW w:w="740" w:type="pct"/>
                  <w:vMerge w:val="restar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2023.09.10</w:t>
                  </w:r>
                </w:p>
              </w:tc>
              <w:tc>
                <w:tcPr>
                  <w:tcW w:w="88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color w:val="auto"/>
                      <w:sz w:val="21"/>
                      <w:szCs w:val="21"/>
                    </w:rPr>
                    <w:t>昼间</w:t>
                  </w:r>
                </w:p>
              </w:tc>
              <w:tc>
                <w:tcPr>
                  <w:tcW w:w="939"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46.5</w:t>
                  </w:r>
                </w:p>
              </w:tc>
              <w:tc>
                <w:tcPr>
                  <w:tcW w:w="772"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60</w:t>
                  </w:r>
                </w:p>
              </w:tc>
              <w:tc>
                <w:tcPr>
                  <w:tcW w:w="57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8" w:type="pct"/>
                  <w:vMerge w:val="continue"/>
                  <w:tcBorders>
                    <w:tl2br w:val="nil"/>
                    <w:tr2bl w:val="nil"/>
                  </w:tcBorders>
                  <w:noWrap w:val="0"/>
                  <w:vAlign w:val="center"/>
                </w:tcPr>
                <w:p>
                  <w:pPr>
                    <w:bidi w:val="0"/>
                    <w:spacing w:line="240" w:lineRule="auto"/>
                    <w:jc w:val="center"/>
                    <w:rPr>
                      <w:rFonts w:hint="default"/>
                      <w:color w:val="auto"/>
                      <w:sz w:val="21"/>
                      <w:szCs w:val="21"/>
                      <w:lang w:val="en-US" w:eastAsia="zh-CN"/>
                    </w:rPr>
                  </w:pPr>
                </w:p>
              </w:tc>
              <w:tc>
                <w:tcPr>
                  <w:tcW w:w="740" w:type="pct"/>
                  <w:vMerge w:val="continue"/>
                  <w:tcBorders>
                    <w:tl2br w:val="nil"/>
                    <w:tr2bl w:val="nil"/>
                  </w:tcBorders>
                  <w:noWrap w:val="0"/>
                  <w:vAlign w:val="center"/>
                </w:tcPr>
                <w:p>
                  <w:pPr>
                    <w:bidi w:val="0"/>
                    <w:spacing w:line="240" w:lineRule="auto"/>
                    <w:jc w:val="center"/>
                    <w:rPr>
                      <w:rFonts w:hint="default"/>
                      <w:color w:val="auto"/>
                      <w:sz w:val="21"/>
                      <w:szCs w:val="21"/>
                      <w:lang w:val="en-US" w:eastAsia="zh-CN"/>
                    </w:rPr>
                  </w:pPr>
                </w:p>
              </w:tc>
              <w:tc>
                <w:tcPr>
                  <w:tcW w:w="880"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color w:val="auto"/>
                      <w:sz w:val="21"/>
                      <w:szCs w:val="21"/>
                    </w:rPr>
                    <w:t>夜间</w:t>
                  </w:r>
                </w:p>
              </w:tc>
              <w:tc>
                <w:tcPr>
                  <w:tcW w:w="939"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41.6</w:t>
                  </w:r>
                </w:p>
              </w:tc>
              <w:tc>
                <w:tcPr>
                  <w:tcW w:w="772"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50</w:t>
                  </w:r>
                </w:p>
              </w:tc>
              <w:tc>
                <w:tcPr>
                  <w:tcW w:w="578" w:type="pct"/>
                  <w:tcBorders>
                    <w:tl2br w:val="nil"/>
                    <w:tr2bl w:val="nil"/>
                  </w:tcBorders>
                  <w:noWrap w:val="0"/>
                  <w:vAlign w:val="center"/>
                </w:tcPr>
                <w:p>
                  <w:pPr>
                    <w:bidi w:val="0"/>
                    <w:spacing w:line="240" w:lineRule="auto"/>
                    <w:jc w:val="center"/>
                    <w:rPr>
                      <w:rFonts w:hint="default"/>
                      <w:color w:val="auto"/>
                      <w:sz w:val="21"/>
                      <w:szCs w:val="21"/>
                      <w:lang w:val="en-US" w:eastAsia="zh-CN"/>
                    </w:rPr>
                  </w:pPr>
                  <w:r>
                    <w:rPr>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tcBorders>
                    <w:tl2br w:val="nil"/>
                    <w:tr2bl w:val="nil"/>
                  </w:tcBorders>
                  <w:noWrap w:val="0"/>
                  <w:vAlign w:val="center"/>
                </w:tcPr>
                <w:p>
                  <w:pPr>
                    <w:bidi w:val="0"/>
                    <w:spacing w:line="240" w:lineRule="auto"/>
                    <w:jc w:val="center"/>
                    <w:rPr>
                      <w:rFonts w:hint="default"/>
                      <w:color w:val="auto"/>
                      <w:sz w:val="21"/>
                      <w:szCs w:val="21"/>
                    </w:rPr>
                  </w:pPr>
                  <w:r>
                    <w:rPr>
                      <w:rFonts w:hint="default"/>
                      <w:color w:val="auto"/>
                      <w:sz w:val="21"/>
                      <w:szCs w:val="21"/>
                    </w:rPr>
                    <w:t>注：昼间是指06:00-22:00之间的时段，夜间是指22:00至次日06:00之间的时段。</w:t>
                  </w:r>
                </w:p>
              </w:tc>
            </w:tr>
          </w:tbl>
          <w:p>
            <w:pPr>
              <w:bidi w:val="0"/>
              <w:ind w:firstLine="480" w:firstLineChars="200"/>
              <w:rPr>
                <w:color w:val="auto"/>
              </w:rPr>
            </w:pPr>
          </w:p>
          <w:p>
            <w:pPr>
              <w:bidi w:val="0"/>
              <w:ind w:firstLine="480" w:firstLineChars="200"/>
              <w:rPr>
                <w:b/>
                <w:bCs/>
                <w:color w:val="auto"/>
                <w:szCs w:val="24"/>
              </w:rPr>
            </w:pPr>
            <w:r>
              <w:rPr>
                <w:color w:val="auto"/>
              </w:rPr>
              <w:t>由表7-</w:t>
            </w:r>
            <w:r>
              <w:rPr>
                <w:rFonts w:hint="eastAsia"/>
                <w:color w:val="auto"/>
                <w:lang w:val="en-US" w:eastAsia="zh-CN"/>
              </w:rPr>
              <w:t>10、7-11</w:t>
            </w:r>
            <w:r>
              <w:rPr>
                <w:color w:val="auto"/>
              </w:rPr>
              <w:t>可知：</w:t>
            </w:r>
            <w:r>
              <w:rPr>
                <w:rFonts w:hint="eastAsia"/>
                <w:color w:val="auto"/>
                <w:lang w:val="en-US" w:eastAsia="zh-CN"/>
              </w:rPr>
              <w:t>升压站</w:t>
            </w:r>
            <w:r>
              <w:rPr>
                <w:color w:val="auto"/>
              </w:rPr>
              <w:t>四周围墙外1m处的昼间噪声监测值为4</w:t>
            </w:r>
            <w:r>
              <w:rPr>
                <w:rFonts w:hint="eastAsia"/>
                <w:color w:val="auto"/>
                <w:lang w:val="en-US" w:eastAsia="zh-CN"/>
              </w:rPr>
              <w:t>6.3</w:t>
            </w:r>
            <w:r>
              <w:rPr>
                <w:color w:val="auto"/>
              </w:rPr>
              <w:t>～4</w:t>
            </w:r>
            <w:r>
              <w:rPr>
                <w:rFonts w:hint="eastAsia"/>
                <w:color w:val="auto"/>
                <w:lang w:val="en-US" w:eastAsia="zh-CN"/>
              </w:rPr>
              <w:t>4.5</w:t>
            </w:r>
            <w:r>
              <w:rPr>
                <w:color w:val="auto"/>
              </w:rPr>
              <w:t>dB(A)，夜间为4</w:t>
            </w:r>
            <w:r>
              <w:rPr>
                <w:rFonts w:hint="eastAsia"/>
                <w:color w:val="auto"/>
                <w:lang w:val="en-US" w:eastAsia="zh-CN"/>
              </w:rPr>
              <w:t>2.4</w:t>
            </w:r>
            <w:r>
              <w:rPr>
                <w:color w:val="auto"/>
              </w:rPr>
              <w:t>～4</w:t>
            </w:r>
            <w:r>
              <w:rPr>
                <w:rFonts w:hint="eastAsia"/>
                <w:color w:val="auto"/>
                <w:lang w:val="en-US" w:eastAsia="zh-CN"/>
              </w:rPr>
              <w:t>4.5</w:t>
            </w:r>
            <w:r>
              <w:rPr>
                <w:color w:val="auto"/>
              </w:rPr>
              <w:t>dB(A)，输电线路昼间噪声监测值为4</w:t>
            </w:r>
            <w:r>
              <w:rPr>
                <w:rFonts w:hint="eastAsia"/>
                <w:color w:val="auto"/>
                <w:lang w:val="en-US" w:eastAsia="zh-CN"/>
              </w:rPr>
              <w:t>6.3</w:t>
            </w:r>
            <w:r>
              <w:rPr>
                <w:color w:val="auto"/>
              </w:rPr>
              <w:t>～4</w:t>
            </w:r>
            <w:r>
              <w:rPr>
                <w:rFonts w:hint="eastAsia"/>
                <w:color w:val="auto"/>
                <w:lang w:val="en-US" w:eastAsia="zh-CN"/>
              </w:rPr>
              <w:t>6.5</w:t>
            </w:r>
            <w:r>
              <w:rPr>
                <w:color w:val="auto"/>
              </w:rPr>
              <w:t>dB(A)，夜间为4</w:t>
            </w:r>
            <w:r>
              <w:rPr>
                <w:rFonts w:hint="eastAsia"/>
                <w:color w:val="auto"/>
                <w:lang w:val="en-US" w:eastAsia="zh-CN"/>
              </w:rPr>
              <w:t>1.2</w:t>
            </w:r>
            <w:r>
              <w:rPr>
                <w:color w:val="auto"/>
              </w:rPr>
              <w:t>～4</w:t>
            </w:r>
            <w:r>
              <w:rPr>
                <w:rFonts w:hint="eastAsia"/>
                <w:color w:val="auto"/>
                <w:lang w:val="en-US" w:eastAsia="zh-CN"/>
              </w:rPr>
              <w:t>1.6</w:t>
            </w:r>
            <w:r>
              <w:rPr>
                <w:color w:val="auto"/>
              </w:rPr>
              <w:t>dB(A)，满足《工业企业厂界环境噪声排放标准》（GB12348-2008）2 类标准限值要求。</w:t>
            </w:r>
          </w:p>
        </w:tc>
      </w:tr>
    </w:tbl>
    <w:p>
      <w:pPr>
        <w:bidi w:val="0"/>
        <w:rPr>
          <w:color w:val="auto"/>
        </w:rPr>
        <w:sectPr>
          <w:headerReference r:id="rId17" w:type="default"/>
          <w:footerReference r:id="rId18" w:type="default"/>
          <w:pgSz w:w="11907" w:h="16839"/>
          <w:pgMar w:top="1608" w:right="1130" w:bottom="1358" w:left="1445" w:header="1459" w:footer="1197" w:gutter="0"/>
          <w:pgNumType w:fmt="decimal"/>
          <w:cols w:space="720" w:num="1"/>
        </w:sectPr>
      </w:pPr>
    </w:p>
    <w:p>
      <w:pPr>
        <w:bidi w:val="0"/>
        <w:spacing w:line="360" w:lineRule="auto"/>
        <w:jc w:val="center"/>
        <w:rPr>
          <w:color w:val="auto"/>
        </w:rPr>
      </w:pPr>
      <w:r>
        <w:rPr>
          <w:rFonts w:ascii="Times New Roman" w:hAnsi="Times New Roman" w:eastAsia="宋体"/>
          <w:b/>
          <w:bCs/>
          <w:color w:val="auto"/>
          <w:sz w:val="28"/>
          <w:szCs w:val="28"/>
        </w:rPr>
        <w:t>表 8    环境影响调查</w:t>
      </w:r>
    </w:p>
    <w:tbl>
      <w:tblPr>
        <w:tblStyle w:val="15"/>
        <w:tblW w:w="50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3" w:hRule="atLeast"/>
          <w:jc w:val="center"/>
        </w:trPr>
        <w:tc>
          <w:tcPr>
            <w:tcW w:w="5000" w:type="pct"/>
            <w:vAlign w:val="center"/>
          </w:tcPr>
          <w:p>
            <w:pPr>
              <w:bidi w:val="0"/>
              <w:spacing w:line="240" w:lineRule="auto"/>
              <w:jc w:val="both"/>
              <w:rPr>
                <w:color w:val="auto"/>
              </w:rPr>
            </w:pPr>
            <w:r>
              <w:rPr>
                <w:b/>
                <w:bCs/>
                <w:color w:val="auto"/>
              </w:rPr>
              <w:t>施工期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5000" w:type="pct"/>
            <w:vAlign w:val="center"/>
          </w:tcPr>
          <w:p>
            <w:pPr>
              <w:bidi w:val="0"/>
              <w:spacing w:line="240" w:lineRule="auto"/>
              <w:jc w:val="both"/>
              <w:rPr>
                <w:b/>
                <w:bCs/>
                <w:color w:val="auto"/>
              </w:rPr>
            </w:pPr>
            <w:r>
              <w:rPr>
                <w:b/>
                <w:bCs/>
                <w:color w:val="auto"/>
              </w:rPr>
              <w:t>生态影响</w:t>
            </w:r>
          </w:p>
          <w:p>
            <w:pPr>
              <w:bidi w:val="0"/>
              <w:ind w:firstLine="482" w:firstLineChars="200"/>
              <w:rPr>
                <w:b/>
                <w:bCs/>
                <w:color w:val="auto"/>
              </w:rPr>
            </w:pPr>
            <w:r>
              <w:rPr>
                <w:rFonts w:hint="eastAsia"/>
                <w:b/>
                <w:bCs/>
                <w:color w:val="auto"/>
                <w:lang w:val="en-US" w:eastAsia="zh-CN"/>
              </w:rPr>
              <w:t>1、</w:t>
            </w:r>
            <w:r>
              <w:rPr>
                <w:b/>
                <w:bCs/>
                <w:color w:val="auto"/>
              </w:rPr>
              <w:t>对土地利用的影响分析</w:t>
            </w:r>
          </w:p>
          <w:p>
            <w:pPr>
              <w:bidi w:val="0"/>
              <w:ind w:firstLine="482" w:firstLineChars="200"/>
              <w:rPr>
                <w:b/>
                <w:bCs/>
                <w:color w:val="auto"/>
              </w:rPr>
            </w:pPr>
            <w:r>
              <w:rPr>
                <w:b/>
                <w:bCs/>
                <w:color w:val="auto"/>
              </w:rPr>
              <w:t>（1）110kV北部滩升压站</w:t>
            </w:r>
          </w:p>
          <w:p>
            <w:pPr>
              <w:bidi w:val="0"/>
              <w:ind w:firstLine="480" w:firstLineChars="200"/>
              <w:rPr>
                <w:color w:val="auto"/>
              </w:rPr>
            </w:pPr>
            <w:r>
              <w:rPr>
                <w:color w:val="auto"/>
              </w:rPr>
              <w:t>110kV北部滩升压站永久占地面积28800m</w:t>
            </w:r>
            <w:r>
              <w:rPr>
                <w:color w:val="auto"/>
                <w:vertAlign w:val="superscript"/>
              </w:rPr>
              <w:t>2</w:t>
            </w:r>
            <w:r>
              <w:rPr>
                <w:color w:val="auto"/>
              </w:rPr>
              <w:t>，占地类型为裸土地，由于升压站占地面积相对较小，</w:t>
            </w:r>
            <w:r>
              <w:rPr>
                <w:rFonts w:hint="eastAsia"/>
                <w:color w:val="auto"/>
                <w:lang w:val="en-US" w:eastAsia="zh-CN"/>
              </w:rPr>
              <w:t>未</w:t>
            </w:r>
            <w:r>
              <w:rPr>
                <w:color w:val="auto"/>
              </w:rPr>
              <w:t>对区域土地利用结构产生大的影响。</w:t>
            </w:r>
          </w:p>
          <w:p>
            <w:pPr>
              <w:bidi w:val="0"/>
              <w:ind w:firstLine="482" w:firstLineChars="200"/>
              <w:rPr>
                <w:b/>
                <w:bCs/>
                <w:color w:val="auto"/>
              </w:rPr>
            </w:pPr>
            <w:r>
              <w:rPr>
                <w:b/>
                <w:bCs/>
                <w:color w:val="auto"/>
              </w:rPr>
              <w:t>（2）110kV输电线路</w:t>
            </w:r>
          </w:p>
          <w:p>
            <w:pPr>
              <w:bidi w:val="0"/>
              <w:ind w:firstLine="480" w:firstLineChars="200"/>
              <w:rPr>
                <w:color w:val="auto"/>
              </w:rPr>
            </w:pPr>
            <w:r>
              <w:rPr>
                <w:color w:val="auto"/>
              </w:rPr>
              <w:t>本工程不占用基本农田，临时占地包括牵张场和塔基临时施工场地，占地类型裸土 地。输电线路设计时，优化</w:t>
            </w:r>
            <w:r>
              <w:rPr>
                <w:rFonts w:hint="eastAsia"/>
                <w:color w:val="auto"/>
                <w:lang w:val="en-US" w:eastAsia="zh-CN"/>
              </w:rPr>
              <w:t>了</w:t>
            </w:r>
            <w:r>
              <w:rPr>
                <w:color w:val="auto"/>
              </w:rPr>
              <w:t>塔基选型及塔位布置，减少塔基区永久占地；尽量靠近现有道路架设线路，最大限度减少临时用地。施工时，严格落实</w:t>
            </w:r>
            <w:r>
              <w:rPr>
                <w:rFonts w:hint="eastAsia"/>
                <w:color w:val="auto"/>
                <w:lang w:val="en-US" w:eastAsia="zh-CN"/>
              </w:rPr>
              <w:t>了</w:t>
            </w:r>
            <w:r>
              <w:rPr>
                <w:color w:val="auto"/>
              </w:rPr>
              <w:t>水土保持方案报告提出的各项水土流失防治措施，以减少水土流失。施工结束后，除塔基四个支撑脚占地外，其余均采取</w:t>
            </w:r>
            <w:r>
              <w:rPr>
                <w:rFonts w:hint="eastAsia"/>
                <w:color w:val="auto"/>
                <w:lang w:val="en-US" w:eastAsia="zh-CN"/>
              </w:rPr>
              <w:t>了</w:t>
            </w:r>
            <w:r>
              <w:rPr>
                <w:color w:val="auto"/>
              </w:rPr>
              <w:t>土地整治，并积极恢复原有地貌。采取上述措施后，对工程沿线土地利用影响轻微，</w:t>
            </w:r>
            <w:r>
              <w:rPr>
                <w:rFonts w:hint="eastAsia"/>
                <w:color w:val="auto"/>
                <w:lang w:val="en-US" w:eastAsia="zh-CN"/>
              </w:rPr>
              <w:t>未</w:t>
            </w:r>
            <w:r>
              <w:rPr>
                <w:color w:val="auto"/>
              </w:rPr>
              <w:t>造成新的水土流失和土地生产力下降。</w:t>
            </w:r>
          </w:p>
          <w:p>
            <w:pPr>
              <w:bidi w:val="0"/>
              <w:ind w:firstLine="482" w:firstLineChars="200"/>
              <w:rPr>
                <w:b/>
                <w:bCs/>
                <w:color w:val="auto"/>
              </w:rPr>
            </w:pPr>
            <w:r>
              <w:rPr>
                <w:rFonts w:hint="eastAsia"/>
                <w:b/>
                <w:bCs/>
                <w:color w:val="auto"/>
                <w:lang w:val="en-US" w:eastAsia="zh-CN"/>
              </w:rPr>
              <w:t>2、</w:t>
            </w:r>
            <w:r>
              <w:rPr>
                <w:b/>
                <w:bCs/>
                <w:color w:val="auto"/>
              </w:rPr>
              <w:t>对植被的影响分析</w:t>
            </w:r>
          </w:p>
          <w:p>
            <w:pPr>
              <w:bidi w:val="0"/>
              <w:ind w:firstLine="482" w:firstLineChars="200"/>
              <w:rPr>
                <w:b/>
                <w:bCs/>
                <w:color w:val="auto"/>
              </w:rPr>
            </w:pPr>
            <w:r>
              <w:rPr>
                <w:b/>
                <w:bCs/>
                <w:color w:val="auto"/>
              </w:rPr>
              <w:t>（1）110kV北部滩升压站</w:t>
            </w:r>
          </w:p>
          <w:p>
            <w:pPr>
              <w:bidi w:val="0"/>
              <w:ind w:firstLine="480" w:firstLineChars="200"/>
              <w:rPr>
                <w:color w:val="auto"/>
              </w:rPr>
            </w:pPr>
            <w:r>
              <w:rPr>
                <w:color w:val="auto"/>
              </w:rPr>
              <w:t>110kV北部滩升压站不占用林地、草地、耕地等，升压站永久占地面积较小，临时占地在施工结束后采取</w:t>
            </w:r>
            <w:r>
              <w:rPr>
                <w:rFonts w:hint="eastAsia"/>
                <w:color w:val="auto"/>
                <w:lang w:val="en-US" w:eastAsia="zh-CN"/>
              </w:rPr>
              <w:t>了</w:t>
            </w:r>
            <w:r>
              <w:rPr>
                <w:color w:val="auto"/>
              </w:rPr>
              <w:t>土地整治等措施恢复原地貌，对生态影响较小。</w:t>
            </w:r>
          </w:p>
          <w:p>
            <w:pPr>
              <w:bidi w:val="0"/>
              <w:ind w:firstLine="482" w:firstLineChars="200"/>
              <w:rPr>
                <w:b/>
                <w:bCs/>
                <w:color w:val="auto"/>
              </w:rPr>
            </w:pPr>
            <w:r>
              <w:rPr>
                <w:b/>
                <w:bCs/>
                <w:color w:val="auto"/>
              </w:rPr>
              <w:t>（2）110kV输电线路</w:t>
            </w:r>
          </w:p>
          <w:p>
            <w:pPr>
              <w:bidi w:val="0"/>
              <w:ind w:firstLine="480" w:firstLineChars="200"/>
              <w:rPr>
                <w:color w:val="auto"/>
              </w:rPr>
            </w:pPr>
            <w:r>
              <w:rPr>
                <w:color w:val="auto"/>
              </w:rPr>
              <w:t>本工程输电线路经过的主要植被类型为骆驼蓬、白刺荒漠草丛，但退化较严重，生产力较低，且在当地较为普遍。塔基永久占地面积较小，施工过程中采取</w:t>
            </w:r>
            <w:r>
              <w:rPr>
                <w:rFonts w:hint="eastAsia"/>
                <w:color w:val="auto"/>
                <w:lang w:val="en-US" w:eastAsia="zh-CN"/>
              </w:rPr>
              <w:t>了</w:t>
            </w:r>
            <w:r>
              <w:rPr>
                <w:color w:val="auto"/>
              </w:rPr>
              <w:t>合理的施工方式及下垫措施，在工程结束后，通过自然恢复或人工促进的方式，该类植被</w:t>
            </w:r>
            <w:r>
              <w:rPr>
                <w:rFonts w:hint="eastAsia"/>
                <w:color w:val="auto"/>
                <w:lang w:val="en-US" w:eastAsia="zh-CN"/>
              </w:rPr>
              <w:t>已</w:t>
            </w:r>
            <w:r>
              <w:rPr>
                <w:color w:val="auto"/>
              </w:rPr>
              <w:t>逐渐恢复，影响较小。运行期线路运检会造成草丛植被少量的生产力和生物量损失，但扰动频率非常低，不会产生较大影响。</w:t>
            </w:r>
          </w:p>
          <w:p>
            <w:pPr>
              <w:bidi w:val="0"/>
              <w:ind w:firstLine="482" w:firstLineChars="200"/>
              <w:rPr>
                <w:b/>
                <w:bCs/>
                <w:color w:val="auto"/>
              </w:rPr>
            </w:pPr>
            <w:r>
              <w:rPr>
                <w:rFonts w:hint="eastAsia"/>
                <w:b/>
                <w:bCs/>
                <w:color w:val="auto"/>
                <w:lang w:val="en-US" w:eastAsia="zh-CN"/>
              </w:rPr>
              <w:t>3、</w:t>
            </w:r>
            <w:r>
              <w:rPr>
                <w:b/>
                <w:bCs/>
                <w:color w:val="auto"/>
              </w:rPr>
              <w:t>对野生动物的影响分析</w:t>
            </w:r>
          </w:p>
          <w:p>
            <w:pPr>
              <w:bidi w:val="0"/>
              <w:ind w:firstLine="480" w:firstLineChars="200"/>
              <w:rPr>
                <w:color w:val="auto"/>
              </w:rPr>
            </w:pPr>
            <w:r>
              <w:rPr>
                <w:color w:val="auto"/>
              </w:rPr>
              <w:t>（1）110kV北部滩升压站</w:t>
            </w:r>
          </w:p>
          <w:p>
            <w:pPr>
              <w:bidi w:val="0"/>
              <w:ind w:firstLine="480" w:firstLineChars="200"/>
              <w:rPr>
                <w:color w:val="auto"/>
              </w:rPr>
            </w:pPr>
            <w:r>
              <w:rPr>
                <w:color w:val="auto"/>
              </w:rPr>
              <w:t>本工程110kV北部滩升压站周围为裸土地，</w:t>
            </w:r>
            <w:r>
              <w:rPr>
                <w:rFonts w:hint="eastAsia"/>
                <w:color w:val="auto"/>
                <w:lang w:val="en-US" w:eastAsia="zh-CN"/>
              </w:rPr>
              <w:t>站区</w:t>
            </w:r>
            <w:r>
              <w:rPr>
                <w:color w:val="auto"/>
              </w:rPr>
              <w:t>内基本没有大型野生哺乳动物存在，只有啮齿类动物等小型哺乳动物以及少许鸟类。因此，本工程新建升压站对周围野生动物影响小。</w:t>
            </w:r>
          </w:p>
          <w:p>
            <w:pPr>
              <w:bidi w:val="0"/>
              <w:ind w:firstLine="482" w:firstLineChars="200"/>
              <w:rPr>
                <w:b/>
                <w:bCs/>
                <w:color w:val="auto"/>
              </w:rPr>
            </w:pPr>
          </w:p>
          <w:p>
            <w:pPr>
              <w:bidi w:val="0"/>
              <w:ind w:firstLine="482" w:firstLineChars="200"/>
              <w:rPr>
                <w:b/>
                <w:bCs/>
                <w:color w:val="auto"/>
              </w:rPr>
            </w:pPr>
            <w:r>
              <w:rPr>
                <w:b/>
                <w:bCs/>
                <w:color w:val="auto"/>
              </w:rPr>
              <w:t>（2）110kV输电线路</w:t>
            </w:r>
          </w:p>
          <w:p>
            <w:pPr>
              <w:bidi w:val="0"/>
              <w:ind w:firstLine="480" w:firstLineChars="200"/>
              <w:rPr>
                <w:color w:val="auto"/>
              </w:rPr>
            </w:pPr>
            <w:r>
              <w:rPr>
                <w:color w:val="auto"/>
              </w:rPr>
              <w:t>本工程施工时间短、施工点分散、施工人员少等原因，施工对动物的影响范围小，影响时间短，同时由于野生动物栖息环境和活动区域范围较大，食性广泛，且有一定迁移能力。本工程工程量小，施工期短而且集中，施工单位通过加强</w:t>
            </w:r>
            <w:r>
              <w:rPr>
                <w:rFonts w:hint="eastAsia"/>
                <w:color w:val="auto"/>
                <w:lang w:val="en-US" w:eastAsia="zh-CN"/>
              </w:rPr>
              <w:t>了</w:t>
            </w:r>
            <w:r>
              <w:rPr>
                <w:color w:val="auto"/>
              </w:rPr>
              <w:t>对施工人员保护野生动物的宣传教育，提高施工人员自觉保护野生动物的意识，</w:t>
            </w:r>
            <w:r>
              <w:rPr>
                <w:rFonts w:hint="eastAsia"/>
                <w:color w:val="auto"/>
                <w:lang w:val="en-US" w:eastAsia="zh-CN"/>
              </w:rPr>
              <w:t>未</w:t>
            </w:r>
            <w:r>
              <w:rPr>
                <w:color w:val="auto"/>
              </w:rPr>
              <w:t>对周边野生动物产生明显影响。</w:t>
            </w:r>
          </w:p>
          <w:p>
            <w:pPr>
              <w:bidi w:val="0"/>
              <w:ind w:firstLine="482" w:firstLineChars="200"/>
              <w:rPr>
                <w:b/>
                <w:bCs/>
                <w:color w:val="auto"/>
              </w:rPr>
            </w:pPr>
            <w:r>
              <w:rPr>
                <w:rFonts w:hint="eastAsia"/>
                <w:b/>
                <w:bCs/>
                <w:color w:val="auto"/>
                <w:lang w:val="en-US" w:eastAsia="zh-CN"/>
              </w:rPr>
              <w:t>4、</w:t>
            </w:r>
            <w:r>
              <w:rPr>
                <w:b/>
                <w:bCs/>
                <w:color w:val="auto"/>
              </w:rPr>
              <w:t>景观影响分析</w:t>
            </w:r>
          </w:p>
          <w:p>
            <w:pPr>
              <w:bidi w:val="0"/>
              <w:ind w:firstLine="480" w:firstLineChars="200"/>
              <w:rPr>
                <w:color w:val="auto"/>
              </w:rPr>
            </w:pPr>
            <w:r>
              <w:rPr>
                <w:color w:val="auto"/>
              </w:rPr>
              <w:t>工程沿线不涉及风景名胜区、旅游景点等，同时大多数线路段不在主干道沿线，因此本工程对沿线的景观影响较小。</w:t>
            </w:r>
          </w:p>
          <w:p>
            <w:pPr>
              <w:bidi w:val="0"/>
              <w:ind w:firstLine="482" w:firstLineChars="200"/>
              <w:rPr>
                <w:b/>
                <w:bCs/>
                <w:color w:val="auto"/>
              </w:rPr>
            </w:pPr>
            <w:r>
              <w:rPr>
                <w:rFonts w:hint="eastAsia"/>
                <w:b/>
                <w:bCs/>
                <w:color w:val="auto"/>
                <w:lang w:val="en-US" w:eastAsia="zh-CN"/>
              </w:rPr>
              <w:t>5、</w:t>
            </w:r>
            <w:r>
              <w:rPr>
                <w:b/>
                <w:bCs/>
                <w:color w:val="auto"/>
              </w:rPr>
              <w:t>对农业生态的影响分析</w:t>
            </w:r>
          </w:p>
          <w:p>
            <w:pPr>
              <w:bidi w:val="0"/>
              <w:ind w:firstLine="482" w:firstLineChars="200"/>
              <w:rPr>
                <w:b/>
                <w:bCs/>
                <w:color w:val="auto"/>
              </w:rPr>
            </w:pPr>
            <w:r>
              <w:rPr>
                <w:b/>
                <w:bCs/>
                <w:color w:val="auto"/>
              </w:rPr>
              <w:t>（1）110kV北部滩升压站</w:t>
            </w:r>
          </w:p>
          <w:p>
            <w:pPr>
              <w:bidi w:val="0"/>
              <w:ind w:firstLine="480" w:firstLineChars="200"/>
              <w:rPr>
                <w:color w:val="auto"/>
              </w:rPr>
            </w:pPr>
            <w:r>
              <w:rPr>
                <w:color w:val="auto"/>
              </w:rPr>
              <w:t>本工程110kV北部滩升压站永久占地和临时占地类型为裸土地，不占用农业，因此，不会对农业生态造成影响。</w:t>
            </w:r>
          </w:p>
          <w:p>
            <w:pPr>
              <w:bidi w:val="0"/>
              <w:ind w:firstLine="482" w:firstLineChars="200"/>
              <w:rPr>
                <w:b/>
                <w:bCs/>
                <w:color w:val="auto"/>
              </w:rPr>
            </w:pPr>
            <w:r>
              <w:rPr>
                <w:b/>
                <w:bCs/>
                <w:color w:val="auto"/>
              </w:rPr>
              <w:t>（2）330kV输电线路</w:t>
            </w:r>
          </w:p>
          <w:p>
            <w:pPr>
              <w:bidi w:val="0"/>
              <w:ind w:firstLine="480" w:firstLineChars="200"/>
              <w:rPr>
                <w:color w:val="auto"/>
              </w:rPr>
            </w:pPr>
            <w:r>
              <w:rPr>
                <w:color w:val="auto"/>
              </w:rPr>
              <w:t>本工程输电线路沿线不占用耕地，对农业生态影响较小。</w:t>
            </w:r>
          </w:p>
          <w:p>
            <w:pPr>
              <w:bidi w:val="0"/>
              <w:ind w:firstLine="482" w:firstLineChars="200"/>
              <w:rPr>
                <w:b/>
                <w:bCs/>
                <w:color w:val="auto"/>
              </w:rPr>
            </w:pPr>
            <w:r>
              <w:rPr>
                <w:rFonts w:hint="eastAsia"/>
                <w:b/>
                <w:bCs/>
                <w:color w:val="auto"/>
                <w:lang w:val="en-US" w:eastAsia="zh-CN"/>
              </w:rPr>
              <w:t>6、</w:t>
            </w:r>
            <w:r>
              <w:rPr>
                <w:b/>
                <w:bCs/>
                <w:color w:val="auto"/>
              </w:rPr>
              <w:t>临时工程的影响</w:t>
            </w:r>
          </w:p>
          <w:p>
            <w:pPr>
              <w:bidi w:val="0"/>
              <w:ind w:firstLine="480" w:firstLineChars="200"/>
              <w:rPr>
                <w:color w:val="auto"/>
              </w:rPr>
            </w:pPr>
            <w:r>
              <w:rPr>
                <w:color w:val="auto"/>
              </w:rPr>
              <w:t>本项目新建施工便道4.4km，宽度为3.5m，施工便道占地面积为15400m</w:t>
            </w:r>
            <w:r>
              <w:rPr>
                <w:color w:val="auto"/>
                <w:vertAlign w:val="superscript"/>
              </w:rPr>
              <w:t>2</w:t>
            </w:r>
            <w:r>
              <w:rPr>
                <w:color w:val="auto"/>
              </w:rPr>
              <w:t>。设置1处牵张场，牵张场的面积约为200m</w:t>
            </w:r>
            <w:r>
              <w:rPr>
                <w:color w:val="auto"/>
                <w:vertAlign w:val="superscript"/>
              </w:rPr>
              <w:t>2</w:t>
            </w:r>
            <w:r>
              <w:rPr>
                <w:color w:val="auto"/>
              </w:rPr>
              <w:t>。塔基施工场地总占地面积为850m</w:t>
            </w:r>
            <w:r>
              <w:rPr>
                <w:color w:val="auto"/>
                <w:vertAlign w:val="superscript"/>
              </w:rPr>
              <w:t>2</w:t>
            </w:r>
            <w:r>
              <w:rPr>
                <w:color w:val="auto"/>
              </w:rPr>
              <w:t>，施工期间采取</w:t>
            </w:r>
            <w:r>
              <w:rPr>
                <w:rFonts w:hint="eastAsia"/>
                <w:color w:val="auto"/>
                <w:lang w:val="en-US" w:eastAsia="zh-CN"/>
              </w:rPr>
              <w:t>了</w:t>
            </w:r>
            <w:r>
              <w:rPr>
                <w:color w:val="auto"/>
              </w:rPr>
              <w:t>以下措施：</w:t>
            </w:r>
          </w:p>
          <w:p>
            <w:pPr>
              <w:bidi w:val="0"/>
              <w:ind w:firstLine="480" w:firstLineChars="200"/>
              <w:rPr>
                <w:color w:val="auto"/>
              </w:rPr>
            </w:pPr>
            <w:r>
              <w:rPr>
                <w:color w:val="auto"/>
              </w:rPr>
              <w:t>严格控制塔基开挖面积，严格控制临时占地面积，尽及时清运施工废物，尽量保护周围植被。施工期严格限定施工范围，</w:t>
            </w:r>
            <w:r>
              <w:rPr>
                <w:rFonts w:hint="eastAsia"/>
                <w:color w:val="auto"/>
                <w:lang w:val="en-US" w:eastAsia="zh-CN"/>
              </w:rPr>
              <w:t>未</w:t>
            </w:r>
            <w:r>
              <w:rPr>
                <w:color w:val="auto"/>
              </w:rPr>
              <w:t>随意破坏和占用额外土地。施工中尽量减少植被占压、破坏，尽量选择未利用地为临时用地。牵张场及材料堆放场地采取下垫措施。施工结束后对施工便道、牵张场、塔基施工区域等临时施工场地进行</w:t>
            </w:r>
            <w:r>
              <w:rPr>
                <w:rFonts w:hint="eastAsia"/>
                <w:color w:val="auto"/>
                <w:lang w:val="en-US" w:eastAsia="zh-CN"/>
              </w:rPr>
              <w:t>了</w:t>
            </w:r>
            <w:r>
              <w:rPr>
                <w:color w:val="auto"/>
              </w:rPr>
              <w:t>土地整治，恢复为原有地貌类型。合理选择施工便道，尽可能利用已有道路，减少施工便道的修筑。临时堆土用密目网进行</w:t>
            </w:r>
            <w:r>
              <w:rPr>
                <w:rFonts w:hint="eastAsia"/>
                <w:color w:val="auto"/>
                <w:lang w:val="en-US" w:eastAsia="zh-CN"/>
              </w:rPr>
              <w:t>了</w:t>
            </w:r>
            <w:r>
              <w:rPr>
                <w:color w:val="auto"/>
              </w:rPr>
              <w:t>苫盖，降低水土流失。</w:t>
            </w:r>
          </w:p>
          <w:p>
            <w:pPr>
              <w:bidi w:val="0"/>
              <w:ind w:firstLine="480" w:firstLineChars="200"/>
              <w:rPr>
                <w:color w:val="auto"/>
                <w:spacing w:val="-1"/>
              </w:rPr>
            </w:pPr>
            <w:r>
              <w:rPr>
                <w:color w:val="auto"/>
              </w:rPr>
              <w:t>采取以上措施后，施工便道、牵张场及塔基施工场地等临时工程对区域生态环境产生的影响较小。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5000" w:type="pct"/>
            <w:vAlign w:val="center"/>
          </w:tcPr>
          <w:p>
            <w:pPr>
              <w:bidi w:val="0"/>
              <w:spacing w:line="240" w:lineRule="auto"/>
              <w:jc w:val="both"/>
              <w:rPr>
                <w:b/>
                <w:bCs/>
                <w:color w:val="auto"/>
              </w:rPr>
            </w:pPr>
            <w:r>
              <w:rPr>
                <w:b/>
                <w:bCs/>
                <w:color w:val="auto"/>
              </w:rPr>
              <w:t>污染影响</w:t>
            </w:r>
          </w:p>
          <w:p>
            <w:pPr>
              <w:bidi w:val="0"/>
              <w:ind w:firstLine="482" w:firstLineChars="200"/>
              <w:rPr>
                <w:b/>
                <w:bCs/>
                <w:color w:val="auto"/>
              </w:rPr>
            </w:pPr>
            <w:r>
              <w:rPr>
                <w:rFonts w:hint="eastAsia"/>
                <w:b/>
                <w:bCs/>
                <w:color w:val="auto"/>
                <w:lang w:val="en-US" w:eastAsia="zh-CN"/>
              </w:rPr>
              <w:t>1、</w:t>
            </w:r>
            <w:r>
              <w:rPr>
                <w:b/>
                <w:bCs/>
                <w:color w:val="auto"/>
              </w:rPr>
              <w:t>声环境影响</w:t>
            </w:r>
          </w:p>
          <w:p>
            <w:pPr>
              <w:bidi w:val="0"/>
              <w:ind w:firstLine="480" w:firstLineChars="200"/>
              <w:jc w:val="left"/>
              <w:rPr>
                <w:color w:val="auto"/>
              </w:rPr>
            </w:pPr>
            <w:r>
              <w:rPr>
                <w:color w:val="auto"/>
              </w:rPr>
              <w:t>本工程施工期间噪声主要包括施工机械噪声和运输车辆噪声，主要设备声噪声源强参照表</w:t>
            </w:r>
            <w:r>
              <w:rPr>
                <w:rFonts w:hint="eastAsia"/>
                <w:color w:val="auto"/>
                <w:lang w:val="en-US" w:eastAsia="zh-CN"/>
              </w:rPr>
              <w:t>8-</w:t>
            </w:r>
            <w:r>
              <w:rPr>
                <w:color w:val="auto"/>
              </w:rPr>
              <w:t>1（依据《环境噪声与振动控制工程技术导则》（HJ2034-2013）中给出的常见施工设备噪声源强范围指，取其平均值）。</w:t>
            </w:r>
          </w:p>
          <w:p>
            <w:pPr>
              <w:bidi w:val="0"/>
              <w:spacing w:line="240" w:lineRule="auto"/>
              <w:jc w:val="center"/>
              <w:rPr>
                <w:b/>
                <w:bCs/>
                <w:color w:val="auto"/>
              </w:rPr>
            </w:pPr>
            <w:r>
              <w:rPr>
                <w:b/>
                <w:bCs/>
                <w:color w:val="auto"/>
              </w:rPr>
              <w:t xml:space="preserve">表 </w:t>
            </w:r>
            <w:r>
              <w:rPr>
                <w:rFonts w:hint="eastAsia"/>
                <w:b/>
                <w:bCs/>
                <w:color w:val="auto"/>
                <w:lang w:val="en-US" w:eastAsia="zh-CN"/>
              </w:rPr>
              <w:t>8</w:t>
            </w:r>
            <w:r>
              <w:rPr>
                <w:b/>
                <w:bCs/>
                <w:color w:val="auto"/>
              </w:rPr>
              <w:t>-1    施工设备噪声源强表  单位：dB（A）</w:t>
            </w:r>
          </w:p>
          <w:tbl>
            <w:tblPr>
              <w:tblStyle w:val="15"/>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889"/>
              <w:gridCol w:w="3617"/>
              <w:gridCol w:w="385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97" w:hRule="atLeast"/>
              </w:trPr>
              <w:tc>
                <w:tcPr>
                  <w:tcW w:w="1009" w:type="pct"/>
                  <w:vAlign w:val="center"/>
                </w:tcPr>
                <w:p>
                  <w:pPr>
                    <w:bidi w:val="0"/>
                    <w:spacing w:line="240" w:lineRule="auto"/>
                    <w:jc w:val="center"/>
                    <w:rPr>
                      <w:b/>
                      <w:bCs/>
                      <w:color w:val="auto"/>
                      <w:sz w:val="21"/>
                      <w:szCs w:val="21"/>
                    </w:rPr>
                  </w:pPr>
                  <w:r>
                    <w:rPr>
                      <w:b/>
                      <w:bCs/>
                      <w:color w:val="auto"/>
                      <w:sz w:val="21"/>
                      <w:szCs w:val="21"/>
                    </w:rPr>
                    <w:t>序号</w:t>
                  </w:r>
                </w:p>
              </w:tc>
              <w:tc>
                <w:tcPr>
                  <w:tcW w:w="1931" w:type="pct"/>
                  <w:vAlign w:val="center"/>
                </w:tcPr>
                <w:p>
                  <w:pPr>
                    <w:bidi w:val="0"/>
                    <w:spacing w:line="240" w:lineRule="auto"/>
                    <w:jc w:val="center"/>
                    <w:rPr>
                      <w:b/>
                      <w:bCs/>
                      <w:color w:val="auto"/>
                      <w:sz w:val="21"/>
                      <w:szCs w:val="21"/>
                    </w:rPr>
                  </w:pPr>
                  <w:r>
                    <w:rPr>
                      <w:b/>
                      <w:bCs/>
                      <w:color w:val="auto"/>
                      <w:sz w:val="21"/>
                      <w:szCs w:val="21"/>
                    </w:rPr>
                    <w:t>施工设备名称</w:t>
                  </w:r>
                </w:p>
              </w:tc>
              <w:tc>
                <w:tcPr>
                  <w:tcW w:w="2058" w:type="pct"/>
                  <w:vAlign w:val="center"/>
                </w:tcPr>
                <w:p>
                  <w:pPr>
                    <w:bidi w:val="0"/>
                    <w:spacing w:line="240" w:lineRule="auto"/>
                    <w:jc w:val="center"/>
                    <w:rPr>
                      <w:b/>
                      <w:bCs/>
                      <w:color w:val="auto"/>
                      <w:sz w:val="21"/>
                      <w:szCs w:val="21"/>
                    </w:rPr>
                  </w:pPr>
                  <w:r>
                    <w:rPr>
                      <w:b/>
                      <w:bCs/>
                      <w:color w:val="auto"/>
                      <w:sz w:val="21"/>
                      <w:szCs w:val="21"/>
                    </w:rPr>
                    <w:t>距声源5m处</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09" w:type="pct"/>
                  <w:vAlign w:val="center"/>
                </w:tcPr>
                <w:p>
                  <w:pPr>
                    <w:bidi w:val="0"/>
                    <w:spacing w:line="240" w:lineRule="auto"/>
                    <w:jc w:val="center"/>
                    <w:rPr>
                      <w:color w:val="auto"/>
                      <w:sz w:val="21"/>
                      <w:szCs w:val="21"/>
                    </w:rPr>
                  </w:pPr>
                  <w:r>
                    <w:rPr>
                      <w:color w:val="auto"/>
                      <w:sz w:val="21"/>
                      <w:szCs w:val="21"/>
                    </w:rPr>
                    <w:t>1</w:t>
                  </w:r>
                </w:p>
              </w:tc>
              <w:tc>
                <w:tcPr>
                  <w:tcW w:w="1931" w:type="pct"/>
                  <w:vAlign w:val="center"/>
                </w:tcPr>
                <w:p>
                  <w:pPr>
                    <w:bidi w:val="0"/>
                    <w:spacing w:line="240" w:lineRule="auto"/>
                    <w:jc w:val="center"/>
                    <w:rPr>
                      <w:color w:val="auto"/>
                      <w:sz w:val="21"/>
                      <w:szCs w:val="21"/>
                    </w:rPr>
                  </w:pPr>
                  <w:r>
                    <w:rPr>
                      <w:color w:val="auto"/>
                      <w:sz w:val="21"/>
                      <w:szCs w:val="21"/>
                    </w:rPr>
                    <w:t>电动挖掘机</w:t>
                  </w:r>
                </w:p>
              </w:tc>
              <w:tc>
                <w:tcPr>
                  <w:tcW w:w="2058" w:type="pct"/>
                  <w:vAlign w:val="center"/>
                </w:tcPr>
                <w:p>
                  <w:pPr>
                    <w:bidi w:val="0"/>
                    <w:spacing w:line="240" w:lineRule="auto"/>
                    <w:jc w:val="center"/>
                    <w:rPr>
                      <w:color w:val="auto"/>
                      <w:sz w:val="21"/>
                      <w:szCs w:val="21"/>
                    </w:rPr>
                  </w:pPr>
                  <w:r>
                    <w:rPr>
                      <w:color w:val="auto"/>
                      <w:sz w:val="21"/>
                      <w:szCs w:val="21"/>
                    </w:rPr>
                    <w:t>80~86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09" w:type="pct"/>
                  <w:vAlign w:val="center"/>
                </w:tcPr>
                <w:p>
                  <w:pPr>
                    <w:bidi w:val="0"/>
                    <w:spacing w:line="240" w:lineRule="auto"/>
                    <w:jc w:val="center"/>
                    <w:rPr>
                      <w:color w:val="auto"/>
                      <w:sz w:val="21"/>
                      <w:szCs w:val="21"/>
                    </w:rPr>
                  </w:pPr>
                  <w:r>
                    <w:rPr>
                      <w:color w:val="auto"/>
                      <w:sz w:val="21"/>
                      <w:szCs w:val="21"/>
                    </w:rPr>
                    <w:t>2</w:t>
                  </w:r>
                </w:p>
              </w:tc>
              <w:tc>
                <w:tcPr>
                  <w:tcW w:w="1931" w:type="pct"/>
                  <w:vAlign w:val="center"/>
                </w:tcPr>
                <w:p>
                  <w:pPr>
                    <w:bidi w:val="0"/>
                    <w:spacing w:line="240" w:lineRule="auto"/>
                    <w:jc w:val="center"/>
                    <w:rPr>
                      <w:color w:val="auto"/>
                      <w:sz w:val="21"/>
                      <w:szCs w:val="21"/>
                    </w:rPr>
                  </w:pPr>
                  <w:r>
                    <w:rPr>
                      <w:color w:val="auto"/>
                      <w:sz w:val="21"/>
                      <w:szCs w:val="21"/>
                    </w:rPr>
                    <w:t>轮式装载机</w:t>
                  </w:r>
                </w:p>
              </w:tc>
              <w:tc>
                <w:tcPr>
                  <w:tcW w:w="2058" w:type="pct"/>
                  <w:vAlign w:val="center"/>
                </w:tcPr>
                <w:p>
                  <w:pPr>
                    <w:bidi w:val="0"/>
                    <w:spacing w:line="240" w:lineRule="auto"/>
                    <w:jc w:val="center"/>
                    <w:rPr>
                      <w:color w:val="auto"/>
                      <w:sz w:val="21"/>
                      <w:szCs w:val="21"/>
                    </w:rPr>
                  </w:pPr>
                  <w:r>
                    <w:rPr>
                      <w:color w:val="auto"/>
                      <w:sz w:val="21"/>
                      <w:szCs w:val="21"/>
                    </w:rPr>
                    <w:t>90~95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09" w:type="pct"/>
                  <w:vAlign w:val="center"/>
                </w:tcPr>
                <w:p>
                  <w:pPr>
                    <w:bidi w:val="0"/>
                    <w:spacing w:line="240" w:lineRule="auto"/>
                    <w:jc w:val="center"/>
                    <w:rPr>
                      <w:color w:val="auto"/>
                      <w:sz w:val="21"/>
                      <w:szCs w:val="21"/>
                    </w:rPr>
                  </w:pPr>
                  <w:r>
                    <w:rPr>
                      <w:color w:val="auto"/>
                      <w:sz w:val="21"/>
                      <w:szCs w:val="21"/>
                    </w:rPr>
                    <w:t>3</w:t>
                  </w:r>
                </w:p>
              </w:tc>
              <w:tc>
                <w:tcPr>
                  <w:tcW w:w="1931" w:type="pct"/>
                  <w:vAlign w:val="center"/>
                </w:tcPr>
                <w:p>
                  <w:pPr>
                    <w:bidi w:val="0"/>
                    <w:spacing w:line="240" w:lineRule="auto"/>
                    <w:jc w:val="center"/>
                    <w:rPr>
                      <w:color w:val="auto"/>
                      <w:sz w:val="21"/>
                      <w:szCs w:val="21"/>
                    </w:rPr>
                  </w:pPr>
                  <w:r>
                    <w:rPr>
                      <w:color w:val="auto"/>
                      <w:sz w:val="21"/>
                      <w:szCs w:val="21"/>
                    </w:rPr>
                    <w:t>推土机</w:t>
                  </w:r>
                </w:p>
              </w:tc>
              <w:tc>
                <w:tcPr>
                  <w:tcW w:w="2058" w:type="pct"/>
                  <w:vAlign w:val="center"/>
                </w:tcPr>
                <w:p>
                  <w:pPr>
                    <w:bidi w:val="0"/>
                    <w:spacing w:line="240" w:lineRule="auto"/>
                    <w:jc w:val="center"/>
                    <w:rPr>
                      <w:color w:val="auto"/>
                      <w:sz w:val="21"/>
                      <w:szCs w:val="21"/>
                    </w:rPr>
                  </w:pPr>
                  <w:r>
                    <w:rPr>
                      <w:color w:val="auto"/>
                      <w:sz w:val="21"/>
                      <w:szCs w:val="21"/>
                    </w:rPr>
                    <w:t>83~88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09" w:type="pct"/>
                  <w:vAlign w:val="center"/>
                </w:tcPr>
                <w:p>
                  <w:pPr>
                    <w:bidi w:val="0"/>
                    <w:spacing w:line="240" w:lineRule="auto"/>
                    <w:jc w:val="center"/>
                    <w:rPr>
                      <w:color w:val="auto"/>
                      <w:sz w:val="21"/>
                      <w:szCs w:val="21"/>
                    </w:rPr>
                  </w:pPr>
                  <w:r>
                    <w:rPr>
                      <w:color w:val="auto"/>
                      <w:sz w:val="21"/>
                      <w:szCs w:val="21"/>
                    </w:rPr>
                    <w:t>4</w:t>
                  </w:r>
                </w:p>
              </w:tc>
              <w:tc>
                <w:tcPr>
                  <w:tcW w:w="1931" w:type="pct"/>
                  <w:vAlign w:val="center"/>
                </w:tcPr>
                <w:p>
                  <w:pPr>
                    <w:bidi w:val="0"/>
                    <w:spacing w:line="240" w:lineRule="auto"/>
                    <w:jc w:val="center"/>
                    <w:rPr>
                      <w:color w:val="auto"/>
                      <w:sz w:val="21"/>
                      <w:szCs w:val="21"/>
                    </w:rPr>
                  </w:pPr>
                  <w:r>
                    <w:rPr>
                      <w:color w:val="auto"/>
                      <w:sz w:val="21"/>
                      <w:szCs w:val="21"/>
                    </w:rPr>
                    <w:t>重型运输车</w:t>
                  </w:r>
                </w:p>
              </w:tc>
              <w:tc>
                <w:tcPr>
                  <w:tcW w:w="2058" w:type="pct"/>
                  <w:vAlign w:val="center"/>
                </w:tcPr>
                <w:p>
                  <w:pPr>
                    <w:bidi w:val="0"/>
                    <w:spacing w:line="240" w:lineRule="auto"/>
                    <w:jc w:val="center"/>
                    <w:rPr>
                      <w:color w:val="auto"/>
                      <w:sz w:val="21"/>
                      <w:szCs w:val="21"/>
                    </w:rPr>
                  </w:pPr>
                  <w:r>
                    <w:rPr>
                      <w:color w:val="auto"/>
                      <w:sz w:val="21"/>
                      <w:szCs w:val="21"/>
                    </w:rPr>
                    <w:t>82~90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09" w:type="pct"/>
                  <w:vAlign w:val="center"/>
                </w:tcPr>
                <w:p>
                  <w:pPr>
                    <w:bidi w:val="0"/>
                    <w:spacing w:line="240" w:lineRule="auto"/>
                    <w:jc w:val="center"/>
                    <w:rPr>
                      <w:color w:val="auto"/>
                      <w:sz w:val="21"/>
                      <w:szCs w:val="21"/>
                    </w:rPr>
                  </w:pPr>
                  <w:r>
                    <w:rPr>
                      <w:color w:val="auto"/>
                      <w:sz w:val="21"/>
                      <w:szCs w:val="21"/>
                    </w:rPr>
                    <w:t>5</w:t>
                  </w:r>
                </w:p>
              </w:tc>
              <w:tc>
                <w:tcPr>
                  <w:tcW w:w="1931" w:type="pct"/>
                  <w:vAlign w:val="center"/>
                </w:tcPr>
                <w:p>
                  <w:pPr>
                    <w:bidi w:val="0"/>
                    <w:spacing w:line="240" w:lineRule="auto"/>
                    <w:jc w:val="center"/>
                    <w:rPr>
                      <w:color w:val="auto"/>
                      <w:sz w:val="21"/>
                      <w:szCs w:val="21"/>
                    </w:rPr>
                  </w:pPr>
                  <w:r>
                    <w:rPr>
                      <w:color w:val="auto"/>
                      <w:sz w:val="21"/>
                      <w:szCs w:val="21"/>
                    </w:rPr>
                    <w:t>振动夯锤</w:t>
                  </w:r>
                </w:p>
              </w:tc>
              <w:tc>
                <w:tcPr>
                  <w:tcW w:w="2058" w:type="pct"/>
                  <w:vAlign w:val="center"/>
                </w:tcPr>
                <w:p>
                  <w:pPr>
                    <w:bidi w:val="0"/>
                    <w:spacing w:line="240" w:lineRule="auto"/>
                    <w:jc w:val="center"/>
                    <w:rPr>
                      <w:color w:val="auto"/>
                      <w:sz w:val="21"/>
                      <w:szCs w:val="21"/>
                    </w:rPr>
                  </w:pPr>
                  <w:r>
                    <w:rPr>
                      <w:color w:val="auto"/>
                      <w:sz w:val="21"/>
                      <w:szCs w:val="21"/>
                    </w:rPr>
                    <w:t>92~ 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09" w:type="pct"/>
                  <w:vAlign w:val="center"/>
                </w:tcPr>
                <w:p>
                  <w:pPr>
                    <w:bidi w:val="0"/>
                    <w:spacing w:line="240" w:lineRule="auto"/>
                    <w:jc w:val="center"/>
                    <w:rPr>
                      <w:color w:val="auto"/>
                      <w:sz w:val="21"/>
                      <w:szCs w:val="21"/>
                    </w:rPr>
                  </w:pPr>
                  <w:r>
                    <w:rPr>
                      <w:color w:val="auto"/>
                      <w:sz w:val="21"/>
                      <w:szCs w:val="21"/>
                    </w:rPr>
                    <w:t>6</w:t>
                  </w:r>
                </w:p>
              </w:tc>
              <w:tc>
                <w:tcPr>
                  <w:tcW w:w="1931" w:type="pct"/>
                  <w:vAlign w:val="center"/>
                </w:tcPr>
                <w:p>
                  <w:pPr>
                    <w:bidi w:val="0"/>
                    <w:spacing w:line="240" w:lineRule="auto"/>
                    <w:jc w:val="center"/>
                    <w:rPr>
                      <w:color w:val="auto"/>
                      <w:sz w:val="21"/>
                      <w:szCs w:val="21"/>
                    </w:rPr>
                  </w:pPr>
                  <w:r>
                    <w:rPr>
                      <w:color w:val="auto"/>
                      <w:sz w:val="21"/>
                      <w:szCs w:val="21"/>
                    </w:rPr>
                    <w:t>静力压桩机</w:t>
                  </w:r>
                </w:p>
              </w:tc>
              <w:tc>
                <w:tcPr>
                  <w:tcW w:w="2058" w:type="pct"/>
                  <w:vAlign w:val="center"/>
                </w:tcPr>
                <w:p>
                  <w:pPr>
                    <w:bidi w:val="0"/>
                    <w:spacing w:line="240" w:lineRule="auto"/>
                    <w:jc w:val="center"/>
                    <w:rPr>
                      <w:color w:val="auto"/>
                      <w:sz w:val="21"/>
                      <w:szCs w:val="21"/>
                    </w:rPr>
                  </w:pPr>
                  <w:r>
                    <w:rPr>
                      <w:color w:val="auto"/>
                      <w:sz w:val="21"/>
                      <w:szCs w:val="21"/>
                    </w:rPr>
                    <w:t>70~75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09" w:type="pct"/>
                  <w:vAlign w:val="center"/>
                </w:tcPr>
                <w:p>
                  <w:pPr>
                    <w:bidi w:val="0"/>
                    <w:spacing w:line="240" w:lineRule="auto"/>
                    <w:jc w:val="center"/>
                    <w:rPr>
                      <w:color w:val="auto"/>
                      <w:sz w:val="21"/>
                      <w:szCs w:val="21"/>
                    </w:rPr>
                  </w:pPr>
                  <w:r>
                    <w:rPr>
                      <w:color w:val="auto"/>
                      <w:sz w:val="21"/>
                      <w:szCs w:val="21"/>
                    </w:rPr>
                    <w:t>7</w:t>
                  </w:r>
                </w:p>
              </w:tc>
              <w:tc>
                <w:tcPr>
                  <w:tcW w:w="1931" w:type="pct"/>
                  <w:vAlign w:val="center"/>
                </w:tcPr>
                <w:p>
                  <w:pPr>
                    <w:bidi w:val="0"/>
                    <w:spacing w:line="240" w:lineRule="auto"/>
                    <w:jc w:val="center"/>
                    <w:rPr>
                      <w:color w:val="auto"/>
                      <w:sz w:val="21"/>
                      <w:szCs w:val="21"/>
                    </w:rPr>
                  </w:pPr>
                  <w:r>
                    <w:rPr>
                      <w:color w:val="auto"/>
                      <w:sz w:val="21"/>
                      <w:szCs w:val="21"/>
                    </w:rPr>
                    <w:t>空压机.</w:t>
                  </w:r>
                </w:p>
              </w:tc>
              <w:tc>
                <w:tcPr>
                  <w:tcW w:w="2058" w:type="pct"/>
                  <w:vAlign w:val="center"/>
                </w:tcPr>
                <w:p>
                  <w:pPr>
                    <w:bidi w:val="0"/>
                    <w:spacing w:line="240" w:lineRule="auto"/>
                    <w:jc w:val="center"/>
                    <w:rPr>
                      <w:color w:val="auto"/>
                      <w:sz w:val="21"/>
                      <w:szCs w:val="21"/>
                    </w:rPr>
                  </w:pPr>
                  <w:r>
                    <w:rPr>
                      <w:color w:val="auto"/>
                      <w:sz w:val="21"/>
                      <w:szCs w:val="21"/>
                    </w:rPr>
                    <w:t>88~92</w:t>
                  </w:r>
                </w:p>
              </w:tc>
            </w:tr>
          </w:tbl>
          <w:p>
            <w:pPr>
              <w:bidi w:val="0"/>
              <w:ind w:firstLine="480" w:firstLineChars="200"/>
              <w:rPr>
                <w:rFonts w:hint="default" w:ascii="Times New Roman" w:hAnsi="Times New Roman" w:eastAsia="宋体"/>
                <w:color w:val="auto"/>
                <w:lang w:val="en-US" w:eastAsia="zh-CN"/>
              </w:rPr>
            </w:pPr>
            <w:r>
              <w:rPr>
                <w:rFonts w:hint="eastAsia"/>
                <w:color w:val="auto"/>
                <w:lang w:val="en-US" w:eastAsia="zh-CN"/>
              </w:rPr>
              <w:t>建设单位</w:t>
            </w:r>
            <w:r>
              <w:rPr>
                <w:rFonts w:hint="default" w:ascii="Times New Roman" w:hAnsi="Times New Roman" w:eastAsia="宋体"/>
                <w:color w:val="auto"/>
                <w:lang w:val="en-US" w:eastAsia="zh-CN"/>
              </w:rPr>
              <w:t>采用低噪声设备；装卸车辆进出场地限速；加强机械设备、运输车辆的保养维修，使其处于良好的工作状态。合理安排时间：根据季节制定作息时间，合理安排施工计划，避免高噪声设备同时施工、持续作业</w:t>
            </w:r>
            <w:r>
              <w:rPr>
                <w:rFonts w:hint="eastAsia" w:ascii="Times New Roman" w:hAnsi="Times New Roman" w:eastAsia="宋体"/>
                <w:color w:val="auto"/>
                <w:lang w:val="en-US" w:eastAsia="zh-CN"/>
              </w:rPr>
              <w:t>，禁止夜间施工</w:t>
            </w:r>
            <w:r>
              <w:rPr>
                <w:rFonts w:hint="default" w:ascii="Times New Roman" w:hAnsi="Times New Roman" w:eastAsia="宋体"/>
                <w:color w:val="auto"/>
                <w:lang w:val="en-US" w:eastAsia="zh-CN"/>
              </w:rPr>
              <w:t>；优化操作方式：对于位置相对固定的设备，置于操作间内。严格遵守操作规程，降低人为噪声。</w:t>
            </w:r>
          </w:p>
          <w:p>
            <w:pPr>
              <w:bidi w:val="0"/>
              <w:ind w:firstLine="480" w:firstLineChars="200"/>
              <w:rPr>
                <w:rFonts w:ascii="Times New Roman" w:hAnsi="Times New Roman" w:eastAsia="宋体"/>
                <w:color w:val="auto"/>
              </w:rPr>
            </w:pPr>
            <w:r>
              <w:rPr>
                <w:rFonts w:hint="default" w:ascii="Times New Roman" w:hAnsi="Times New Roman" w:eastAsia="宋体"/>
                <w:color w:val="auto"/>
                <w:lang w:val="en-US" w:eastAsia="zh-CN"/>
              </w:rPr>
              <w:t>采取上述措施后，可有效减轻施工噪声影响，并满足《建筑施工场界环境噪声排放标准》（GB12523-2011）中规定的限值</w:t>
            </w:r>
            <w:r>
              <w:rPr>
                <w:rFonts w:hint="eastAsia" w:ascii="Times New Roman" w:hAnsi="Times New Roman" w:eastAsia="宋体"/>
                <w:color w:val="auto"/>
                <w:lang w:val="en-US" w:eastAsia="zh-CN"/>
              </w:rPr>
              <w:t>，措施可行。</w:t>
            </w:r>
            <w:r>
              <w:rPr>
                <w:rFonts w:ascii="Times New Roman" w:hAnsi="Times New Roman" w:eastAsia="宋体"/>
                <w:color w:val="auto"/>
              </w:rPr>
              <w:t>无投诉情况。</w:t>
            </w:r>
          </w:p>
          <w:p>
            <w:pPr>
              <w:bidi w:val="0"/>
              <w:ind w:firstLine="482" w:firstLineChars="200"/>
              <w:rPr>
                <w:b/>
                <w:bCs/>
                <w:color w:val="auto"/>
              </w:rPr>
            </w:pPr>
            <w:r>
              <w:rPr>
                <w:rFonts w:hint="eastAsia"/>
                <w:b/>
                <w:bCs/>
                <w:color w:val="auto"/>
                <w:lang w:val="en-US" w:eastAsia="zh-CN"/>
              </w:rPr>
              <w:t>2、</w:t>
            </w:r>
            <w:r>
              <w:rPr>
                <w:b/>
                <w:bCs/>
                <w:color w:val="auto"/>
              </w:rPr>
              <w:t>水环境影响</w:t>
            </w:r>
          </w:p>
          <w:p>
            <w:pPr>
              <w:bidi w:val="0"/>
              <w:ind w:firstLine="482" w:firstLineChars="200"/>
              <w:rPr>
                <w:b/>
                <w:bCs/>
                <w:color w:val="auto"/>
              </w:rPr>
            </w:pPr>
            <w:r>
              <w:rPr>
                <w:b/>
                <w:bCs/>
                <w:color w:val="auto"/>
              </w:rPr>
              <w:t>（1）110kV北部滩升压站</w:t>
            </w:r>
          </w:p>
          <w:p>
            <w:pPr>
              <w:bidi w:val="0"/>
              <w:ind w:firstLine="482" w:firstLineChars="200"/>
              <w:rPr>
                <w:b/>
                <w:bCs/>
                <w:color w:val="auto"/>
              </w:rPr>
            </w:pPr>
            <w:r>
              <w:rPr>
                <w:b/>
                <w:bCs/>
                <w:color w:val="auto"/>
              </w:rPr>
              <w:t>1）生产废水</w:t>
            </w:r>
          </w:p>
          <w:p>
            <w:pPr>
              <w:bidi w:val="0"/>
              <w:ind w:firstLine="480" w:firstLineChars="200"/>
              <w:rPr>
                <w:color w:val="auto"/>
              </w:rPr>
            </w:pPr>
            <w:r>
              <w:rPr>
                <w:color w:val="auto"/>
              </w:rPr>
              <w:t>本项目不设置拌合站，商品混凝土为外购，生产废水主要为砼养护废水和设备清洗废水，经新建的的沉淀处理后回用，不外排。</w:t>
            </w:r>
          </w:p>
          <w:p>
            <w:pPr>
              <w:bidi w:val="0"/>
              <w:ind w:firstLine="482" w:firstLineChars="200"/>
              <w:rPr>
                <w:b/>
                <w:bCs/>
                <w:color w:val="auto"/>
              </w:rPr>
            </w:pPr>
            <w:r>
              <w:rPr>
                <w:b/>
                <w:bCs/>
                <w:color w:val="auto"/>
              </w:rPr>
              <w:t>2）生活污水</w:t>
            </w:r>
          </w:p>
          <w:p>
            <w:pPr>
              <w:bidi w:val="0"/>
              <w:ind w:firstLine="480" w:firstLineChars="200"/>
              <w:rPr>
                <w:color w:val="auto"/>
              </w:rPr>
            </w:pPr>
            <w:r>
              <w:rPr>
                <w:color w:val="auto"/>
              </w:rPr>
              <w:t>生活污水主要来自于施工人员的生活排水，主要为员工日常盥洗废水，污染物主要为 COD和SS。项目施工期产生的生活污水可利用施工场地设置的环保厕所进行处理，不外排。</w:t>
            </w:r>
          </w:p>
          <w:p>
            <w:pPr>
              <w:bidi w:val="0"/>
              <w:ind w:firstLine="482" w:firstLineChars="200"/>
              <w:rPr>
                <w:b/>
                <w:bCs/>
                <w:color w:val="auto"/>
              </w:rPr>
            </w:pPr>
            <w:r>
              <w:rPr>
                <w:b/>
                <w:bCs/>
                <w:color w:val="auto"/>
              </w:rPr>
              <w:t>（2）110kV输电线路</w:t>
            </w:r>
          </w:p>
          <w:p>
            <w:pPr>
              <w:bidi w:val="0"/>
              <w:ind w:firstLine="480" w:firstLineChars="200"/>
              <w:rPr>
                <w:color w:val="auto"/>
              </w:rPr>
            </w:pPr>
            <w:r>
              <w:rPr>
                <w:color w:val="auto"/>
              </w:rPr>
              <w:t>本项目输电线路施工时，基础浇筑采用商品混凝土，无废水产生。线路施工过程中在塔基基础开挖时，注意土石方的堆放，并对开挖的土石方采取</w:t>
            </w:r>
            <w:r>
              <w:rPr>
                <w:rFonts w:hint="eastAsia"/>
                <w:color w:val="auto"/>
                <w:lang w:val="en-US" w:eastAsia="zh-CN"/>
              </w:rPr>
              <w:t>了</w:t>
            </w:r>
            <w:r>
              <w:rPr>
                <w:color w:val="auto"/>
              </w:rPr>
              <w:t>护拦措施，对裸露部分及时恢复，并且在施工中注意</w:t>
            </w:r>
            <w:r>
              <w:rPr>
                <w:rFonts w:hint="eastAsia"/>
                <w:color w:val="auto"/>
                <w:lang w:val="en-US" w:eastAsia="zh-CN"/>
              </w:rPr>
              <w:t>未</w:t>
            </w:r>
            <w:r>
              <w:rPr>
                <w:color w:val="auto"/>
              </w:rPr>
              <w:t>让泥水外溢，而影响周围环境。</w:t>
            </w:r>
          </w:p>
          <w:p>
            <w:pPr>
              <w:bidi w:val="0"/>
              <w:ind w:firstLine="482" w:firstLineChars="200"/>
              <w:rPr>
                <w:b/>
                <w:bCs/>
                <w:color w:val="auto"/>
              </w:rPr>
            </w:pPr>
            <w:r>
              <w:rPr>
                <w:rFonts w:hint="eastAsia"/>
                <w:b/>
                <w:bCs/>
                <w:color w:val="auto"/>
                <w:lang w:val="en-US" w:eastAsia="zh-CN"/>
              </w:rPr>
              <w:t>3、</w:t>
            </w:r>
            <w:r>
              <w:rPr>
                <w:b/>
                <w:bCs/>
                <w:color w:val="auto"/>
              </w:rPr>
              <w:t>大气环境影响</w:t>
            </w:r>
          </w:p>
          <w:p>
            <w:pPr>
              <w:bidi w:val="0"/>
              <w:ind w:firstLine="480" w:firstLineChars="200"/>
              <w:rPr>
                <w:color w:val="auto"/>
              </w:rPr>
            </w:pPr>
            <w:r>
              <w:rPr>
                <w:color w:val="auto"/>
              </w:rPr>
              <w:t>施工期环境空气污染主要来源于施工扬尘，施工扬尘主要来自土方挖掘、物料运输和使用、施工现场内车辆行驶扬尘等。由于扬尘源多且分散，源高一般在15m以下，属于无组织排放。同时，受施工方式、设备、气候等因素制约，产生的随机性和波动性较大，为尽量减少施工期扬尘对环境空气的影响，施工期采取</w:t>
            </w:r>
            <w:r>
              <w:rPr>
                <w:rFonts w:hint="eastAsia"/>
                <w:color w:val="auto"/>
                <w:lang w:val="en-US" w:eastAsia="zh-CN"/>
              </w:rPr>
              <w:t>了</w:t>
            </w:r>
            <w:r>
              <w:rPr>
                <w:color w:val="auto"/>
              </w:rPr>
              <w:t>如下扬尘污染防治措施。</w:t>
            </w:r>
          </w:p>
          <w:p>
            <w:pPr>
              <w:bidi w:val="0"/>
              <w:ind w:firstLine="482" w:firstLineChars="200"/>
              <w:rPr>
                <w:b/>
                <w:bCs/>
                <w:color w:val="auto"/>
              </w:rPr>
            </w:pPr>
            <w:r>
              <w:rPr>
                <w:b/>
                <w:bCs/>
                <w:color w:val="auto"/>
              </w:rPr>
              <w:t>（1）110kV北部滩升压站</w:t>
            </w:r>
          </w:p>
          <w:p>
            <w:pPr>
              <w:bidi w:val="0"/>
              <w:ind w:firstLine="480" w:firstLineChars="200"/>
              <w:rPr>
                <w:b/>
                <w:bCs/>
                <w:color w:val="auto"/>
              </w:rPr>
            </w:pPr>
            <w:r>
              <w:rPr>
                <w:color w:val="auto"/>
              </w:rPr>
              <w:t>施工建筑材料集中、合理堆放，尽可能采用堆棚统一存放，采用露天堆放</w:t>
            </w:r>
            <w:r>
              <w:rPr>
                <w:rFonts w:hint="eastAsia"/>
                <w:color w:val="auto"/>
                <w:lang w:val="en-US" w:eastAsia="zh-CN"/>
              </w:rPr>
              <w:t>时</w:t>
            </w:r>
            <w:r>
              <w:rPr>
                <w:color w:val="auto"/>
              </w:rPr>
              <w:t>采取</w:t>
            </w:r>
            <w:r>
              <w:rPr>
                <w:rFonts w:hint="eastAsia"/>
                <w:color w:val="auto"/>
                <w:lang w:val="en-US" w:eastAsia="zh-CN"/>
              </w:rPr>
              <w:t>了</w:t>
            </w:r>
            <w:r>
              <w:rPr>
                <w:color w:val="auto"/>
              </w:rPr>
              <w:t>苫盖等措施，并定期洒水。施工场地定期洒水抑尘 3~4 次，运输道路定期洒水，使其保持一定的湿度，防止道路扬尘，当出现风速过大或不利天气状况时停止施工作业。对土、石料等可能产生扬尘的材料，在运输时用防水布覆盖。严禁运输车辆装载过满，并采取</w:t>
            </w:r>
            <w:r>
              <w:rPr>
                <w:rFonts w:hint="eastAsia"/>
                <w:color w:val="auto"/>
                <w:lang w:val="en-US" w:eastAsia="zh-CN"/>
              </w:rPr>
              <w:t>了</w:t>
            </w:r>
            <w:r>
              <w:rPr>
                <w:color w:val="auto"/>
              </w:rPr>
              <w:t>遮盖、密闭措施防止沿途抛洒、散落，定期冲洗轮胎，车辆不得带泥砂出现场，进出场地的车辆应限制车速。</w:t>
            </w:r>
          </w:p>
          <w:p>
            <w:pPr>
              <w:bidi w:val="0"/>
              <w:ind w:firstLine="482" w:firstLineChars="200"/>
              <w:rPr>
                <w:b/>
                <w:bCs/>
                <w:color w:val="auto"/>
              </w:rPr>
            </w:pPr>
            <w:r>
              <w:rPr>
                <w:b/>
                <w:bCs/>
                <w:color w:val="auto"/>
              </w:rPr>
              <w:t>（2）110kV输电线路</w:t>
            </w:r>
          </w:p>
          <w:p>
            <w:pPr>
              <w:bidi w:val="0"/>
              <w:ind w:firstLine="480" w:firstLineChars="200"/>
              <w:rPr>
                <w:rFonts w:hint="default"/>
                <w:color w:val="auto"/>
                <w:lang w:val="en-US" w:eastAsia="zh-CN"/>
              </w:rPr>
            </w:pPr>
            <w:r>
              <w:rPr>
                <w:color w:val="auto"/>
              </w:rPr>
              <w:t>施工产生的扬尘粒径较大，沉降速度大，很快落至地面，其影响范围较小局限在施工现场附近，且施工扬尘对周围环境影响是短期的，随着施工作用结束而基本恢复原来的水平。本工程建筑垃圾集中、分类堆放，严密遮盖，严禁高处抛洒，施工现场实行围挡作业，对临时堆土、建筑材料进行苫盖，对施工便道洒水抑尘，每天洒3~4次，降低</w:t>
            </w:r>
            <w:r>
              <w:rPr>
                <w:rFonts w:hint="eastAsia"/>
                <w:color w:val="auto"/>
                <w:lang w:val="en-US" w:eastAsia="zh-CN"/>
              </w:rPr>
              <w:t>了</w:t>
            </w:r>
            <w:r>
              <w:rPr>
                <w:color w:val="auto"/>
              </w:rPr>
              <w:t>70%的粉尘。</w:t>
            </w:r>
          </w:p>
          <w:p>
            <w:pPr>
              <w:bidi w:val="0"/>
              <w:ind w:firstLine="482" w:firstLineChars="200"/>
              <w:rPr>
                <w:b/>
                <w:bCs/>
                <w:color w:val="auto"/>
              </w:rPr>
            </w:pPr>
            <w:r>
              <w:rPr>
                <w:rFonts w:hint="eastAsia"/>
                <w:b/>
                <w:bCs/>
                <w:color w:val="auto"/>
                <w:lang w:val="en-US" w:eastAsia="zh-CN"/>
              </w:rPr>
              <w:t>4、</w:t>
            </w:r>
            <w:r>
              <w:rPr>
                <w:b/>
                <w:bCs/>
                <w:color w:val="auto"/>
              </w:rPr>
              <w:t>固体废物影响</w:t>
            </w:r>
          </w:p>
          <w:p>
            <w:pPr>
              <w:bidi w:val="0"/>
              <w:ind w:firstLine="480" w:firstLineChars="200"/>
              <w:jc w:val="left"/>
              <w:rPr>
                <w:color w:val="auto"/>
              </w:rPr>
            </w:pPr>
            <w:r>
              <w:rPr>
                <w:color w:val="auto"/>
              </w:rPr>
              <w:t>施工期固体废物主要为建筑垃圾、生活垃圾、土石方以及废包装材料。</w:t>
            </w:r>
          </w:p>
          <w:p>
            <w:pPr>
              <w:bidi w:val="0"/>
              <w:ind w:firstLine="482" w:firstLineChars="200"/>
              <w:jc w:val="left"/>
              <w:rPr>
                <w:b/>
                <w:bCs/>
                <w:color w:val="auto"/>
              </w:rPr>
            </w:pPr>
            <w:r>
              <w:rPr>
                <w:b/>
                <w:bCs/>
                <w:color w:val="auto"/>
              </w:rPr>
              <w:t>（1）生活垃圾</w:t>
            </w:r>
          </w:p>
          <w:p>
            <w:pPr>
              <w:bidi w:val="0"/>
              <w:ind w:firstLine="480" w:firstLineChars="200"/>
              <w:jc w:val="left"/>
              <w:rPr>
                <w:color w:val="auto"/>
              </w:rPr>
            </w:pPr>
            <w:r>
              <w:rPr>
                <w:color w:val="auto"/>
              </w:rPr>
              <w:t>施工人员每人每天产生生活垃圾按0.5kg计，工程施工高峰日施工人数60人，则生活垃圾产生量约为30kg/d，定期清运至环卫部门指定的地点处置，对周围环境影响较小。</w:t>
            </w:r>
          </w:p>
          <w:p>
            <w:pPr>
              <w:bidi w:val="0"/>
              <w:ind w:firstLine="482" w:firstLineChars="200"/>
              <w:jc w:val="left"/>
              <w:rPr>
                <w:b/>
                <w:bCs/>
                <w:color w:val="auto"/>
              </w:rPr>
            </w:pPr>
            <w:r>
              <w:rPr>
                <w:b/>
                <w:bCs/>
                <w:color w:val="auto"/>
              </w:rPr>
              <w:t>（2）建筑垃圾</w:t>
            </w:r>
          </w:p>
          <w:p>
            <w:pPr>
              <w:bidi w:val="0"/>
              <w:ind w:firstLine="480" w:firstLineChars="200"/>
              <w:jc w:val="left"/>
              <w:rPr>
                <w:color w:val="auto"/>
              </w:rPr>
            </w:pPr>
            <w:r>
              <w:rPr>
                <w:color w:val="auto"/>
              </w:rPr>
              <w:t>建筑垃圾主要为施工过程中产生的碎石、砂土等，施工过程中尽量就地回收利用，可用于地基加固、道路填筑等。建筑垃圾产生量约为0.6t，收集后运往城建部门指定的建筑垃圾填埋场处置，对周围环境影响较小。</w:t>
            </w:r>
          </w:p>
          <w:p>
            <w:pPr>
              <w:bidi w:val="0"/>
              <w:ind w:firstLine="482" w:firstLineChars="200"/>
              <w:jc w:val="left"/>
              <w:rPr>
                <w:b/>
                <w:bCs/>
                <w:color w:val="auto"/>
              </w:rPr>
            </w:pPr>
            <w:r>
              <w:rPr>
                <w:b/>
                <w:bCs/>
                <w:color w:val="auto"/>
              </w:rPr>
              <w:t>（3）废包装材料</w:t>
            </w:r>
          </w:p>
          <w:p>
            <w:pPr>
              <w:bidi w:val="0"/>
              <w:ind w:firstLine="480" w:firstLineChars="200"/>
              <w:jc w:val="left"/>
              <w:rPr>
                <w:color w:val="auto"/>
              </w:rPr>
            </w:pPr>
            <w:r>
              <w:rPr>
                <w:color w:val="auto"/>
              </w:rPr>
              <w:t>施工过程中产生的废包装材料约为0.5t，环评要求在施工过程中统一收集，按照《一般工业固体废物贮存和填埋污染控制标准》（GB18599-2020）要求运至城建部门指定的建筑垃圾填埋场进行处置。</w:t>
            </w:r>
          </w:p>
          <w:p>
            <w:pPr>
              <w:bidi w:val="0"/>
              <w:ind w:firstLine="482" w:firstLineChars="200"/>
              <w:jc w:val="left"/>
              <w:rPr>
                <w:b/>
                <w:bCs/>
                <w:color w:val="auto"/>
              </w:rPr>
            </w:pPr>
          </w:p>
          <w:p>
            <w:pPr>
              <w:bidi w:val="0"/>
              <w:ind w:firstLine="482" w:firstLineChars="200"/>
              <w:jc w:val="left"/>
              <w:rPr>
                <w:b/>
                <w:bCs/>
                <w:color w:val="auto"/>
              </w:rPr>
            </w:pPr>
            <w:r>
              <w:rPr>
                <w:b/>
                <w:bCs/>
                <w:color w:val="auto"/>
              </w:rPr>
              <w:t>（4）土石方</w:t>
            </w:r>
          </w:p>
          <w:p>
            <w:pPr>
              <w:bidi w:val="0"/>
              <w:ind w:firstLine="480" w:firstLineChars="200"/>
              <w:jc w:val="left"/>
              <w:rPr>
                <w:color w:val="auto"/>
              </w:rPr>
            </w:pPr>
            <w:r>
              <w:rPr>
                <w:color w:val="auto"/>
              </w:rPr>
              <w:t>本项目土石方挖方量为22310m</w:t>
            </w:r>
            <w:r>
              <w:rPr>
                <w:color w:val="auto"/>
                <w:vertAlign w:val="superscript"/>
              </w:rPr>
              <w:t>3</w:t>
            </w:r>
            <w:r>
              <w:rPr>
                <w:color w:val="auto"/>
              </w:rPr>
              <w:t>，填方量为22310m</w:t>
            </w:r>
            <w:r>
              <w:rPr>
                <w:color w:val="auto"/>
                <w:vertAlign w:val="superscript"/>
              </w:rPr>
              <w:t>3</w:t>
            </w:r>
            <w:r>
              <w:rPr>
                <w:color w:val="auto"/>
              </w:rPr>
              <w:t>，挖方全部利用，挖填方平衡，无弃方。</w:t>
            </w:r>
          </w:p>
          <w:p>
            <w:pPr>
              <w:bidi w:val="0"/>
              <w:ind w:firstLine="480" w:firstLineChars="200"/>
              <w:jc w:val="left"/>
              <w:rPr>
                <w:color w:val="auto"/>
              </w:rPr>
            </w:pPr>
            <w:r>
              <w:rPr>
                <w:color w:val="auto"/>
              </w:rPr>
              <w:t>采取有效措施后，本项目在施工过程中产生的固体废物对环境影响较小。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3" w:hRule="atLeast"/>
          <w:jc w:val="center"/>
        </w:trPr>
        <w:tc>
          <w:tcPr>
            <w:tcW w:w="5000" w:type="pct"/>
            <w:vAlign w:val="center"/>
          </w:tcPr>
          <w:p>
            <w:pPr>
              <w:bidi w:val="0"/>
              <w:spacing w:line="240" w:lineRule="auto"/>
              <w:jc w:val="both"/>
              <w:rPr>
                <w:rFonts w:hint="eastAsia" w:eastAsia="宋体"/>
                <w:color w:val="auto"/>
                <w:lang w:eastAsia="zh-CN"/>
              </w:rPr>
            </w:pPr>
            <w:r>
              <w:rPr>
                <w:rFonts w:hint="eastAsia"/>
                <w:b/>
                <w:bCs/>
                <w:color w:val="auto"/>
                <w:lang w:val="en-US" w:eastAsia="zh-CN"/>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5000" w:type="pct"/>
            <w:vAlign w:val="center"/>
          </w:tcPr>
          <w:p>
            <w:pPr>
              <w:bidi w:val="0"/>
              <w:spacing w:line="240" w:lineRule="auto"/>
              <w:jc w:val="both"/>
              <w:rPr>
                <w:b/>
                <w:bCs/>
                <w:color w:val="auto"/>
              </w:rPr>
            </w:pPr>
            <w:r>
              <w:rPr>
                <w:b/>
                <w:bCs/>
                <w:color w:val="auto"/>
              </w:rPr>
              <w:t>生态影响</w:t>
            </w:r>
          </w:p>
          <w:p>
            <w:pPr>
              <w:bidi w:val="0"/>
              <w:ind w:firstLine="480" w:firstLineChars="200"/>
              <w:rPr>
                <w:color w:val="auto"/>
              </w:rPr>
            </w:pPr>
            <w:r>
              <w:rPr>
                <w:color w:val="auto"/>
              </w:rPr>
              <w:t>本项目升压站永久占地28800m</w:t>
            </w:r>
            <w:r>
              <w:rPr>
                <w:color w:val="auto"/>
                <w:vertAlign w:val="superscript"/>
              </w:rPr>
              <w:t>2</w:t>
            </w:r>
            <w:r>
              <w:rPr>
                <w:color w:val="auto"/>
              </w:rPr>
              <w:t>，因此会减少项目区的生物量，但通过将对场址区域采取植被恢复等方式进行生态补偿后，对区域生态环境质量不会造成明显的不利影响。</w:t>
            </w:r>
          </w:p>
          <w:p>
            <w:pPr>
              <w:bidi w:val="0"/>
              <w:ind w:firstLine="480" w:firstLineChars="200"/>
              <w:rPr>
                <w:color w:val="auto"/>
              </w:rPr>
            </w:pPr>
            <w:r>
              <w:rPr>
                <w:color w:val="auto"/>
              </w:rPr>
              <w:t>本项目运行期升压站产生的噪声和人员活动是对野生动物的主要影响因素。项目在运行期需加强管理和宣传，对野生动物采取相关保护措施。因此对野生动物的影响十分有限。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5000" w:type="pct"/>
            <w:vAlign w:val="center"/>
          </w:tcPr>
          <w:p>
            <w:pPr>
              <w:bidi w:val="0"/>
              <w:spacing w:line="240" w:lineRule="auto"/>
              <w:jc w:val="both"/>
              <w:rPr>
                <w:b/>
                <w:bCs/>
                <w:color w:val="auto"/>
              </w:rPr>
            </w:pPr>
            <w:r>
              <w:rPr>
                <w:b/>
                <w:bCs/>
                <w:color w:val="auto"/>
              </w:rPr>
              <w:t>污染影响</w:t>
            </w:r>
          </w:p>
          <w:p>
            <w:pPr>
              <w:bidi w:val="0"/>
              <w:ind w:firstLine="482" w:firstLineChars="200"/>
              <w:rPr>
                <w:rFonts w:hint="default"/>
                <w:b/>
                <w:bCs/>
                <w:color w:val="auto"/>
                <w:lang w:val="en-US" w:eastAsia="zh-CN"/>
              </w:rPr>
            </w:pPr>
            <w:r>
              <w:rPr>
                <w:rFonts w:hint="default"/>
                <w:b/>
                <w:bCs/>
                <w:color w:val="auto"/>
                <w:lang w:val="en-US" w:eastAsia="zh-CN"/>
              </w:rPr>
              <w:t>1、电磁环境调查</w:t>
            </w:r>
          </w:p>
          <w:p>
            <w:pPr>
              <w:bidi w:val="0"/>
              <w:ind w:firstLine="480" w:firstLineChars="200"/>
              <w:rPr>
                <w:rFonts w:hint="default"/>
                <w:color w:val="auto"/>
                <w:lang w:val="en-US" w:eastAsia="zh-CN"/>
              </w:rPr>
            </w:pPr>
            <w:r>
              <w:rPr>
                <w:rFonts w:hint="default"/>
                <w:color w:val="auto"/>
                <w:lang w:val="en-US" w:eastAsia="zh-CN"/>
              </w:rPr>
              <w:t>根据验收监测结果表明，</w:t>
            </w:r>
            <w:r>
              <w:rPr>
                <w:color w:val="auto"/>
              </w:rPr>
              <w:t>本项目110kV输变电工程投运后，升压站四周及输变电线路导线两侧30m范围内的工频电场强度及磁感应强度均能够分别满足 《电磁环境控制限值》（GB8702-2014）表1“ 公众曝露控制限值” 中工频电场强度控制限值为4000V/m，架空输电线路线下的耕地、园地、牧草地、畜禽饲养地、养殖水面、道路等场所，其频率50Hz的电场强度控制限值为10kV/m，工频磁感应强度控制限值为100μT的要求。</w:t>
            </w:r>
          </w:p>
          <w:p>
            <w:pPr>
              <w:bidi w:val="0"/>
              <w:ind w:firstLine="482" w:firstLineChars="200"/>
              <w:rPr>
                <w:rFonts w:hint="default"/>
                <w:b/>
                <w:bCs/>
                <w:color w:val="auto"/>
                <w:lang w:val="en-US" w:eastAsia="zh-CN"/>
              </w:rPr>
            </w:pPr>
            <w:r>
              <w:rPr>
                <w:rFonts w:hint="default"/>
                <w:b/>
                <w:bCs/>
                <w:color w:val="auto"/>
                <w:lang w:val="en-US" w:eastAsia="zh-CN"/>
              </w:rPr>
              <w:t>2、声环境影响调查</w:t>
            </w:r>
          </w:p>
          <w:p>
            <w:pPr>
              <w:bidi w:val="0"/>
              <w:ind w:firstLine="480" w:firstLineChars="200"/>
              <w:jc w:val="left"/>
              <w:rPr>
                <w:rFonts w:hint="default"/>
                <w:color w:val="auto"/>
                <w:lang w:val="en-US" w:eastAsia="zh-CN"/>
              </w:rPr>
            </w:pPr>
            <w:r>
              <w:rPr>
                <w:color w:val="auto"/>
              </w:rPr>
              <w:t>本次110kV北部滩升压站噪声预测按照《变电站噪声控制技术导则》 （DL/T1518-2016）附录B中变电站声源和计算公式进行预测。本次按照“ 110kV油浸自冷”主变压器声压级为 63.7dB（A）计算，预测时噪声源强取63.7dB(A)。按照《环境影响评价技术导则 声环境》（HJ2.4-2021）的要求，110kV北部滩升压站厂界单台噪声影响预测结果见表</w:t>
            </w:r>
            <w:r>
              <w:rPr>
                <w:rFonts w:hint="eastAsia"/>
                <w:color w:val="auto"/>
                <w:lang w:val="en-US" w:eastAsia="zh-CN"/>
              </w:rPr>
              <w:t>8-2。</w:t>
            </w:r>
          </w:p>
          <w:p>
            <w:pPr>
              <w:bidi w:val="0"/>
              <w:spacing w:line="240" w:lineRule="auto"/>
              <w:jc w:val="center"/>
              <w:rPr>
                <w:b/>
                <w:bCs/>
                <w:color w:val="auto"/>
              </w:rPr>
            </w:pPr>
            <w:r>
              <w:rPr>
                <w:b/>
                <w:bCs/>
                <w:color w:val="auto"/>
              </w:rPr>
              <w:t>表</w:t>
            </w:r>
            <w:r>
              <w:rPr>
                <w:rFonts w:hint="eastAsia"/>
                <w:b/>
                <w:bCs/>
                <w:color w:val="auto"/>
                <w:lang w:val="en-US" w:eastAsia="zh-CN"/>
              </w:rPr>
              <w:t>8-2</w:t>
            </w:r>
            <w:r>
              <w:rPr>
                <w:b/>
                <w:bCs/>
                <w:color w:val="auto"/>
              </w:rPr>
              <w:t xml:space="preserve">    110kV 北部滩升压站噪声源强调查清单（室外声源）   单位：dB(A)</w:t>
            </w:r>
          </w:p>
          <w:tbl>
            <w:tblPr>
              <w:tblStyle w:val="15"/>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20"/>
              <w:gridCol w:w="1058"/>
              <w:gridCol w:w="936"/>
              <w:gridCol w:w="717"/>
              <w:gridCol w:w="897"/>
              <w:gridCol w:w="1914"/>
              <w:gridCol w:w="1614"/>
              <w:gridCol w:w="160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31" w:type="pct"/>
                  <w:vMerge w:val="restart"/>
                  <w:tcBorders>
                    <w:bottom w:val="nil"/>
                  </w:tcBorders>
                  <w:textDirection w:val="tbRlV"/>
                  <w:vAlign w:val="center"/>
                </w:tcPr>
                <w:p>
                  <w:pPr>
                    <w:bidi w:val="0"/>
                    <w:spacing w:line="240" w:lineRule="auto"/>
                    <w:jc w:val="center"/>
                    <w:rPr>
                      <w:b/>
                      <w:bCs/>
                      <w:color w:val="auto"/>
                      <w:sz w:val="21"/>
                      <w:szCs w:val="21"/>
                    </w:rPr>
                  </w:pPr>
                  <w:r>
                    <w:rPr>
                      <w:b/>
                      <w:bCs/>
                      <w:color w:val="auto"/>
                      <w:sz w:val="21"/>
                      <w:szCs w:val="21"/>
                    </w:rPr>
                    <w:t>序 号</w:t>
                  </w:r>
                </w:p>
              </w:tc>
              <w:tc>
                <w:tcPr>
                  <w:tcW w:w="565" w:type="pct"/>
                  <w:vMerge w:val="restart"/>
                  <w:tcBorders>
                    <w:bottom w:val="nil"/>
                  </w:tcBorders>
                  <w:vAlign w:val="center"/>
                </w:tcPr>
                <w:p>
                  <w:pPr>
                    <w:bidi w:val="0"/>
                    <w:spacing w:line="240" w:lineRule="auto"/>
                    <w:jc w:val="center"/>
                    <w:rPr>
                      <w:b/>
                      <w:bCs/>
                      <w:color w:val="auto"/>
                      <w:sz w:val="21"/>
                      <w:szCs w:val="21"/>
                    </w:rPr>
                  </w:pPr>
                  <w:r>
                    <w:rPr>
                      <w:b/>
                      <w:bCs/>
                      <w:color w:val="auto"/>
                      <w:sz w:val="21"/>
                      <w:szCs w:val="21"/>
                    </w:rPr>
                    <w:t>声源名称</w:t>
                  </w:r>
                </w:p>
              </w:tc>
              <w:tc>
                <w:tcPr>
                  <w:tcW w:w="1362" w:type="pct"/>
                  <w:gridSpan w:val="3"/>
                  <w:vAlign w:val="center"/>
                </w:tcPr>
                <w:p>
                  <w:pPr>
                    <w:bidi w:val="0"/>
                    <w:spacing w:line="240" w:lineRule="auto"/>
                    <w:jc w:val="center"/>
                    <w:rPr>
                      <w:b/>
                      <w:bCs/>
                      <w:color w:val="auto"/>
                      <w:sz w:val="21"/>
                      <w:szCs w:val="21"/>
                    </w:rPr>
                  </w:pPr>
                  <w:r>
                    <w:rPr>
                      <w:b/>
                      <w:bCs/>
                      <w:color w:val="auto"/>
                      <w:sz w:val="21"/>
                      <w:szCs w:val="21"/>
                    </w:rPr>
                    <w:t>空间相对位置/m</w:t>
                  </w:r>
                </w:p>
              </w:tc>
              <w:tc>
                <w:tcPr>
                  <w:tcW w:w="1022" w:type="pct"/>
                  <w:vAlign w:val="center"/>
                </w:tcPr>
                <w:p>
                  <w:pPr>
                    <w:bidi w:val="0"/>
                    <w:spacing w:line="240" w:lineRule="auto"/>
                    <w:jc w:val="center"/>
                    <w:rPr>
                      <w:b/>
                      <w:bCs/>
                      <w:color w:val="auto"/>
                      <w:sz w:val="21"/>
                      <w:szCs w:val="21"/>
                    </w:rPr>
                  </w:pPr>
                  <w:r>
                    <w:rPr>
                      <w:b/>
                      <w:bCs/>
                      <w:color w:val="auto"/>
                      <w:sz w:val="21"/>
                      <w:szCs w:val="21"/>
                    </w:rPr>
                    <w:t>声源源强</w:t>
                  </w:r>
                </w:p>
              </w:tc>
              <w:tc>
                <w:tcPr>
                  <w:tcW w:w="862" w:type="pct"/>
                  <w:vMerge w:val="restart"/>
                  <w:tcBorders>
                    <w:bottom w:val="nil"/>
                  </w:tcBorders>
                  <w:vAlign w:val="center"/>
                </w:tcPr>
                <w:p>
                  <w:pPr>
                    <w:bidi w:val="0"/>
                    <w:spacing w:line="240" w:lineRule="auto"/>
                    <w:jc w:val="center"/>
                    <w:rPr>
                      <w:b/>
                      <w:bCs/>
                      <w:color w:val="auto"/>
                      <w:sz w:val="21"/>
                      <w:szCs w:val="21"/>
                    </w:rPr>
                  </w:pPr>
                </w:p>
                <w:p>
                  <w:pPr>
                    <w:bidi w:val="0"/>
                    <w:spacing w:line="240" w:lineRule="auto"/>
                    <w:jc w:val="center"/>
                    <w:rPr>
                      <w:b/>
                      <w:bCs/>
                      <w:color w:val="auto"/>
                      <w:sz w:val="21"/>
                      <w:szCs w:val="21"/>
                    </w:rPr>
                  </w:pPr>
                  <w:r>
                    <w:rPr>
                      <w:b/>
                      <w:bCs/>
                      <w:color w:val="auto"/>
                      <w:sz w:val="21"/>
                      <w:szCs w:val="21"/>
                    </w:rPr>
                    <w:t>声源控制措施</w:t>
                  </w:r>
                </w:p>
              </w:tc>
              <w:tc>
                <w:tcPr>
                  <w:tcW w:w="856" w:type="pct"/>
                  <w:vMerge w:val="restart"/>
                  <w:tcBorders>
                    <w:bottom w:val="nil"/>
                  </w:tcBorders>
                  <w:vAlign w:val="center"/>
                </w:tcPr>
                <w:p>
                  <w:pPr>
                    <w:bidi w:val="0"/>
                    <w:spacing w:line="240" w:lineRule="auto"/>
                    <w:jc w:val="center"/>
                    <w:rPr>
                      <w:b/>
                      <w:bCs/>
                      <w:color w:val="auto"/>
                      <w:sz w:val="21"/>
                      <w:szCs w:val="21"/>
                    </w:rPr>
                  </w:pPr>
                </w:p>
                <w:p>
                  <w:pPr>
                    <w:bidi w:val="0"/>
                    <w:spacing w:line="240" w:lineRule="auto"/>
                    <w:jc w:val="center"/>
                    <w:rPr>
                      <w:b/>
                      <w:bCs/>
                      <w:color w:val="auto"/>
                      <w:sz w:val="21"/>
                      <w:szCs w:val="21"/>
                    </w:rPr>
                  </w:pPr>
                  <w:r>
                    <w:rPr>
                      <w:b/>
                      <w:bCs/>
                      <w:color w:val="auto"/>
                      <w:sz w:val="21"/>
                      <w:szCs w:val="21"/>
                    </w:rPr>
                    <w:t>运行时段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31" w:type="pct"/>
                  <w:vMerge w:val="continue"/>
                  <w:tcBorders>
                    <w:top w:val="nil"/>
                  </w:tcBorders>
                  <w:textDirection w:val="tbRlV"/>
                  <w:vAlign w:val="center"/>
                </w:tcPr>
                <w:p>
                  <w:pPr>
                    <w:bidi w:val="0"/>
                    <w:spacing w:line="240" w:lineRule="auto"/>
                    <w:jc w:val="center"/>
                    <w:rPr>
                      <w:color w:val="auto"/>
                      <w:sz w:val="21"/>
                      <w:szCs w:val="21"/>
                    </w:rPr>
                  </w:pPr>
                </w:p>
              </w:tc>
              <w:tc>
                <w:tcPr>
                  <w:tcW w:w="565" w:type="pct"/>
                  <w:vMerge w:val="continue"/>
                  <w:tcBorders>
                    <w:top w:val="nil"/>
                  </w:tcBorders>
                  <w:vAlign w:val="center"/>
                </w:tcPr>
                <w:p>
                  <w:pPr>
                    <w:bidi w:val="0"/>
                    <w:spacing w:line="240" w:lineRule="auto"/>
                    <w:jc w:val="center"/>
                    <w:rPr>
                      <w:color w:val="auto"/>
                      <w:sz w:val="21"/>
                      <w:szCs w:val="21"/>
                    </w:rPr>
                  </w:pPr>
                </w:p>
              </w:tc>
              <w:tc>
                <w:tcPr>
                  <w:tcW w:w="500" w:type="pct"/>
                  <w:vAlign w:val="center"/>
                </w:tcPr>
                <w:p>
                  <w:pPr>
                    <w:bidi w:val="0"/>
                    <w:spacing w:line="240" w:lineRule="auto"/>
                    <w:jc w:val="center"/>
                    <w:rPr>
                      <w:b/>
                      <w:bCs/>
                      <w:color w:val="auto"/>
                      <w:sz w:val="21"/>
                      <w:szCs w:val="21"/>
                    </w:rPr>
                  </w:pPr>
                  <w:r>
                    <w:rPr>
                      <w:b/>
                      <w:bCs/>
                      <w:color w:val="auto"/>
                      <w:sz w:val="21"/>
                      <w:szCs w:val="21"/>
                    </w:rPr>
                    <w:t>X</w:t>
                  </w:r>
                </w:p>
              </w:tc>
              <w:tc>
                <w:tcPr>
                  <w:tcW w:w="383" w:type="pct"/>
                  <w:vAlign w:val="center"/>
                </w:tcPr>
                <w:p>
                  <w:pPr>
                    <w:bidi w:val="0"/>
                    <w:spacing w:line="240" w:lineRule="auto"/>
                    <w:jc w:val="center"/>
                    <w:rPr>
                      <w:b/>
                      <w:bCs/>
                      <w:color w:val="auto"/>
                      <w:sz w:val="21"/>
                      <w:szCs w:val="21"/>
                    </w:rPr>
                  </w:pPr>
                  <w:r>
                    <w:rPr>
                      <w:b/>
                      <w:bCs/>
                      <w:color w:val="auto"/>
                      <w:sz w:val="21"/>
                      <w:szCs w:val="21"/>
                    </w:rPr>
                    <w:t>Y</w:t>
                  </w:r>
                </w:p>
              </w:tc>
              <w:tc>
                <w:tcPr>
                  <w:tcW w:w="477" w:type="pct"/>
                  <w:vAlign w:val="center"/>
                </w:tcPr>
                <w:p>
                  <w:pPr>
                    <w:bidi w:val="0"/>
                    <w:spacing w:line="240" w:lineRule="auto"/>
                    <w:jc w:val="center"/>
                    <w:rPr>
                      <w:b/>
                      <w:bCs/>
                      <w:color w:val="auto"/>
                      <w:sz w:val="21"/>
                      <w:szCs w:val="21"/>
                    </w:rPr>
                  </w:pPr>
                  <w:r>
                    <w:rPr>
                      <w:b/>
                      <w:bCs/>
                      <w:color w:val="auto"/>
                      <w:sz w:val="21"/>
                      <w:szCs w:val="21"/>
                    </w:rPr>
                    <w:t>Z</w:t>
                  </w:r>
                </w:p>
              </w:tc>
              <w:tc>
                <w:tcPr>
                  <w:tcW w:w="1022" w:type="pct"/>
                  <w:vAlign w:val="center"/>
                </w:tcPr>
                <w:p>
                  <w:pPr>
                    <w:bidi w:val="0"/>
                    <w:spacing w:line="240" w:lineRule="auto"/>
                    <w:jc w:val="center"/>
                    <w:rPr>
                      <w:b/>
                      <w:bCs/>
                      <w:color w:val="auto"/>
                      <w:sz w:val="21"/>
                      <w:szCs w:val="21"/>
                    </w:rPr>
                  </w:pPr>
                  <w:r>
                    <w:rPr>
                      <w:b/>
                      <w:bCs/>
                      <w:color w:val="auto"/>
                      <w:sz w:val="21"/>
                      <w:szCs w:val="21"/>
                    </w:rPr>
                    <w:t>（声压级/距声源距离（dB(A)/m）</w:t>
                  </w:r>
                </w:p>
              </w:tc>
              <w:tc>
                <w:tcPr>
                  <w:tcW w:w="862" w:type="pct"/>
                  <w:vMerge w:val="continue"/>
                  <w:tcBorders>
                    <w:top w:val="nil"/>
                  </w:tcBorders>
                  <w:vAlign w:val="center"/>
                </w:tcPr>
                <w:p>
                  <w:pPr>
                    <w:bidi w:val="0"/>
                    <w:spacing w:line="240" w:lineRule="auto"/>
                    <w:jc w:val="center"/>
                    <w:rPr>
                      <w:color w:val="auto"/>
                      <w:sz w:val="21"/>
                      <w:szCs w:val="21"/>
                    </w:rPr>
                  </w:pPr>
                </w:p>
              </w:tc>
              <w:tc>
                <w:tcPr>
                  <w:tcW w:w="856" w:type="pct"/>
                  <w:vMerge w:val="continue"/>
                  <w:tcBorders>
                    <w:top w:val="nil"/>
                  </w:tcBorders>
                  <w:vAlign w:val="center"/>
                </w:tcPr>
                <w:p>
                  <w:pPr>
                    <w:bidi w:val="0"/>
                    <w:spacing w:line="240" w:lineRule="auto"/>
                    <w:jc w:val="center"/>
                    <w:rPr>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31" w:type="pct"/>
                  <w:vAlign w:val="center"/>
                </w:tcPr>
                <w:p>
                  <w:pPr>
                    <w:bidi w:val="0"/>
                    <w:spacing w:line="240" w:lineRule="auto"/>
                    <w:jc w:val="center"/>
                    <w:rPr>
                      <w:color w:val="auto"/>
                      <w:sz w:val="21"/>
                      <w:szCs w:val="21"/>
                    </w:rPr>
                  </w:pPr>
                  <w:r>
                    <w:rPr>
                      <w:color w:val="auto"/>
                      <w:sz w:val="21"/>
                      <w:szCs w:val="21"/>
                    </w:rPr>
                    <w:t>1</w:t>
                  </w:r>
                </w:p>
              </w:tc>
              <w:tc>
                <w:tcPr>
                  <w:tcW w:w="565" w:type="pct"/>
                  <w:vAlign w:val="center"/>
                </w:tcPr>
                <w:p>
                  <w:pPr>
                    <w:bidi w:val="0"/>
                    <w:spacing w:line="240" w:lineRule="auto"/>
                    <w:jc w:val="center"/>
                    <w:rPr>
                      <w:color w:val="auto"/>
                      <w:sz w:val="21"/>
                      <w:szCs w:val="21"/>
                    </w:rPr>
                  </w:pPr>
                  <w:r>
                    <w:rPr>
                      <w:color w:val="auto"/>
                      <w:sz w:val="21"/>
                      <w:szCs w:val="21"/>
                    </w:rPr>
                    <w:t>1#主变</w:t>
                  </w:r>
                </w:p>
              </w:tc>
              <w:tc>
                <w:tcPr>
                  <w:tcW w:w="500" w:type="pct"/>
                  <w:vAlign w:val="center"/>
                </w:tcPr>
                <w:p>
                  <w:pPr>
                    <w:bidi w:val="0"/>
                    <w:spacing w:line="240" w:lineRule="auto"/>
                    <w:jc w:val="center"/>
                    <w:rPr>
                      <w:color w:val="auto"/>
                      <w:sz w:val="21"/>
                      <w:szCs w:val="21"/>
                    </w:rPr>
                  </w:pPr>
                  <w:r>
                    <w:rPr>
                      <w:color w:val="auto"/>
                      <w:sz w:val="21"/>
                      <w:szCs w:val="21"/>
                    </w:rPr>
                    <w:t>55</w:t>
                  </w:r>
                </w:p>
              </w:tc>
              <w:tc>
                <w:tcPr>
                  <w:tcW w:w="383" w:type="pct"/>
                  <w:vAlign w:val="center"/>
                </w:tcPr>
                <w:p>
                  <w:pPr>
                    <w:bidi w:val="0"/>
                    <w:spacing w:line="240" w:lineRule="auto"/>
                    <w:jc w:val="center"/>
                    <w:rPr>
                      <w:color w:val="auto"/>
                      <w:sz w:val="21"/>
                      <w:szCs w:val="21"/>
                    </w:rPr>
                  </w:pPr>
                  <w:r>
                    <w:rPr>
                      <w:color w:val="auto"/>
                      <w:sz w:val="21"/>
                      <w:szCs w:val="21"/>
                    </w:rPr>
                    <w:t>62</w:t>
                  </w:r>
                </w:p>
              </w:tc>
              <w:tc>
                <w:tcPr>
                  <w:tcW w:w="477" w:type="pct"/>
                  <w:vAlign w:val="center"/>
                </w:tcPr>
                <w:p>
                  <w:pPr>
                    <w:bidi w:val="0"/>
                    <w:spacing w:line="240" w:lineRule="auto"/>
                    <w:jc w:val="center"/>
                    <w:rPr>
                      <w:color w:val="auto"/>
                      <w:sz w:val="21"/>
                      <w:szCs w:val="21"/>
                    </w:rPr>
                  </w:pPr>
                  <w:r>
                    <w:rPr>
                      <w:color w:val="auto"/>
                      <w:sz w:val="21"/>
                      <w:szCs w:val="21"/>
                    </w:rPr>
                    <w:t>2.7</w:t>
                  </w:r>
                </w:p>
              </w:tc>
              <w:tc>
                <w:tcPr>
                  <w:tcW w:w="1022" w:type="pct"/>
                  <w:vAlign w:val="center"/>
                </w:tcPr>
                <w:p>
                  <w:pPr>
                    <w:bidi w:val="0"/>
                    <w:spacing w:line="240" w:lineRule="auto"/>
                    <w:jc w:val="center"/>
                    <w:rPr>
                      <w:color w:val="auto"/>
                      <w:sz w:val="21"/>
                      <w:szCs w:val="21"/>
                    </w:rPr>
                  </w:pPr>
                  <w:r>
                    <w:rPr>
                      <w:color w:val="auto"/>
                      <w:sz w:val="21"/>
                      <w:szCs w:val="21"/>
                    </w:rPr>
                    <w:t>63.7/1</w:t>
                  </w:r>
                </w:p>
              </w:tc>
              <w:tc>
                <w:tcPr>
                  <w:tcW w:w="862" w:type="pct"/>
                  <w:vAlign w:val="center"/>
                </w:tcPr>
                <w:p>
                  <w:pPr>
                    <w:bidi w:val="0"/>
                    <w:spacing w:line="240" w:lineRule="auto"/>
                    <w:jc w:val="center"/>
                    <w:rPr>
                      <w:color w:val="auto"/>
                      <w:sz w:val="21"/>
                      <w:szCs w:val="21"/>
                    </w:rPr>
                  </w:pPr>
                  <w:r>
                    <w:rPr>
                      <w:color w:val="auto"/>
                      <w:sz w:val="21"/>
                      <w:szCs w:val="21"/>
                    </w:rPr>
                    <w:t>减震隔声垫</w:t>
                  </w:r>
                </w:p>
              </w:tc>
              <w:tc>
                <w:tcPr>
                  <w:tcW w:w="856" w:type="pct"/>
                  <w:vAlign w:val="center"/>
                </w:tcPr>
                <w:p>
                  <w:pPr>
                    <w:bidi w:val="0"/>
                    <w:spacing w:line="240" w:lineRule="auto"/>
                    <w:jc w:val="center"/>
                    <w:rPr>
                      <w:color w:val="auto"/>
                      <w:sz w:val="21"/>
                      <w:szCs w:val="21"/>
                    </w:rPr>
                  </w:pPr>
                  <w:r>
                    <w:rPr>
                      <w:color w:val="auto"/>
                      <w:sz w:val="21"/>
                      <w:szCs w:val="21"/>
                    </w:rPr>
                    <w:t>0：00-24：00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97" w:hRule="atLeast"/>
                <w:jc w:val="center"/>
              </w:trPr>
              <w:tc>
                <w:tcPr>
                  <w:tcW w:w="331" w:type="pct"/>
                  <w:vAlign w:val="center"/>
                </w:tcPr>
                <w:p>
                  <w:pPr>
                    <w:bidi w:val="0"/>
                    <w:spacing w:line="240" w:lineRule="auto"/>
                    <w:jc w:val="center"/>
                    <w:rPr>
                      <w:color w:val="auto"/>
                      <w:sz w:val="21"/>
                      <w:szCs w:val="21"/>
                    </w:rPr>
                  </w:pPr>
                  <w:r>
                    <w:rPr>
                      <w:color w:val="auto"/>
                      <w:sz w:val="21"/>
                      <w:szCs w:val="21"/>
                    </w:rPr>
                    <w:t>2</w:t>
                  </w:r>
                </w:p>
              </w:tc>
              <w:tc>
                <w:tcPr>
                  <w:tcW w:w="565" w:type="pct"/>
                  <w:vAlign w:val="center"/>
                </w:tcPr>
                <w:p>
                  <w:pPr>
                    <w:bidi w:val="0"/>
                    <w:spacing w:line="240" w:lineRule="auto"/>
                    <w:jc w:val="center"/>
                    <w:rPr>
                      <w:color w:val="auto"/>
                      <w:sz w:val="21"/>
                      <w:szCs w:val="21"/>
                    </w:rPr>
                  </w:pPr>
                  <w:r>
                    <w:rPr>
                      <w:color w:val="auto"/>
                      <w:sz w:val="21"/>
                      <w:szCs w:val="21"/>
                    </w:rPr>
                    <w:t>2#主变</w:t>
                  </w:r>
                </w:p>
              </w:tc>
              <w:tc>
                <w:tcPr>
                  <w:tcW w:w="500" w:type="pct"/>
                  <w:vAlign w:val="center"/>
                </w:tcPr>
                <w:p>
                  <w:pPr>
                    <w:bidi w:val="0"/>
                    <w:spacing w:line="240" w:lineRule="auto"/>
                    <w:jc w:val="center"/>
                    <w:rPr>
                      <w:color w:val="auto"/>
                      <w:sz w:val="21"/>
                      <w:szCs w:val="21"/>
                    </w:rPr>
                  </w:pPr>
                  <w:r>
                    <w:rPr>
                      <w:color w:val="auto"/>
                      <w:sz w:val="21"/>
                      <w:szCs w:val="21"/>
                    </w:rPr>
                    <w:t>55</w:t>
                  </w:r>
                </w:p>
              </w:tc>
              <w:tc>
                <w:tcPr>
                  <w:tcW w:w="383" w:type="pct"/>
                  <w:vAlign w:val="center"/>
                </w:tcPr>
                <w:p>
                  <w:pPr>
                    <w:bidi w:val="0"/>
                    <w:spacing w:line="240" w:lineRule="auto"/>
                    <w:jc w:val="center"/>
                    <w:rPr>
                      <w:color w:val="auto"/>
                      <w:sz w:val="21"/>
                      <w:szCs w:val="21"/>
                    </w:rPr>
                  </w:pPr>
                  <w:r>
                    <w:rPr>
                      <w:color w:val="auto"/>
                      <w:sz w:val="21"/>
                      <w:szCs w:val="21"/>
                    </w:rPr>
                    <w:t>69</w:t>
                  </w:r>
                </w:p>
              </w:tc>
              <w:tc>
                <w:tcPr>
                  <w:tcW w:w="477" w:type="pct"/>
                  <w:vAlign w:val="center"/>
                </w:tcPr>
                <w:p>
                  <w:pPr>
                    <w:bidi w:val="0"/>
                    <w:spacing w:line="240" w:lineRule="auto"/>
                    <w:jc w:val="center"/>
                    <w:rPr>
                      <w:color w:val="auto"/>
                      <w:sz w:val="21"/>
                      <w:szCs w:val="21"/>
                    </w:rPr>
                  </w:pPr>
                  <w:r>
                    <w:rPr>
                      <w:color w:val="auto"/>
                      <w:sz w:val="21"/>
                      <w:szCs w:val="21"/>
                    </w:rPr>
                    <w:t>2.7</w:t>
                  </w:r>
                </w:p>
              </w:tc>
              <w:tc>
                <w:tcPr>
                  <w:tcW w:w="1022" w:type="pct"/>
                  <w:vAlign w:val="center"/>
                </w:tcPr>
                <w:p>
                  <w:pPr>
                    <w:bidi w:val="0"/>
                    <w:spacing w:line="240" w:lineRule="auto"/>
                    <w:jc w:val="center"/>
                    <w:rPr>
                      <w:color w:val="auto"/>
                      <w:sz w:val="21"/>
                      <w:szCs w:val="21"/>
                    </w:rPr>
                  </w:pPr>
                  <w:r>
                    <w:rPr>
                      <w:color w:val="auto"/>
                      <w:sz w:val="21"/>
                      <w:szCs w:val="21"/>
                    </w:rPr>
                    <w:t>63.7/1</w:t>
                  </w:r>
                </w:p>
              </w:tc>
              <w:tc>
                <w:tcPr>
                  <w:tcW w:w="862" w:type="pct"/>
                  <w:vAlign w:val="center"/>
                </w:tcPr>
                <w:p>
                  <w:pPr>
                    <w:bidi w:val="0"/>
                    <w:spacing w:line="240" w:lineRule="auto"/>
                    <w:jc w:val="center"/>
                    <w:rPr>
                      <w:color w:val="auto"/>
                      <w:sz w:val="21"/>
                      <w:szCs w:val="21"/>
                    </w:rPr>
                  </w:pPr>
                  <w:r>
                    <w:rPr>
                      <w:color w:val="auto"/>
                      <w:sz w:val="21"/>
                      <w:szCs w:val="21"/>
                    </w:rPr>
                    <w:t>减震隔声垫</w:t>
                  </w:r>
                </w:p>
              </w:tc>
              <w:tc>
                <w:tcPr>
                  <w:tcW w:w="856" w:type="pct"/>
                  <w:vAlign w:val="center"/>
                </w:tcPr>
                <w:p>
                  <w:pPr>
                    <w:bidi w:val="0"/>
                    <w:spacing w:line="240" w:lineRule="auto"/>
                    <w:jc w:val="center"/>
                    <w:rPr>
                      <w:color w:val="auto"/>
                      <w:sz w:val="21"/>
                      <w:szCs w:val="21"/>
                    </w:rPr>
                  </w:pPr>
                  <w:r>
                    <w:rPr>
                      <w:color w:val="auto"/>
                      <w:sz w:val="21"/>
                      <w:szCs w:val="21"/>
                    </w:rPr>
                    <w:t>0：00-24：00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31" w:type="pct"/>
                  <w:vAlign w:val="center"/>
                </w:tcPr>
                <w:p>
                  <w:pPr>
                    <w:bidi w:val="0"/>
                    <w:spacing w:line="240" w:lineRule="auto"/>
                    <w:jc w:val="center"/>
                    <w:rPr>
                      <w:color w:val="auto"/>
                      <w:sz w:val="21"/>
                      <w:szCs w:val="21"/>
                    </w:rPr>
                  </w:pPr>
                  <w:r>
                    <w:rPr>
                      <w:color w:val="auto"/>
                      <w:sz w:val="21"/>
                      <w:szCs w:val="21"/>
                    </w:rPr>
                    <w:t>3</w:t>
                  </w:r>
                </w:p>
              </w:tc>
              <w:tc>
                <w:tcPr>
                  <w:tcW w:w="565" w:type="pct"/>
                  <w:vAlign w:val="center"/>
                </w:tcPr>
                <w:p>
                  <w:pPr>
                    <w:bidi w:val="0"/>
                    <w:spacing w:line="240" w:lineRule="auto"/>
                    <w:jc w:val="center"/>
                    <w:rPr>
                      <w:color w:val="auto"/>
                      <w:sz w:val="21"/>
                      <w:szCs w:val="21"/>
                    </w:rPr>
                  </w:pPr>
                  <w:r>
                    <w:rPr>
                      <w:color w:val="auto"/>
                      <w:sz w:val="21"/>
                      <w:szCs w:val="21"/>
                    </w:rPr>
                    <w:t>3#主变</w:t>
                  </w:r>
                </w:p>
              </w:tc>
              <w:tc>
                <w:tcPr>
                  <w:tcW w:w="500" w:type="pct"/>
                  <w:vAlign w:val="center"/>
                </w:tcPr>
                <w:p>
                  <w:pPr>
                    <w:bidi w:val="0"/>
                    <w:spacing w:line="240" w:lineRule="auto"/>
                    <w:jc w:val="center"/>
                    <w:rPr>
                      <w:color w:val="auto"/>
                      <w:sz w:val="21"/>
                      <w:szCs w:val="21"/>
                    </w:rPr>
                  </w:pPr>
                  <w:r>
                    <w:rPr>
                      <w:color w:val="auto"/>
                      <w:sz w:val="21"/>
                      <w:szCs w:val="21"/>
                    </w:rPr>
                    <w:t>55</w:t>
                  </w:r>
                </w:p>
              </w:tc>
              <w:tc>
                <w:tcPr>
                  <w:tcW w:w="383" w:type="pct"/>
                  <w:vAlign w:val="center"/>
                </w:tcPr>
                <w:p>
                  <w:pPr>
                    <w:bidi w:val="0"/>
                    <w:spacing w:line="240" w:lineRule="auto"/>
                    <w:jc w:val="center"/>
                    <w:rPr>
                      <w:color w:val="auto"/>
                      <w:sz w:val="21"/>
                      <w:szCs w:val="21"/>
                    </w:rPr>
                  </w:pPr>
                  <w:r>
                    <w:rPr>
                      <w:color w:val="auto"/>
                      <w:sz w:val="21"/>
                      <w:szCs w:val="21"/>
                    </w:rPr>
                    <w:t>87</w:t>
                  </w:r>
                </w:p>
              </w:tc>
              <w:tc>
                <w:tcPr>
                  <w:tcW w:w="477" w:type="pct"/>
                  <w:vAlign w:val="center"/>
                </w:tcPr>
                <w:p>
                  <w:pPr>
                    <w:bidi w:val="0"/>
                    <w:spacing w:line="240" w:lineRule="auto"/>
                    <w:jc w:val="center"/>
                    <w:rPr>
                      <w:color w:val="auto"/>
                      <w:sz w:val="21"/>
                      <w:szCs w:val="21"/>
                    </w:rPr>
                  </w:pPr>
                  <w:r>
                    <w:rPr>
                      <w:color w:val="auto"/>
                      <w:sz w:val="21"/>
                      <w:szCs w:val="21"/>
                    </w:rPr>
                    <w:t>2.7</w:t>
                  </w:r>
                </w:p>
              </w:tc>
              <w:tc>
                <w:tcPr>
                  <w:tcW w:w="1022" w:type="pct"/>
                  <w:vAlign w:val="center"/>
                </w:tcPr>
                <w:p>
                  <w:pPr>
                    <w:bidi w:val="0"/>
                    <w:spacing w:line="240" w:lineRule="auto"/>
                    <w:jc w:val="center"/>
                    <w:rPr>
                      <w:color w:val="auto"/>
                      <w:sz w:val="21"/>
                      <w:szCs w:val="21"/>
                    </w:rPr>
                  </w:pPr>
                  <w:r>
                    <w:rPr>
                      <w:color w:val="auto"/>
                      <w:sz w:val="21"/>
                      <w:szCs w:val="21"/>
                    </w:rPr>
                    <w:t>63.7/1</w:t>
                  </w:r>
                </w:p>
              </w:tc>
              <w:tc>
                <w:tcPr>
                  <w:tcW w:w="862" w:type="pct"/>
                  <w:vAlign w:val="center"/>
                </w:tcPr>
                <w:p>
                  <w:pPr>
                    <w:bidi w:val="0"/>
                    <w:spacing w:line="240" w:lineRule="auto"/>
                    <w:jc w:val="center"/>
                    <w:rPr>
                      <w:color w:val="auto"/>
                      <w:sz w:val="21"/>
                      <w:szCs w:val="21"/>
                    </w:rPr>
                  </w:pPr>
                  <w:r>
                    <w:rPr>
                      <w:color w:val="auto"/>
                      <w:sz w:val="21"/>
                      <w:szCs w:val="21"/>
                    </w:rPr>
                    <w:t>减震隔声垫</w:t>
                  </w:r>
                </w:p>
              </w:tc>
              <w:tc>
                <w:tcPr>
                  <w:tcW w:w="856" w:type="pct"/>
                  <w:vAlign w:val="center"/>
                </w:tcPr>
                <w:p>
                  <w:pPr>
                    <w:bidi w:val="0"/>
                    <w:spacing w:line="240" w:lineRule="auto"/>
                    <w:jc w:val="center"/>
                    <w:rPr>
                      <w:color w:val="auto"/>
                      <w:sz w:val="21"/>
                      <w:szCs w:val="21"/>
                    </w:rPr>
                  </w:pPr>
                  <w:r>
                    <w:rPr>
                      <w:color w:val="auto"/>
                      <w:sz w:val="21"/>
                      <w:szCs w:val="21"/>
                    </w:rPr>
                    <w:t>0：00-24：00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31" w:type="pct"/>
                  <w:vAlign w:val="center"/>
                </w:tcPr>
                <w:p>
                  <w:pPr>
                    <w:bidi w:val="0"/>
                    <w:spacing w:line="240" w:lineRule="auto"/>
                    <w:jc w:val="center"/>
                    <w:rPr>
                      <w:color w:val="auto"/>
                      <w:sz w:val="21"/>
                      <w:szCs w:val="21"/>
                    </w:rPr>
                  </w:pPr>
                  <w:r>
                    <w:rPr>
                      <w:color w:val="auto"/>
                      <w:sz w:val="21"/>
                      <w:szCs w:val="21"/>
                    </w:rPr>
                    <w:t>4</w:t>
                  </w:r>
                </w:p>
              </w:tc>
              <w:tc>
                <w:tcPr>
                  <w:tcW w:w="565" w:type="pct"/>
                  <w:vAlign w:val="center"/>
                </w:tcPr>
                <w:p>
                  <w:pPr>
                    <w:bidi w:val="0"/>
                    <w:spacing w:line="240" w:lineRule="auto"/>
                    <w:jc w:val="center"/>
                    <w:rPr>
                      <w:color w:val="auto"/>
                      <w:sz w:val="21"/>
                      <w:szCs w:val="21"/>
                    </w:rPr>
                  </w:pPr>
                  <w:r>
                    <w:rPr>
                      <w:color w:val="auto"/>
                      <w:sz w:val="21"/>
                      <w:szCs w:val="21"/>
                    </w:rPr>
                    <w:t>4#主变</w:t>
                  </w:r>
                </w:p>
              </w:tc>
              <w:tc>
                <w:tcPr>
                  <w:tcW w:w="500" w:type="pct"/>
                  <w:vAlign w:val="center"/>
                </w:tcPr>
                <w:p>
                  <w:pPr>
                    <w:bidi w:val="0"/>
                    <w:spacing w:line="240" w:lineRule="auto"/>
                    <w:jc w:val="center"/>
                    <w:rPr>
                      <w:color w:val="auto"/>
                      <w:sz w:val="21"/>
                      <w:szCs w:val="21"/>
                    </w:rPr>
                  </w:pPr>
                  <w:r>
                    <w:rPr>
                      <w:color w:val="auto"/>
                      <w:sz w:val="21"/>
                      <w:szCs w:val="21"/>
                    </w:rPr>
                    <w:t>55</w:t>
                  </w:r>
                </w:p>
              </w:tc>
              <w:tc>
                <w:tcPr>
                  <w:tcW w:w="383" w:type="pct"/>
                  <w:vAlign w:val="center"/>
                </w:tcPr>
                <w:p>
                  <w:pPr>
                    <w:bidi w:val="0"/>
                    <w:spacing w:line="240" w:lineRule="auto"/>
                    <w:jc w:val="center"/>
                    <w:rPr>
                      <w:color w:val="auto"/>
                      <w:sz w:val="21"/>
                      <w:szCs w:val="21"/>
                    </w:rPr>
                  </w:pPr>
                  <w:r>
                    <w:rPr>
                      <w:color w:val="auto"/>
                      <w:sz w:val="21"/>
                      <w:szCs w:val="21"/>
                    </w:rPr>
                    <w:t>96</w:t>
                  </w:r>
                </w:p>
              </w:tc>
              <w:tc>
                <w:tcPr>
                  <w:tcW w:w="477" w:type="pct"/>
                  <w:vAlign w:val="center"/>
                </w:tcPr>
                <w:p>
                  <w:pPr>
                    <w:bidi w:val="0"/>
                    <w:spacing w:line="240" w:lineRule="auto"/>
                    <w:jc w:val="center"/>
                    <w:rPr>
                      <w:color w:val="auto"/>
                      <w:sz w:val="21"/>
                      <w:szCs w:val="21"/>
                    </w:rPr>
                  </w:pPr>
                  <w:r>
                    <w:rPr>
                      <w:color w:val="auto"/>
                      <w:sz w:val="21"/>
                      <w:szCs w:val="21"/>
                    </w:rPr>
                    <w:t>2.7</w:t>
                  </w:r>
                </w:p>
              </w:tc>
              <w:tc>
                <w:tcPr>
                  <w:tcW w:w="1022" w:type="pct"/>
                  <w:vAlign w:val="center"/>
                </w:tcPr>
                <w:p>
                  <w:pPr>
                    <w:bidi w:val="0"/>
                    <w:spacing w:line="240" w:lineRule="auto"/>
                    <w:jc w:val="center"/>
                    <w:rPr>
                      <w:color w:val="auto"/>
                      <w:sz w:val="21"/>
                      <w:szCs w:val="21"/>
                    </w:rPr>
                  </w:pPr>
                  <w:r>
                    <w:rPr>
                      <w:color w:val="auto"/>
                      <w:sz w:val="21"/>
                      <w:szCs w:val="21"/>
                    </w:rPr>
                    <w:t>63.7/1</w:t>
                  </w:r>
                </w:p>
              </w:tc>
              <w:tc>
                <w:tcPr>
                  <w:tcW w:w="862" w:type="pct"/>
                  <w:vAlign w:val="center"/>
                </w:tcPr>
                <w:p>
                  <w:pPr>
                    <w:bidi w:val="0"/>
                    <w:spacing w:line="240" w:lineRule="auto"/>
                    <w:jc w:val="center"/>
                    <w:rPr>
                      <w:color w:val="auto"/>
                      <w:sz w:val="21"/>
                      <w:szCs w:val="21"/>
                    </w:rPr>
                  </w:pPr>
                  <w:r>
                    <w:rPr>
                      <w:color w:val="auto"/>
                      <w:sz w:val="21"/>
                      <w:szCs w:val="21"/>
                    </w:rPr>
                    <w:t>减震隔声垫</w:t>
                  </w:r>
                </w:p>
              </w:tc>
              <w:tc>
                <w:tcPr>
                  <w:tcW w:w="856" w:type="pct"/>
                  <w:vAlign w:val="center"/>
                </w:tcPr>
                <w:p>
                  <w:pPr>
                    <w:bidi w:val="0"/>
                    <w:spacing w:line="240" w:lineRule="auto"/>
                    <w:jc w:val="center"/>
                    <w:rPr>
                      <w:color w:val="auto"/>
                      <w:sz w:val="21"/>
                      <w:szCs w:val="21"/>
                    </w:rPr>
                  </w:pPr>
                  <w:r>
                    <w:rPr>
                      <w:color w:val="auto"/>
                      <w:sz w:val="21"/>
                      <w:szCs w:val="21"/>
                    </w:rPr>
                    <w:t>0：00-24：00</w:t>
                  </w:r>
                </w:p>
              </w:tc>
            </w:tr>
          </w:tbl>
          <w:p>
            <w:pPr>
              <w:bidi w:val="0"/>
              <w:ind w:firstLine="480" w:firstLineChars="200"/>
              <w:rPr>
                <w:rFonts w:hint="default"/>
                <w:color w:val="auto"/>
                <w:lang w:val="en-US" w:eastAsia="zh-CN"/>
              </w:rPr>
            </w:pPr>
            <w:r>
              <w:rPr>
                <w:rFonts w:hint="default"/>
                <w:color w:val="auto"/>
                <w:lang w:val="en-US" w:eastAsia="zh-CN"/>
              </w:rPr>
              <w:t>根据验收监测结果表明，</w:t>
            </w:r>
            <w:r>
              <w:rPr>
                <w:color w:val="auto"/>
              </w:rPr>
              <w:t>110kV北部滩升压站运营后，</w:t>
            </w:r>
            <w:r>
              <w:rPr>
                <w:rFonts w:hint="eastAsia"/>
                <w:color w:val="auto"/>
                <w:lang w:val="en-US" w:eastAsia="zh-CN"/>
              </w:rPr>
              <w:t>升压站</w:t>
            </w:r>
            <w:r>
              <w:rPr>
                <w:color w:val="auto"/>
              </w:rPr>
              <w:t>四周围墙外1m处的昼间噪声监测值为4</w:t>
            </w:r>
            <w:r>
              <w:rPr>
                <w:rFonts w:hint="eastAsia"/>
                <w:color w:val="auto"/>
                <w:lang w:val="en-US" w:eastAsia="zh-CN"/>
              </w:rPr>
              <w:t>6.3</w:t>
            </w:r>
            <w:r>
              <w:rPr>
                <w:color w:val="auto"/>
              </w:rPr>
              <w:t>～4</w:t>
            </w:r>
            <w:r>
              <w:rPr>
                <w:rFonts w:hint="eastAsia"/>
                <w:color w:val="auto"/>
                <w:lang w:val="en-US" w:eastAsia="zh-CN"/>
              </w:rPr>
              <w:t>4.5</w:t>
            </w:r>
            <w:r>
              <w:rPr>
                <w:color w:val="auto"/>
              </w:rPr>
              <w:t>dB(A)，夜间为4</w:t>
            </w:r>
            <w:r>
              <w:rPr>
                <w:rFonts w:hint="eastAsia"/>
                <w:color w:val="auto"/>
                <w:lang w:val="en-US" w:eastAsia="zh-CN"/>
              </w:rPr>
              <w:t>2.4</w:t>
            </w:r>
            <w:r>
              <w:rPr>
                <w:color w:val="auto"/>
              </w:rPr>
              <w:t>～4</w:t>
            </w:r>
            <w:r>
              <w:rPr>
                <w:rFonts w:hint="eastAsia"/>
                <w:color w:val="auto"/>
                <w:lang w:val="en-US" w:eastAsia="zh-CN"/>
              </w:rPr>
              <w:t>4.5</w:t>
            </w:r>
            <w:r>
              <w:rPr>
                <w:color w:val="auto"/>
              </w:rPr>
              <w:t>dB(A)，输电线路昼间噪声监测值为4</w:t>
            </w:r>
            <w:r>
              <w:rPr>
                <w:rFonts w:hint="eastAsia"/>
                <w:color w:val="auto"/>
                <w:lang w:val="en-US" w:eastAsia="zh-CN"/>
              </w:rPr>
              <w:t>6.3</w:t>
            </w:r>
            <w:r>
              <w:rPr>
                <w:color w:val="auto"/>
              </w:rPr>
              <w:t>～4</w:t>
            </w:r>
            <w:r>
              <w:rPr>
                <w:rFonts w:hint="eastAsia"/>
                <w:color w:val="auto"/>
                <w:lang w:val="en-US" w:eastAsia="zh-CN"/>
              </w:rPr>
              <w:t>6.5</w:t>
            </w:r>
            <w:r>
              <w:rPr>
                <w:color w:val="auto"/>
              </w:rPr>
              <w:t>dB(A)，夜间为4</w:t>
            </w:r>
            <w:r>
              <w:rPr>
                <w:rFonts w:hint="eastAsia"/>
                <w:color w:val="auto"/>
                <w:lang w:val="en-US" w:eastAsia="zh-CN"/>
              </w:rPr>
              <w:t>1.2</w:t>
            </w:r>
            <w:r>
              <w:rPr>
                <w:color w:val="auto"/>
              </w:rPr>
              <w:t>～4</w:t>
            </w:r>
            <w:r>
              <w:rPr>
                <w:rFonts w:hint="eastAsia"/>
                <w:color w:val="auto"/>
                <w:lang w:val="en-US" w:eastAsia="zh-CN"/>
              </w:rPr>
              <w:t>1.6</w:t>
            </w:r>
            <w:r>
              <w:rPr>
                <w:color w:val="auto"/>
              </w:rPr>
              <w:t>dB(A)，满足《工业企业厂界环境噪声排放标准》（GB12348-2008）2 类标准限值要求。</w:t>
            </w:r>
          </w:p>
          <w:p>
            <w:pPr>
              <w:bidi w:val="0"/>
              <w:ind w:firstLine="482" w:firstLineChars="200"/>
              <w:rPr>
                <w:rFonts w:hint="default"/>
                <w:b/>
                <w:bCs/>
                <w:color w:val="auto"/>
                <w:lang w:val="en-US" w:eastAsia="zh-CN"/>
              </w:rPr>
            </w:pPr>
            <w:r>
              <w:rPr>
                <w:rFonts w:hint="default"/>
                <w:b/>
                <w:bCs/>
                <w:color w:val="auto"/>
                <w:lang w:val="en-US" w:eastAsia="zh-CN"/>
              </w:rPr>
              <w:t>3、水环境影响调查</w:t>
            </w:r>
          </w:p>
          <w:p>
            <w:pPr>
              <w:bidi w:val="0"/>
              <w:ind w:firstLine="482" w:firstLineChars="200"/>
              <w:rPr>
                <w:b/>
                <w:bCs/>
                <w:color w:val="auto"/>
              </w:rPr>
            </w:pPr>
            <w:r>
              <w:rPr>
                <w:b/>
                <w:bCs/>
                <w:color w:val="auto"/>
              </w:rPr>
              <w:t>（1）110KV北部滩升压站</w:t>
            </w:r>
          </w:p>
          <w:p>
            <w:pPr>
              <w:bidi w:val="0"/>
              <w:ind w:firstLine="480" w:firstLineChars="200"/>
              <w:rPr>
                <w:color w:val="auto"/>
              </w:rPr>
            </w:pPr>
            <w:r>
              <w:rPr>
                <w:color w:val="auto"/>
              </w:rPr>
              <w:t>本项目运营期产生的废水主要为生活污水。</w:t>
            </w:r>
          </w:p>
          <w:p>
            <w:pPr>
              <w:bidi w:val="0"/>
              <w:ind w:firstLine="480" w:firstLineChars="200"/>
              <w:rPr>
                <w:color w:val="auto"/>
              </w:rPr>
            </w:pPr>
            <w:r>
              <w:rPr>
                <w:color w:val="auto"/>
              </w:rPr>
              <w:t>本项目运营期餐饮废水经隔油池（1.0m</w:t>
            </w:r>
            <w:r>
              <w:rPr>
                <w:color w:val="auto"/>
                <w:vertAlign w:val="superscript"/>
              </w:rPr>
              <w:t>3</w:t>
            </w:r>
            <w:r>
              <w:rPr>
                <w:color w:val="auto"/>
              </w:rPr>
              <w:t>）处理后，与生活污水经地埋式一体化污水处理设施（</w:t>
            </w:r>
            <w:r>
              <w:rPr>
                <w:rFonts w:hint="eastAsia"/>
                <w:color w:val="auto"/>
                <w:lang w:val="en-US" w:eastAsia="zh-CN"/>
              </w:rPr>
              <w:t>20</w:t>
            </w:r>
            <w:r>
              <w:rPr>
                <w:color w:val="auto"/>
              </w:rPr>
              <w:t>m</w:t>
            </w:r>
            <w:r>
              <w:rPr>
                <w:color w:val="auto"/>
                <w:vertAlign w:val="superscript"/>
              </w:rPr>
              <w:t>3</w:t>
            </w:r>
            <w:r>
              <w:rPr>
                <w:color w:val="auto"/>
              </w:rPr>
              <w:t>/d）处理后达到《城市污水再生利用  城市杂用水水质》（GB/T 18920-2020）中表1城市绿化、道路清扫、消防、建筑施工限值后用于场区绿化、洒水降尘，不外排。</w:t>
            </w:r>
          </w:p>
          <w:p>
            <w:pPr>
              <w:bidi w:val="0"/>
              <w:ind w:firstLine="482" w:firstLineChars="200"/>
              <w:rPr>
                <w:b/>
                <w:bCs/>
                <w:color w:val="auto"/>
              </w:rPr>
            </w:pPr>
            <w:r>
              <w:rPr>
                <w:b/>
                <w:bCs/>
                <w:color w:val="auto"/>
              </w:rPr>
              <w:t>（2）110kV输电线路</w:t>
            </w:r>
          </w:p>
          <w:p>
            <w:pPr>
              <w:bidi w:val="0"/>
              <w:ind w:firstLine="480" w:firstLineChars="200"/>
              <w:rPr>
                <w:rFonts w:hint="default"/>
                <w:color w:val="auto"/>
                <w:lang w:val="en-US" w:eastAsia="zh-CN"/>
              </w:rPr>
            </w:pPr>
            <w:r>
              <w:rPr>
                <w:color w:val="auto"/>
              </w:rPr>
              <w:t>本工程输电线路运营期无废污水产生。</w:t>
            </w:r>
          </w:p>
          <w:p>
            <w:pPr>
              <w:bidi w:val="0"/>
              <w:ind w:firstLine="482" w:firstLineChars="200"/>
              <w:rPr>
                <w:rFonts w:hint="default"/>
                <w:b/>
                <w:bCs/>
                <w:color w:val="auto"/>
                <w:lang w:val="en-US" w:eastAsia="zh-CN"/>
              </w:rPr>
            </w:pPr>
            <w:r>
              <w:rPr>
                <w:rFonts w:hint="default"/>
                <w:b/>
                <w:bCs/>
                <w:color w:val="auto"/>
                <w:lang w:val="en-US" w:eastAsia="zh-CN"/>
              </w:rPr>
              <w:t>4、固废影响调查</w:t>
            </w:r>
          </w:p>
          <w:p>
            <w:pPr>
              <w:bidi w:val="0"/>
              <w:ind w:firstLine="480" w:firstLineChars="200"/>
              <w:jc w:val="left"/>
              <w:rPr>
                <w:color w:val="auto"/>
              </w:rPr>
            </w:pPr>
            <w:r>
              <w:rPr>
                <w:color w:val="auto"/>
              </w:rPr>
              <w:t>本项目产生的固体废物为生活垃圾、废铅蓄电池、事故油。</w:t>
            </w:r>
          </w:p>
          <w:p>
            <w:pPr>
              <w:bidi w:val="0"/>
              <w:ind w:firstLine="482" w:firstLineChars="200"/>
              <w:jc w:val="left"/>
              <w:rPr>
                <w:b/>
                <w:bCs/>
                <w:color w:val="auto"/>
              </w:rPr>
            </w:pPr>
            <w:r>
              <w:rPr>
                <w:b/>
                <w:bCs/>
                <w:color w:val="auto"/>
              </w:rPr>
              <w:t>（1）生活垃圾</w:t>
            </w:r>
          </w:p>
          <w:p>
            <w:pPr>
              <w:bidi w:val="0"/>
              <w:ind w:firstLine="480" w:firstLineChars="200"/>
              <w:jc w:val="left"/>
              <w:rPr>
                <w:color w:val="auto"/>
              </w:rPr>
            </w:pPr>
            <w:r>
              <w:rPr>
                <w:color w:val="auto"/>
              </w:rPr>
              <w:t>项目运营期劳动定员为4人，每人每天产生 1kg生活垃圾，每年产生1.46t/a，集中</w:t>
            </w:r>
          </w:p>
          <w:p>
            <w:pPr>
              <w:bidi w:val="0"/>
              <w:jc w:val="left"/>
              <w:rPr>
                <w:color w:val="auto"/>
              </w:rPr>
            </w:pPr>
            <w:r>
              <w:rPr>
                <w:color w:val="auto"/>
              </w:rPr>
              <w:t>收集后运往环卫部门指定地点处置。</w:t>
            </w:r>
          </w:p>
          <w:p>
            <w:pPr>
              <w:bidi w:val="0"/>
              <w:ind w:firstLine="482" w:firstLineChars="200"/>
              <w:jc w:val="left"/>
              <w:rPr>
                <w:b/>
                <w:bCs/>
                <w:color w:val="auto"/>
              </w:rPr>
            </w:pPr>
            <w:r>
              <w:rPr>
                <w:b/>
                <w:bCs/>
                <w:color w:val="auto"/>
              </w:rPr>
              <w:t>（2）一般工业固体废物</w:t>
            </w:r>
          </w:p>
          <w:p>
            <w:pPr>
              <w:bidi w:val="0"/>
              <w:ind w:firstLine="482" w:firstLineChars="200"/>
              <w:jc w:val="left"/>
              <w:rPr>
                <w:b/>
                <w:bCs/>
                <w:color w:val="auto"/>
              </w:rPr>
            </w:pPr>
            <w:r>
              <w:rPr>
                <w:b/>
                <w:bCs/>
                <w:color w:val="auto"/>
              </w:rPr>
              <w:t>1）废储能电池</w:t>
            </w:r>
          </w:p>
          <w:p>
            <w:pPr>
              <w:bidi w:val="0"/>
              <w:ind w:firstLine="480" w:firstLineChars="200"/>
              <w:jc w:val="left"/>
              <w:rPr>
                <w:color w:val="auto"/>
              </w:rPr>
            </w:pPr>
            <w:r>
              <w:rPr>
                <w:color w:val="auto"/>
              </w:rPr>
              <w:t>储能系统使用磷酸铁锂电池，根据《一般工业固体废物分类名录及废物代码》（2021版实施），储能系统产生的废锂电池固废代码为“废弃资源 13（废电池” ），储能系统退</w:t>
            </w:r>
          </w:p>
          <w:p>
            <w:pPr>
              <w:bidi w:val="0"/>
              <w:jc w:val="left"/>
              <w:rPr>
                <w:color w:val="auto"/>
              </w:rPr>
            </w:pPr>
            <w:r>
              <w:rPr>
                <w:color w:val="auto"/>
              </w:rPr>
              <w:t>役的磷酸铁锂电池由</w:t>
            </w:r>
            <w:r>
              <w:rPr>
                <w:rFonts w:hint="eastAsia"/>
                <w:color w:val="auto"/>
              </w:rPr>
              <w:t>甘肃禾希环保科技有限公司</w:t>
            </w:r>
            <w:r>
              <w:rPr>
                <w:color w:val="auto"/>
              </w:rPr>
              <w:t>统一回收，站内不储存。</w:t>
            </w:r>
          </w:p>
          <w:p>
            <w:pPr>
              <w:bidi w:val="0"/>
              <w:ind w:firstLine="482" w:firstLineChars="200"/>
              <w:jc w:val="left"/>
              <w:rPr>
                <w:b/>
                <w:bCs/>
                <w:color w:val="auto"/>
              </w:rPr>
            </w:pPr>
            <w:r>
              <w:rPr>
                <w:b/>
                <w:bCs/>
                <w:color w:val="auto"/>
              </w:rPr>
              <w:t>（3）危险废物</w:t>
            </w:r>
          </w:p>
          <w:p>
            <w:pPr>
              <w:bidi w:val="0"/>
              <w:ind w:firstLine="482" w:firstLineChars="200"/>
              <w:jc w:val="left"/>
              <w:rPr>
                <w:b/>
                <w:bCs/>
                <w:color w:val="auto"/>
              </w:rPr>
            </w:pPr>
            <w:r>
              <w:rPr>
                <w:b/>
                <w:bCs/>
                <w:color w:val="auto"/>
              </w:rPr>
              <w:t>1）废铅蓄电池</w:t>
            </w:r>
          </w:p>
          <w:p>
            <w:pPr>
              <w:bidi w:val="0"/>
              <w:ind w:firstLine="480" w:firstLineChars="200"/>
              <w:jc w:val="left"/>
              <w:rPr>
                <w:color w:val="auto"/>
              </w:rPr>
            </w:pPr>
            <w:r>
              <w:rPr>
                <w:color w:val="auto"/>
              </w:rPr>
              <w:t>110kV 北部滩升压站设备维修、更新产生废蓄电池，根据《国家危险废物名录》（2021  年版），废弃的铅酸蓄属于危险废物，废物类别为HW31含铅废物，危废代码900-052-31， 1组主变压器需配备蓄电池约200块，变电站内蓄电池使用寿命一般为8年，待蓄电池到寿命周期时，暂存于10m</w:t>
            </w:r>
            <w:r>
              <w:rPr>
                <w:color w:val="auto"/>
                <w:vertAlign w:val="superscript"/>
              </w:rPr>
              <w:t>2</w:t>
            </w:r>
            <w:r>
              <w:rPr>
                <w:color w:val="auto"/>
              </w:rPr>
              <w:t>的危废暂存间，交由</w:t>
            </w:r>
            <w:r>
              <w:rPr>
                <w:rFonts w:hint="eastAsia"/>
                <w:color w:val="auto"/>
              </w:rPr>
              <w:t>甘肃禾希环保科技有限公司</w:t>
            </w:r>
            <w:r>
              <w:rPr>
                <w:color w:val="auto"/>
              </w:rPr>
              <w:t>处置，不随意丢弃。</w:t>
            </w:r>
          </w:p>
          <w:p>
            <w:pPr>
              <w:bidi w:val="0"/>
              <w:ind w:firstLine="480" w:firstLineChars="200"/>
              <w:jc w:val="left"/>
              <w:rPr>
                <w:color w:val="auto"/>
              </w:rPr>
            </w:pPr>
            <w:r>
              <w:rPr>
                <w:color w:val="auto"/>
              </w:rPr>
              <w:t>废蓄电池产生周期较长，更换时由厂家进行更换新蓄电池，并委托</w:t>
            </w:r>
            <w:r>
              <w:rPr>
                <w:rFonts w:hint="eastAsia"/>
                <w:color w:val="auto"/>
              </w:rPr>
              <w:t>甘肃禾希环保科技有限公司</w:t>
            </w:r>
            <w:r>
              <w:rPr>
                <w:color w:val="auto"/>
              </w:rPr>
              <w:t>进行回收并安全处置，符合《危险废物污染防治技术政策》（环发〔2001〕199 号）文件要求。为严格落实危废处理处置相关政策，运营期建设单位在处置废蓄电池时需对危险废物处置单位提出严格要求，并遵守以下规定：</w:t>
            </w:r>
          </w:p>
          <w:p>
            <w:pPr>
              <w:bidi w:val="0"/>
              <w:ind w:firstLine="480" w:firstLineChars="200"/>
              <w:jc w:val="left"/>
              <w:rPr>
                <w:color w:val="auto"/>
              </w:rPr>
            </w:pPr>
            <w:r>
              <w:rPr>
                <w:color w:val="auto"/>
              </w:rPr>
              <w:t>A 签约的废蓄电池更换企业需具备危险废物经营许可证，且核准经营危险废物具有HW31 电池制造中384-004-31类别；</w:t>
            </w:r>
          </w:p>
          <w:p>
            <w:pPr>
              <w:bidi w:val="0"/>
              <w:ind w:firstLine="480" w:firstLineChars="200"/>
              <w:jc w:val="left"/>
              <w:rPr>
                <w:color w:val="auto"/>
              </w:rPr>
            </w:pPr>
            <w:r>
              <w:rPr>
                <w:color w:val="auto"/>
              </w:rPr>
              <w:t>B 危险废物转移过程应按《危险废物转移联单管理办法》执行；</w:t>
            </w:r>
          </w:p>
          <w:p>
            <w:pPr>
              <w:bidi w:val="0"/>
              <w:ind w:firstLine="480" w:firstLineChars="200"/>
              <w:jc w:val="left"/>
              <w:rPr>
                <w:color w:val="auto"/>
              </w:rPr>
            </w:pPr>
            <w:r>
              <w:rPr>
                <w:color w:val="auto"/>
              </w:rPr>
              <w:t>C 废铅酸蓄电池的收集、运输过程应满足《废铅酸蓄电池处理污染控制技术规范》（HJ519-2020）的相关技术要求。</w:t>
            </w:r>
          </w:p>
          <w:p>
            <w:pPr>
              <w:bidi w:val="0"/>
              <w:ind w:firstLine="482" w:firstLineChars="200"/>
              <w:jc w:val="left"/>
              <w:rPr>
                <w:b/>
                <w:bCs/>
                <w:color w:val="auto"/>
              </w:rPr>
            </w:pPr>
            <w:r>
              <w:rPr>
                <w:rFonts w:hint="eastAsia"/>
                <w:b/>
                <w:bCs/>
                <w:color w:val="auto"/>
                <w:lang w:val="en-US" w:eastAsia="zh-CN"/>
              </w:rPr>
              <w:t>2</w:t>
            </w:r>
            <w:r>
              <w:rPr>
                <w:rFonts w:hint="eastAsia"/>
                <w:b/>
                <w:bCs/>
                <w:color w:val="auto"/>
                <w:lang w:eastAsia="zh-CN"/>
              </w:rPr>
              <w:t>）</w:t>
            </w:r>
            <w:r>
              <w:rPr>
                <w:b/>
                <w:bCs/>
                <w:color w:val="auto"/>
              </w:rPr>
              <w:t>事故油</w:t>
            </w:r>
          </w:p>
          <w:p>
            <w:pPr>
              <w:bidi w:val="0"/>
              <w:ind w:firstLine="480" w:firstLineChars="200"/>
              <w:jc w:val="left"/>
              <w:rPr>
                <w:rFonts w:hint="eastAsia"/>
                <w:color w:val="auto"/>
                <w:lang w:val="en-US" w:eastAsia="zh-CN"/>
              </w:rPr>
            </w:pPr>
            <w:r>
              <w:rPr>
                <w:color w:val="auto"/>
              </w:rPr>
              <w:t>根据《火力发电厂与变电站设计防火标准》（GB50229-2019）中 6.7.7“户内单台总油量为100kg以上的电气设备，应设置挡油设施及将事故油排至安全处的设施。挡油设施的容积宜按油量的20%设计，设计修建一座7m</w:t>
            </w:r>
            <w:r>
              <w:rPr>
                <w:color w:val="auto"/>
                <w:vertAlign w:val="superscript"/>
              </w:rPr>
              <w:t>3</w:t>
            </w:r>
            <w:r>
              <w:rPr>
                <w:color w:val="auto"/>
              </w:rPr>
              <w:t>的油坑，当不能满足上述要求时，应设置能容纳全部油量的贮油设施。因此，本升压站事故油池应能容纳单台油重最大的一台变压器的全部排油。本期工程建成后升压站配套4台主变压器，规模为4× 120MVA，单台变压器油重为28.29t，按变压器事故时100%的最大泄油量考虑（油的密度为0.895t/m</w:t>
            </w:r>
            <w:r>
              <w:rPr>
                <w:color w:val="auto"/>
                <w:vertAlign w:val="superscript"/>
              </w:rPr>
              <w:t>3</w:t>
            </w:r>
            <w:r>
              <w:rPr>
                <w:color w:val="auto"/>
              </w:rPr>
              <w:t>），升压站主变压器单台最大泄油量为31.61m</w:t>
            </w:r>
            <w:r>
              <w:rPr>
                <w:color w:val="auto"/>
                <w:vertAlign w:val="superscript"/>
              </w:rPr>
              <w:t>3</w:t>
            </w:r>
            <w:r>
              <w:rPr>
                <w:color w:val="auto"/>
              </w:rPr>
              <w:t>，事故油池设计容量为34m</w:t>
            </w:r>
            <w:r>
              <w:rPr>
                <w:color w:val="auto"/>
                <w:vertAlign w:val="superscript"/>
              </w:rPr>
              <w:t>3</w:t>
            </w:r>
            <w:r>
              <w:rPr>
                <w:color w:val="auto"/>
              </w:rPr>
              <w:t>， 容积可以满足本期需要。</w:t>
            </w:r>
            <w:r>
              <w:rPr>
                <w:rFonts w:hint="eastAsia"/>
                <w:color w:val="auto"/>
                <w:lang w:val="en-US" w:eastAsia="zh-CN"/>
              </w:rPr>
              <w:t xml:space="preserve">  </w:t>
            </w:r>
          </w:p>
          <w:p>
            <w:pPr>
              <w:bidi w:val="0"/>
              <w:ind w:firstLine="480" w:firstLineChars="200"/>
              <w:jc w:val="left"/>
              <w:rPr>
                <w:rFonts w:hint="eastAsia"/>
                <w:color w:val="auto"/>
                <w:lang w:val="en-US" w:eastAsia="zh-CN"/>
              </w:rPr>
            </w:pPr>
            <w:r>
              <w:rPr>
                <w:color w:val="auto"/>
              </w:rPr>
              <w:t>升压站主变下设有事故油坑，铺设卵石层，四周设有排油槽并与事故油池相连。变压器排油时，所有的废油将渗过卵石层并通过排油槽到达事故油池，交由</w:t>
            </w:r>
            <w:r>
              <w:rPr>
                <w:rFonts w:hint="eastAsia"/>
                <w:color w:val="auto"/>
              </w:rPr>
              <w:t>甘肃禾希环保科技有限公司</w:t>
            </w:r>
            <w:r>
              <w:rPr>
                <w:color w:val="auto"/>
              </w:rPr>
              <w:t>统一处理。</w:t>
            </w:r>
          </w:p>
          <w:p>
            <w:pPr>
              <w:numPr>
                <w:ilvl w:val="0"/>
                <w:numId w:val="0"/>
              </w:numPr>
              <w:bidi w:val="0"/>
              <w:ind w:firstLine="482" w:firstLineChars="200"/>
              <w:rPr>
                <w:rFonts w:hint="default"/>
                <w:b/>
                <w:bCs/>
                <w:color w:val="auto"/>
                <w:lang w:val="en-US" w:eastAsia="zh-CN"/>
              </w:rPr>
            </w:pPr>
            <w:r>
              <w:rPr>
                <w:rFonts w:hint="eastAsia"/>
                <w:b/>
                <w:bCs/>
                <w:color w:val="auto"/>
                <w:lang w:val="en-US" w:eastAsia="zh-CN"/>
              </w:rPr>
              <w:t>5、大气环境影响调查</w:t>
            </w:r>
          </w:p>
          <w:p>
            <w:pPr>
              <w:bidi w:val="0"/>
              <w:ind w:firstLine="480" w:firstLineChars="200"/>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本项目油烟经油烟净化装置处理，油烟净化效率不低于60%，</w:t>
            </w:r>
            <w:r>
              <w:rPr>
                <w:rFonts w:hint="default"/>
                <w:color w:val="auto"/>
                <w:lang w:val="en-US" w:eastAsia="zh-CN"/>
              </w:rPr>
              <w:t>根据验收期间监测结果，本项目食堂油烟满足</w:t>
            </w:r>
            <w:r>
              <w:rPr>
                <w:rFonts w:hint="default"/>
                <w:color w:val="auto"/>
                <w:lang w:eastAsia="zh-CN"/>
              </w:rPr>
              <w:t>《</w:t>
            </w:r>
            <w:r>
              <w:rPr>
                <w:rFonts w:hint="default"/>
                <w:color w:val="auto"/>
              </w:rPr>
              <w:t>饮食业油烟排放标准》（试行）（GB18483-2001）</w:t>
            </w:r>
            <w:r>
              <w:rPr>
                <w:rFonts w:hint="default" w:ascii="Times New Roman" w:hAnsi="Times New Roman" w:eastAsia="宋体"/>
                <w:color w:val="auto"/>
                <w:lang w:val="en-US" w:eastAsia="zh-CN"/>
              </w:rPr>
              <w:t>中的小型规模标准。</w:t>
            </w:r>
          </w:p>
          <w:p>
            <w:pPr>
              <w:numPr>
                <w:ilvl w:val="0"/>
                <w:numId w:val="3"/>
              </w:numPr>
              <w:bidi w:val="0"/>
              <w:ind w:firstLine="482" w:firstLineChars="200"/>
              <w:rPr>
                <w:rFonts w:hint="eastAsia"/>
                <w:b/>
                <w:bCs/>
                <w:color w:val="auto"/>
                <w:lang w:val="en-US" w:eastAsia="zh-CN"/>
              </w:rPr>
            </w:pPr>
            <w:r>
              <w:rPr>
                <w:rFonts w:hint="eastAsia"/>
                <w:b/>
                <w:bCs/>
                <w:color w:val="auto"/>
                <w:lang w:val="en-US" w:eastAsia="zh-CN"/>
              </w:rPr>
              <w:t>环境风险</w:t>
            </w:r>
          </w:p>
          <w:p>
            <w:pPr>
              <w:bidi w:val="0"/>
              <w:ind w:firstLine="480" w:firstLineChars="200"/>
              <w:rPr>
                <w:b/>
                <w:bCs/>
                <w:color w:val="auto"/>
              </w:rPr>
            </w:pPr>
            <w:r>
              <w:rPr>
                <w:color w:val="auto"/>
              </w:rPr>
              <w:t>本项目建设区域不涉及居住、医疗卫生、文化教育、科研、行政办公等为主要功能的区域，且升压站运行期产生的环境影响主要为噪声及电磁环境影响，输电线路、升压站生态环境影响主要在施工期。本项目施工结束后对临时占地及时恢复，因此，本项目运行期不会对周围的生态环境造成不良影响。</w:t>
            </w:r>
          </w:p>
          <w:p>
            <w:pPr>
              <w:bidi w:val="0"/>
              <w:ind w:firstLine="482" w:firstLineChars="200"/>
              <w:rPr>
                <w:b/>
                <w:bCs/>
                <w:color w:val="auto"/>
              </w:rPr>
            </w:pPr>
            <w:r>
              <w:rPr>
                <w:b/>
                <w:bCs/>
                <w:color w:val="auto"/>
              </w:rPr>
              <w:t>（1）输变电工程环境风险识别</w:t>
            </w:r>
          </w:p>
          <w:p>
            <w:pPr>
              <w:bidi w:val="0"/>
              <w:ind w:firstLine="480" w:firstLineChars="200"/>
              <w:rPr>
                <w:rFonts w:hint="eastAsia"/>
                <w:color w:val="auto"/>
                <w:lang w:val="en-US" w:eastAsia="zh-CN"/>
              </w:rPr>
            </w:pPr>
            <w:r>
              <w:rPr>
                <w:color w:val="auto"/>
              </w:rPr>
              <w:t>结合《建设项目环境风险评价技术导则》（HJ 169-2018）及《危险化学品重大危险源辨识》（GB18218-2018）筛选出本项目环境风险物质为变压器油，风险物质存在火灾和爆炸风险。</w:t>
            </w:r>
          </w:p>
          <w:p>
            <w:pPr>
              <w:bidi w:val="0"/>
              <w:ind w:firstLine="480" w:firstLineChars="200"/>
              <w:rPr>
                <w:color w:val="auto"/>
              </w:rPr>
            </w:pPr>
            <w:r>
              <w:rPr>
                <w:color w:val="auto"/>
              </w:rPr>
              <w:t>在正常运行状态下，站内含油设备无油外排。正常检修过程中，变压器油由专用工具收集，存放在事先准备好的容器内，在检修工作完毕后，再将变压器油注入用油设备，无变压器油外排，一般只有事故发生并失控时才会发生变压器油外泄。</w:t>
            </w:r>
          </w:p>
          <w:p>
            <w:pPr>
              <w:bidi w:val="0"/>
              <w:ind w:firstLine="480" w:firstLineChars="200"/>
              <w:rPr>
                <w:color w:val="auto"/>
              </w:rPr>
            </w:pPr>
            <w:r>
              <w:rPr>
                <w:color w:val="auto"/>
              </w:rPr>
              <w:t>环境风险事故发生的原因可能为违章作业、误操作、设备出现故障、遇明火或微电引起的火灾事故等。另外，自然灾害、人为破坏等因素也可能引发环境风险事故。站内一般均设置有事故油排蓄系统。每台主变压器下设置有事故油挡油设施，其内铺设卵石层，底部四周设有排油槽并与事故油池相连。</w:t>
            </w:r>
          </w:p>
          <w:p>
            <w:pPr>
              <w:bidi w:val="0"/>
              <w:ind w:firstLine="480" w:firstLineChars="200"/>
              <w:rPr>
                <w:color w:val="auto"/>
              </w:rPr>
            </w:pPr>
            <w:r>
              <w:rPr>
                <w:color w:val="auto"/>
              </w:rPr>
              <w:t>一旦设备发生事故时，所有的外泄绝缘油或油水混合物将渗过卵石层，经排油槽收 集，通过事故排油管道排至事故油池，事故油池具有油水分类功能。通过油水分离设施 进行油水分离，变压器油由厂家回收，形成的油污水交由有危废处理资质的单位处置，</w:t>
            </w:r>
          </w:p>
          <w:p>
            <w:pPr>
              <w:bidi w:val="0"/>
              <w:rPr>
                <w:color w:val="auto"/>
              </w:rPr>
            </w:pPr>
            <w:r>
              <w:rPr>
                <w:color w:val="auto"/>
              </w:rPr>
              <w:t>不外排。</w:t>
            </w:r>
          </w:p>
          <w:p>
            <w:pPr>
              <w:bidi w:val="0"/>
              <w:ind w:firstLine="482" w:firstLineChars="200"/>
              <w:rPr>
                <w:b/>
                <w:bCs/>
                <w:color w:val="auto"/>
              </w:rPr>
            </w:pPr>
            <w:r>
              <w:rPr>
                <w:b/>
                <w:bCs/>
                <w:color w:val="auto"/>
              </w:rPr>
              <w:t>（</w:t>
            </w:r>
            <w:r>
              <w:rPr>
                <w:rFonts w:hint="eastAsia"/>
                <w:b/>
                <w:bCs/>
                <w:color w:val="auto"/>
                <w:lang w:val="en-US" w:eastAsia="zh-CN"/>
              </w:rPr>
              <w:t>2</w:t>
            </w:r>
            <w:r>
              <w:rPr>
                <w:b/>
                <w:bCs/>
                <w:color w:val="auto"/>
              </w:rPr>
              <w:t>）环境风险防范措施</w:t>
            </w:r>
          </w:p>
          <w:p>
            <w:pPr>
              <w:bidi w:val="0"/>
              <w:ind w:firstLine="482" w:firstLineChars="200"/>
              <w:rPr>
                <w:b/>
                <w:bCs/>
                <w:color w:val="auto"/>
              </w:rPr>
            </w:pPr>
            <w:r>
              <w:rPr>
                <w:b/>
                <w:bCs/>
                <w:color w:val="auto"/>
              </w:rPr>
              <w:t>1）人员设置</w:t>
            </w:r>
          </w:p>
          <w:p>
            <w:pPr>
              <w:bidi w:val="0"/>
              <w:ind w:firstLine="480" w:firstLineChars="200"/>
              <w:rPr>
                <w:color w:val="auto"/>
              </w:rPr>
            </w:pPr>
            <w:r>
              <w:rPr>
                <w:color w:val="auto"/>
              </w:rPr>
              <w:t>建设单位应设有兼职的安全环保管理人员，通过技能培训，承担工程运行后的环保安全工作。落实各项安全管理制度、生产操作规则和事故应急计划及相应的应急处理手段和设施。</w:t>
            </w:r>
          </w:p>
          <w:p>
            <w:pPr>
              <w:bidi w:val="0"/>
              <w:ind w:firstLine="482" w:firstLineChars="200"/>
              <w:rPr>
                <w:b/>
                <w:bCs/>
                <w:color w:val="auto"/>
              </w:rPr>
            </w:pPr>
            <w:r>
              <w:rPr>
                <w:b/>
                <w:bCs/>
                <w:color w:val="auto"/>
              </w:rPr>
              <w:t>2）风险防范措施</w:t>
            </w:r>
          </w:p>
          <w:p>
            <w:pPr>
              <w:bidi w:val="0"/>
              <w:ind w:firstLine="480" w:firstLineChars="200"/>
              <w:jc w:val="left"/>
              <w:rPr>
                <w:rFonts w:hint="default"/>
                <w:color w:val="auto"/>
                <w:lang w:val="en-US" w:eastAsia="zh-CN"/>
              </w:rPr>
            </w:pPr>
            <w:r>
              <w:rPr>
                <w:rFonts w:hint="default" w:ascii="Times New Roman" w:hAnsi="Times New Roman" w:eastAsia="宋体"/>
                <w:color w:val="auto"/>
                <w:lang w:val="en-US" w:eastAsia="zh-CN"/>
              </w:rPr>
              <w:t>本工程北部滩升压站内设置一座34m</w:t>
            </w:r>
            <w:r>
              <w:rPr>
                <w:rFonts w:hint="default" w:ascii="Times New Roman" w:hAnsi="Times New Roman" w:eastAsia="宋体"/>
                <w:color w:val="auto"/>
                <w:vertAlign w:val="superscript"/>
                <w:lang w:val="en-US" w:eastAsia="zh-CN"/>
              </w:rPr>
              <w:t>3</w:t>
            </w:r>
            <w:r>
              <w:rPr>
                <w:rFonts w:hint="default" w:ascii="Times New Roman" w:hAnsi="Times New Roman" w:eastAsia="宋体"/>
                <w:color w:val="auto"/>
                <w:lang w:val="en-US" w:eastAsia="zh-CN"/>
              </w:rPr>
              <w:t>的地下式钢筋混凝土结构的事故油池，事故油池设计时考虑了拦截、防雨、防渗等措施，且能满足主变事故状态下的最大排油需要。发生事故时，排油经主变下部的油坑收集，并通过地下排油管道排入事故油池内，产生的事故油</w:t>
            </w:r>
            <w:r>
              <w:rPr>
                <w:rFonts w:hint="eastAsia" w:ascii="Times New Roman" w:hAnsi="Times New Roman" w:eastAsia="宋体"/>
                <w:color w:val="auto"/>
                <w:lang w:val="en-US" w:eastAsia="zh-CN"/>
              </w:rPr>
              <w:t>由</w:t>
            </w:r>
            <w:r>
              <w:rPr>
                <w:rFonts w:hint="default" w:ascii="Times New Roman" w:hAnsi="Times New Roman" w:eastAsia="宋体"/>
                <w:color w:val="auto"/>
                <w:lang w:val="en-US" w:eastAsia="zh-CN"/>
              </w:rPr>
              <w:t>甘肃禾希环保科技有限公司进行</w:t>
            </w:r>
            <w:r>
              <w:rPr>
                <w:rFonts w:hint="eastAsia" w:ascii="Times New Roman" w:hAnsi="Times New Roman" w:eastAsia="宋体"/>
                <w:color w:val="auto"/>
                <w:lang w:val="en-US" w:eastAsia="zh-CN"/>
              </w:rPr>
              <w:t>回收</w:t>
            </w:r>
            <w:r>
              <w:rPr>
                <w:rFonts w:hint="default" w:ascii="Times New Roman" w:hAnsi="Times New Roman" w:eastAsia="宋体"/>
                <w:color w:val="auto"/>
                <w:lang w:val="en-US" w:eastAsia="zh-CN"/>
              </w:rPr>
              <w:t>处置</w:t>
            </w:r>
            <w:r>
              <w:rPr>
                <w:rFonts w:hint="eastAsia" w:ascii="Times New Roman" w:hAnsi="Times New Roman" w:eastAsia="宋体"/>
                <w:color w:val="auto"/>
                <w:lang w:val="en-US" w:eastAsia="zh-CN"/>
              </w:rPr>
              <w:t>，对周围环境基本无影响</w:t>
            </w:r>
            <w:r>
              <w:rPr>
                <w:rFonts w:hint="default" w:ascii="Times New Roman" w:hAnsi="Times New Roman" w:eastAsia="宋体"/>
                <w:color w:val="auto"/>
                <w:lang w:val="en-US" w:eastAsia="zh-CN"/>
              </w:rPr>
              <w:t>。</w:t>
            </w:r>
          </w:p>
          <w:p>
            <w:pPr>
              <w:bidi w:val="0"/>
              <w:ind w:firstLine="480" w:firstLineChars="200"/>
              <w:rPr>
                <w:color w:val="auto"/>
              </w:rPr>
            </w:pPr>
            <w:r>
              <w:rPr>
                <w:color w:val="auto"/>
              </w:rPr>
              <w:t>事故时变压器油通过暗管自流排入事故油池。集油沟和事故油池等建筑进行防渗处理，防止出现漏油事故的发生或检修设备时而污染环境。本项目最大主变容量为150MVA，主变油量为39.9t，变压器油密度895kg/m</w:t>
            </w:r>
            <w:r>
              <w:rPr>
                <w:color w:val="auto"/>
                <w:vertAlign w:val="superscript"/>
              </w:rPr>
              <w:t>3</w:t>
            </w:r>
            <w:r>
              <w:rPr>
                <w:color w:val="auto"/>
              </w:rPr>
              <w:t>，有效体积约为44.58m</w:t>
            </w:r>
            <w:r>
              <w:rPr>
                <w:color w:val="auto"/>
                <w:vertAlign w:val="superscript"/>
              </w:rPr>
              <w:t>3</w:t>
            </w:r>
            <w:r>
              <w:rPr>
                <w:color w:val="auto"/>
              </w:rPr>
              <w:t>，且根据《火力发电厂与变电站设计防火规范》（GB50229-2019）规定：“6.7.8 总事故贮油池的容量应按其接入的油量最大的一台设备确定，并设置油水分离装置。”本项目事故油池容积为</w:t>
            </w:r>
            <w:r>
              <w:rPr>
                <w:rFonts w:hint="eastAsia"/>
                <w:color w:val="auto"/>
                <w:lang w:val="en-US" w:eastAsia="zh-CN"/>
              </w:rPr>
              <w:t>50</w:t>
            </w:r>
            <w:r>
              <w:rPr>
                <w:color w:val="auto"/>
              </w:rPr>
              <w:t>m</w:t>
            </w:r>
            <w:r>
              <w:rPr>
                <w:color w:val="auto"/>
                <w:vertAlign w:val="superscript"/>
              </w:rPr>
              <w:t>3</w:t>
            </w:r>
            <w:r>
              <w:rPr>
                <w:color w:val="auto"/>
              </w:rPr>
              <w:t>（＞44.58m</w:t>
            </w:r>
            <w:r>
              <w:rPr>
                <w:color w:val="auto"/>
                <w:vertAlign w:val="superscript"/>
              </w:rPr>
              <w:t>3</w:t>
            </w:r>
            <w:r>
              <w:rPr>
                <w:color w:val="auto"/>
              </w:rPr>
              <w:t>）；因此本工程事故油池容积能满足要求，是可行的。</w:t>
            </w:r>
          </w:p>
          <w:p>
            <w:pPr>
              <w:keepNext w:val="0"/>
              <w:keepLines w:val="0"/>
              <w:pageBreakBefore w:val="0"/>
              <w:widowControl w:val="0"/>
              <w:kinsoku/>
              <w:wordWrap/>
              <w:overflowPunct/>
              <w:topLinePunct w:val="0"/>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szCs w:val="24"/>
                <w:highlight w:val="none"/>
                <w:lang w:val="en-US" w:eastAsia="zh-CN"/>
              </w:rPr>
            </w:pPr>
            <w:r>
              <w:rPr>
                <w:rFonts w:hint="eastAsia" w:cs="Times New Roman"/>
                <w:b/>
                <w:bCs w:val="0"/>
                <w:color w:val="auto"/>
                <w:sz w:val="24"/>
                <w:szCs w:val="24"/>
                <w:highlight w:val="none"/>
                <w:lang w:val="en-US" w:eastAsia="zh-CN"/>
              </w:rPr>
              <w:t>3）</w:t>
            </w:r>
            <w:r>
              <w:rPr>
                <w:rFonts w:hint="eastAsia" w:ascii="Times New Roman" w:hAnsi="Times New Roman" w:eastAsia="宋体" w:cs="Times New Roman"/>
                <w:b/>
                <w:bCs w:val="0"/>
                <w:color w:val="auto"/>
                <w:sz w:val="24"/>
                <w:szCs w:val="24"/>
                <w:highlight w:val="none"/>
                <w:lang w:val="en-US" w:eastAsia="zh-CN"/>
              </w:rPr>
              <w:t>危废暂存间措施可行性：</w:t>
            </w:r>
          </w:p>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选址：</w:t>
            </w:r>
            <w:r>
              <w:rPr>
                <w:rFonts w:hint="default" w:ascii="Times New Roman" w:hAnsi="Times New Roman" w:eastAsia="宋体" w:cs="Times New Roman"/>
                <w:bCs/>
                <w:color w:val="auto"/>
                <w:sz w:val="24"/>
                <w:szCs w:val="24"/>
                <w:highlight w:val="none"/>
                <w:lang w:val="en-US" w:eastAsia="zh-CN"/>
              </w:rPr>
              <w:t>本项目的危废暂存间位于集控中心</w:t>
            </w:r>
            <w:r>
              <w:rPr>
                <w:rFonts w:hint="eastAsia" w:cs="Times New Roman"/>
                <w:bCs/>
                <w:color w:val="auto"/>
                <w:sz w:val="24"/>
                <w:szCs w:val="24"/>
                <w:highlight w:val="none"/>
                <w:lang w:val="en-US" w:eastAsia="zh-CN"/>
              </w:rPr>
              <w:t>南</w:t>
            </w:r>
            <w:r>
              <w:rPr>
                <w:rFonts w:hint="default" w:ascii="Times New Roman" w:hAnsi="Times New Roman" w:eastAsia="宋体" w:cs="Times New Roman"/>
                <w:bCs/>
                <w:color w:val="auto"/>
                <w:sz w:val="24"/>
                <w:szCs w:val="24"/>
                <w:highlight w:val="none"/>
                <w:lang w:val="en-US" w:eastAsia="zh-CN"/>
              </w:rPr>
              <w:t>侧，危废暂存间密闭设置，避免了有毒物质等逸散，不会影响到工作人员，危废暂存间选址可行</w:t>
            </w:r>
            <w:r>
              <w:rPr>
                <w:rFonts w:hint="eastAsia" w:ascii="Times New Roman" w:hAnsi="Times New Roman" w:eastAsia="宋体" w:cs="Times New Roman"/>
                <w:bCs/>
                <w:color w:val="auto"/>
                <w:sz w:val="24"/>
                <w:szCs w:val="24"/>
                <w:highlight w:val="none"/>
                <w:lang w:val="en-US" w:eastAsia="zh-CN"/>
              </w:rPr>
              <w:t>。</w:t>
            </w:r>
          </w:p>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防渗：</w:t>
            </w:r>
            <w:r>
              <w:rPr>
                <w:rFonts w:hint="default" w:ascii="Times New Roman" w:hAnsi="Times New Roman" w:eastAsia="宋体" w:cs="Times New Roman"/>
                <w:bCs/>
                <w:color w:val="auto"/>
                <w:sz w:val="24"/>
                <w:szCs w:val="24"/>
                <w:highlight w:val="none"/>
                <w:lang w:val="en-US" w:eastAsia="zh-CN"/>
              </w:rPr>
              <w:t>危废暂存间密闭设置。地面采取防渗措施，防渗层至少为1m厚粘土层（渗透系数≤10</w:t>
            </w:r>
            <w:r>
              <w:rPr>
                <w:rFonts w:hint="default" w:ascii="Times New Roman" w:hAnsi="Times New Roman" w:eastAsia="宋体" w:cs="Times New Roman"/>
                <w:bCs/>
                <w:color w:val="auto"/>
                <w:sz w:val="24"/>
                <w:szCs w:val="24"/>
                <w:highlight w:val="none"/>
                <w:vertAlign w:val="superscript"/>
                <w:lang w:val="en-US" w:eastAsia="zh-CN"/>
              </w:rPr>
              <w:t>-7</w:t>
            </w:r>
            <w:r>
              <w:rPr>
                <w:rFonts w:hint="default" w:ascii="Times New Roman" w:hAnsi="Times New Roman" w:eastAsia="宋体" w:cs="Times New Roman"/>
                <w:bCs/>
                <w:color w:val="auto"/>
                <w:sz w:val="24"/>
                <w:szCs w:val="24"/>
                <w:highlight w:val="none"/>
                <w:lang w:val="en-US" w:eastAsia="zh-CN"/>
              </w:rPr>
              <w:t>cm/s），或2mm厚高密度聚乙烯，或至少2mm厚的其它人工材料，渗透系数≤10</w:t>
            </w:r>
            <w:r>
              <w:rPr>
                <w:rFonts w:hint="default" w:ascii="Times New Roman" w:hAnsi="Times New Roman" w:eastAsia="宋体" w:cs="Times New Roman"/>
                <w:bCs/>
                <w:color w:val="auto"/>
                <w:sz w:val="24"/>
                <w:szCs w:val="24"/>
                <w:highlight w:val="none"/>
                <w:vertAlign w:val="superscript"/>
                <w:lang w:val="en-US" w:eastAsia="zh-CN"/>
              </w:rPr>
              <w:t>-10</w:t>
            </w:r>
            <w:r>
              <w:rPr>
                <w:rFonts w:hint="default" w:ascii="Times New Roman" w:hAnsi="Times New Roman" w:eastAsia="宋体" w:cs="Times New Roman"/>
                <w:bCs/>
                <w:color w:val="auto"/>
                <w:sz w:val="24"/>
                <w:szCs w:val="24"/>
                <w:highlight w:val="none"/>
                <w:lang w:val="en-US" w:eastAsia="zh-CN"/>
              </w:rPr>
              <w:t>cm/s，确保工程正常运行及物料泄漏事故下，不会对水环境造成污染，危废暂存间严格按照“四防”（防风、防雨、防晒、防渗漏）设计</w:t>
            </w:r>
            <w:r>
              <w:rPr>
                <w:rFonts w:hint="eastAsia" w:ascii="Times New Roman" w:hAnsi="Times New Roman" w:eastAsia="宋体" w:cs="Times New Roman"/>
                <w:bCs/>
                <w:color w:val="auto"/>
                <w:sz w:val="24"/>
                <w:szCs w:val="24"/>
                <w:highlight w:val="none"/>
                <w:lang w:val="en-US" w:eastAsia="zh-CN"/>
              </w:rPr>
              <w:t>，因此，防渗等措施可行</w:t>
            </w:r>
            <w:r>
              <w:rPr>
                <w:rFonts w:hint="default" w:ascii="Times New Roman" w:hAnsi="Times New Roman" w:eastAsia="宋体" w:cs="Times New Roman"/>
                <w:bCs/>
                <w:color w:val="auto"/>
                <w:sz w:val="24"/>
                <w:szCs w:val="24"/>
                <w:highlight w:val="none"/>
                <w:lang w:val="en-US" w:eastAsia="zh-CN"/>
              </w:rPr>
              <w:t>。</w:t>
            </w:r>
          </w:p>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贮存：</w:t>
            </w:r>
            <w:r>
              <w:rPr>
                <w:rFonts w:hint="default" w:ascii="Times New Roman" w:hAnsi="Times New Roman" w:eastAsia="宋体" w:cs="Times New Roman"/>
                <w:bCs/>
                <w:color w:val="auto"/>
                <w:sz w:val="24"/>
                <w:szCs w:val="24"/>
                <w:highlight w:val="none"/>
                <w:lang w:val="en-US" w:eastAsia="zh-CN"/>
              </w:rPr>
              <w:t>危废暂存间面积为</w:t>
            </w:r>
            <w:r>
              <w:rPr>
                <w:rFonts w:hint="eastAsia" w:ascii="Times New Roman" w:hAnsi="Times New Roman" w:eastAsia="宋体" w:cs="Times New Roman"/>
                <w:bCs/>
                <w:color w:val="auto"/>
                <w:sz w:val="24"/>
                <w:szCs w:val="24"/>
                <w:highlight w:val="none"/>
                <w:lang w:val="en-US" w:eastAsia="zh-CN"/>
              </w:rPr>
              <w:t>1</w:t>
            </w:r>
            <w:r>
              <w:rPr>
                <w:rFonts w:hint="default" w:ascii="Times New Roman" w:hAnsi="Times New Roman" w:eastAsia="宋体" w:cs="Times New Roman"/>
                <w:bCs/>
                <w:color w:val="auto"/>
                <w:sz w:val="24"/>
                <w:szCs w:val="24"/>
                <w:highlight w:val="none"/>
                <w:lang w:val="en-US" w:eastAsia="zh-CN"/>
              </w:rPr>
              <w:t>0m</w:t>
            </w:r>
            <w:r>
              <w:rPr>
                <w:rFonts w:hint="default" w:ascii="Times New Roman" w:hAnsi="Times New Roman" w:eastAsia="宋体" w:cs="Times New Roman"/>
                <w:bCs/>
                <w:color w:val="auto"/>
                <w:sz w:val="24"/>
                <w:szCs w:val="24"/>
                <w:highlight w:val="none"/>
                <w:vertAlign w:val="superscript"/>
                <w:lang w:val="en-US" w:eastAsia="zh-CN"/>
              </w:rPr>
              <w:t>2</w:t>
            </w:r>
            <w:r>
              <w:rPr>
                <w:rFonts w:hint="default" w:ascii="Times New Roman" w:hAnsi="Times New Roman" w:eastAsia="宋体" w:cs="Times New Roman"/>
                <w:bCs/>
                <w:color w:val="auto"/>
                <w:sz w:val="24"/>
                <w:szCs w:val="24"/>
                <w:highlight w:val="none"/>
                <w:lang w:val="en-US" w:eastAsia="zh-CN"/>
              </w:rPr>
              <w:t>，主要产生的危废为变压器事故油和检修废油，本项目危废检修废油产生量约为</w:t>
            </w:r>
            <w:r>
              <w:rPr>
                <w:rFonts w:hint="eastAsia" w:cs="Times New Roman"/>
                <w:bCs/>
                <w:color w:val="auto"/>
                <w:sz w:val="24"/>
                <w:szCs w:val="24"/>
                <w:highlight w:val="none"/>
                <w:lang w:val="en-US" w:eastAsia="zh-CN"/>
              </w:rPr>
              <w:t>0.32t</w:t>
            </w:r>
            <w:r>
              <w:rPr>
                <w:rFonts w:hint="default" w:ascii="Times New Roman" w:hAnsi="Times New Roman" w:eastAsia="宋体" w:cs="Times New Roman"/>
                <w:bCs/>
                <w:color w:val="auto"/>
                <w:sz w:val="24"/>
                <w:szCs w:val="24"/>
                <w:highlight w:val="none"/>
                <w:lang w:val="en-US" w:eastAsia="zh-CN"/>
              </w:rPr>
              <w:t>/a，废油抹布</w:t>
            </w:r>
            <w:r>
              <w:rPr>
                <w:rFonts w:hint="eastAsia" w:ascii="Times New Roman" w:hAnsi="Times New Roman" w:eastAsia="宋体" w:cs="Times New Roman"/>
                <w:bCs/>
                <w:color w:val="auto"/>
                <w:sz w:val="24"/>
                <w:szCs w:val="24"/>
                <w:highlight w:val="none"/>
                <w:lang w:val="en-US" w:eastAsia="zh-CN"/>
              </w:rPr>
              <w:t>0.006t</w:t>
            </w:r>
            <w:r>
              <w:rPr>
                <w:rFonts w:hint="default" w:ascii="Times New Roman" w:hAnsi="Times New Roman" w:eastAsia="宋体" w:cs="Times New Roman"/>
                <w:bCs/>
                <w:color w:val="auto"/>
                <w:sz w:val="24"/>
                <w:szCs w:val="24"/>
                <w:highlight w:val="none"/>
                <w:lang w:val="en-US" w:eastAsia="zh-CN"/>
              </w:rPr>
              <w:t>/a，暂存间设置</w:t>
            </w:r>
            <w:r>
              <w:rPr>
                <w:rFonts w:hint="eastAsia" w:ascii="Times New Roman" w:hAnsi="Times New Roman"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lang w:val="en-US" w:eastAsia="zh-CN"/>
              </w:rPr>
              <w:t>个专用周转箱（桶）（材质为碳钢材质），分别暂存危废。危废贮存场所能力可以满足要求。</w:t>
            </w:r>
          </w:p>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运输：</w:t>
            </w:r>
            <w:r>
              <w:rPr>
                <w:rFonts w:hint="default" w:ascii="Times New Roman" w:hAnsi="Times New Roman" w:eastAsia="宋体" w:cs="Times New Roman"/>
                <w:bCs/>
                <w:color w:val="auto"/>
                <w:sz w:val="24"/>
                <w:szCs w:val="24"/>
                <w:highlight w:val="none"/>
                <w:lang w:val="en-US" w:eastAsia="zh-CN"/>
              </w:rPr>
              <w:t>本项目危废暂存间位于集控中心北侧，危废收集桶盖好桶盖，避免危废在运输过程中散落、泄漏。</w:t>
            </w:r>
          </w:p>
          <w:p>
            <w:pPr>
              <w:bidi w:val="0"/>
              <w:ind w:firstLine="480" w:firstLineChars="200"/>
              <w:rPr>
                <w:b/>
                <w:bCs/>
                <w:color w:val="auto"/>
              </w:rPr>
            </w:pPr>
            <w:r>
              <w:rPr>
                <w:rFonts w:hint="default" w:ascii="Times New Roman" w:hAnsi="Times New Roman" w:eastAsia="宋体" w:cs="Times New Roman"/>
                <w:color w:val="auto"/>
                <w:sz w:val="24"/>
                <w:szCs w:val="24"/>
                <w:highlight w:val="none"/>
              </w:rPr>
              <w:t>采取以上措施后，本项目固体废物对周围环境</w:t>
            </w:r>
            <w:r>
              <w:rPr>
                <w:rFonts w:hint="eastAsia" w:ascii="Times New Roman" w:hAnsi="Times New Roman" w:eastAsia="宋体" w:cs="Times New Roman"/>
                <w:color w:val="auto"/>
                <w:sz w:val="24"/>
                <w:szCs w:val="24"/>
                <w:highlight w:val="none"/>
                <w:lang w:val="en-US" w:eastAsia="zh-CN"/>
              </w:rPr>
              <w:t>基本无影响，措施可行</w:t>
            </w:r>
            <w:r>
              <w:rPr>
                <w:rFonts w:hint="default" w:ascii="Times New Roman" w:hAnsi="Times New Roman" w:eastAsia="宋体" w:cs="Times New Roman"/>
                <w:color w:val="auto"/>
                <w:sz w:val="24"/>
                <w:szCs w:val="24"/>
                <w:highlight w:val="none"/>
              </w:rPr>
              <w:t>。</w:t>
            </w:r>
          </w:p>
          <w:p>
            <w:pPr>
              <w:bidi w:val="0"/>
              <w:ind w:firstLine="482" w:firstLineChars="200"/>
              <w:rPr>
                <w:b/>
                <w:bCs/>
                <w:color w:val="auto"/>
              </w:rPr>
            </w:pPr>
            <w:r>
              <w:rPr>
                <w:b/>
                <w:bCs/>
                <w:color w:val="auto"/>
              </w:rPr>
              <w:t>（</w:t>
            </w:r>
            <w:r>
              <w:rPr>
                <w:rFonts w:hint="eastAsia"/>
                <w:b/>
                <w:bCs/>
                <w:color w:val="auto"/>
                <w:lang w:val="en-US" w:eastAsia="zh-CN"/>
              </w:rPr>
              <w:t>3</w:t>
            </w:r>
            <w:r>
              <w:rPr>
                <w:b/>
                <w:bCs/>
                <w:color w:val="auto"/>
              </w:rPr>
              <w:t>）应急预案制定</w:t>
            </w:r>
          </w:p>
          <w:p>
            <w:pPr>
              <w:bidi w:val="0"/>
              <w:ind w:firstLine="480" w:firstLineChars="200"/>
              <w:rPr>
                <w:color w:val="auto"/>
              </w:rPr>
            </w:pPr>
            <w:r>
              <w:rPr>
                <w:color w:val="auto"/>
              </w:rPr>
              <w:t>为预防运行期110kV北部滩升压站的事故风险，应根据具体情况依据《中华人民共和国突发事件应对法》、《国家突发环境事件应急预案》、《突发环境事件应急预案管理暂行办法》等的要求，集合相关规程、规范和行业标准，以及工程实际情况，编制突发环境事件应急预案。</w:t>
            </w:r>
          </w:p>
          <w:p>
            <w:pPr>
              <w:bidi w:val="0"/>
              <w:ind w:firstLine="482" w:firstLineChars="200"/>
              <w:rPr>
                <w:rFonts w:hint="default"/>
                <w:b/>
                <w:bCs/>
                <w:color w:val="auto"/>
              </w:rPr>
            </w:pPr>
            <w:r>
              <w:rPr>
                <w:rFonts w:hint="eastAsia"/>
                <w:b/>
                <w:bCs/>
                <w:color w:val="auto"/>
                <w:lang w:eastAsia="zh-CN"/>
              </w:rPr>
              <w:t>（</w:t>
            </w:r>
            <w:r>
              <w:rPr>
                <w:rFonts w:hint="eastAsia"/>
                <w:b/>
                <w:bCs/>
                <w:color w:val="auto"/>
                <w:lang w:val="en-US" w:eastAsia="zh-CN"/>
              </w:rPr>
              <w:t>4</w:t>
            </w:r>
            <w:r>
              <w:rPr>
                <w:rFonts w:hint="eastAsia"/>
                <w:b/>
                <w:bCs/>
                <w:color w:val="auto"/>
                <w:lang w:eastAsia="zh-CN"/>
              </w:rPr>
              <w:t>）</w:t>
            </w:r>
            <w:r>
              <w:rPr>
                <w:rFonts w:hint="eastAsia"/>
                <w:b/>
                <w:bCs/>
                <w:color w:val="auto"/>
              </w:rPr>
              <w:t>植被保护和恢复等方案</w:t>
            </w:r>
          </w:p>
          <w:p>
            <w:pPr>
              <w:bidi w:val="0"/>
              <w:ind w:firstLine="480" w:firstLineChars="20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本项目区植被覆盖度以</w:t>
            </w:r>
            <w:r>
              <w:rPr>
                <w:rFonts w:hint="default" w:ascii="Times New Roman" w:hAnsi="Times New Roman" w:cs="Times New Roman"/>
                <w:color w:val="auto"/>
              </w:rPr>
              <w:t>极低覆盖</w:t>
            </w:r>
            <w:r>
              <w:rPr>
                <w:rFonts w:hint="default" w:ascii="Times New Roman" w:hAnsi="Times New Roman" w:cs="Times New Roman"/>
                <w:color w:val="auto"/>
                <w:lang w:val="en-US" w:eastAsia="zh-CN"/>
              </w:rPr>
              <w:t>、</w:t>
            </w:r>
            <w:r>
              <w:rPr>
                <w:rFonts w:hint="default" w:ascii="Times New Roman" w:hAnsi="Times New Roman" w:cs="Times New Roman"/>
                <w:color w:val="auto"/>
              </w:rPr>
              <w:t>无植被区域</w:t>
            </w:r>
            <w:r>
              <w:rPr>
                <w:rFonts w:hint="default" w:ascii="Times New Roman" w:hAnsi="Times New Roman" w:cs="Times New Roman"/>
                <w:color w:val="auto"/>
                <w:lang w:val="en-US" w:eastAsia="zh-CN"/>
              </w:rPr>
              <w:t>为主。结合现场调查，</w:t>
            </w:r>
            <w:r>
              <w:rPr>
                <w:rFonts w:hint="default" w:ascii="Times New Roman" w:hAnsi="Times New Roman" w:cs="Times New Roman"/>
                <w:color w:val="auto"/>
              </w:rPr>
              <w:t>极低覆盖</w:t>
            </w:r>
            <w:r>
              <w:rPr>
                <w:rFonts w:hint="default" w:ascii="Times New Roman" w:hAnsi="Times New Roman" w:cs="Times New Roman"/>
                <w:color w:val="auto"/>
                <w:lang w:val="en-US" w:eastAsia="zh-CN"/>
              </w:rPr>
              <w:t>面积为</w:t>
            </w:r>
            <w:r>
              <w:rPr>
                <w:rFonts w:hint="default" w:ascii="Times New Roman" w:hAnsi="Times New Roman" w:cs="Times New Roman"/>
                <w:color w:val="auto"/>
              </w:rPr>
              <w:t>0.6176</w:t>
            </w:r>
            <w:r>
              <w:rPr>
                <w:rFonts w:hint="default" w:ascii="Times New Roman" w:hAnsi="Times New Roman" w:cs="Times New Roman"/>
                <w:color w:val="auto"/>
                <w:lang w:val="en-US" w:eastAsia="zh-CN"/>
              </w:rPr>
              <w:t>km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，占比为</w:t>
            </w:r>
            <w:r>
              <w:rPr>
                <w:rFonts w:hint="default" w:ascii="Times New Roman" w:hAnsi="Times New Roman" w:cs="Times New Roman"/>
                <w:color w:val="auto"/>
              </w:rPr>
              <w:t>0.30</w:t>
            </w:r>
            <w:r>
              <w:rPr>
                <w:rFonts w:hint="default" w:ascii="Times New Roman" w:hAnsi="Times New Roman" w:cs="Times New Roman"/>
                <w:color w:val="auto"/>
                <w:lang w:val="en-US" w:eastAsia="zh-CN"/>
              </w:rPr>
              <w:t>%，</w:t>
            </w:r>
            <w:r>
              <w:rPr>
                <w:rFonts w:hint="default" w:ascii="Times New Roman" w:hAnsi="Times New Roman" w:cs="Times New Roman"/>
                <w:color w:val="auto"/>
              </w:rPr>
              <w:t>无植被区域</w:t>
            </w:r>
            <w:r>
              <w:rPr>
                <w:rFonts w:hint="default" w:ascii="Times New Roman" w:hAnsi="Times New Roman" w:cs="Times New Roman"/>
                <w:color w:val="auto"/>
                <w:lang w:val="en-US" w:eastAsia="zh-CN"/>
              </w:rPr>
              <w:t>面积</w:t>
            </w:r>
            <w:r>
              <w:rPr>
                <w:rFonts w:hint="default" w:ascii="Times New Roman" w:hAnsi="Times New Roman" w:cs="Times New Roman"/>
                <w:color w:val="auto"/>
              </w:rPr>
              <w:t>204.8213</w:t>
            </w:r>
            <w:r>
              <w:rPr>
                <w:rFonts w:hint="default" w:ascii="Times New Roman" w:hAnsi="Times New Roman" w:cs="Times New Roman"/>
                <w:color w:val="auto"/>
                <w:lang w:val="en-US" w:eastAsia="zh-CN"/>
              </w:rPr>
              <w:t>km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，占比</w:t>
            </w:r>
            <w:r>
              <w:rPr>
                <w:rFonts w:hint="default" w:ascii="Times New Roman" w:hAnsi="Times New Roman" w:cs="Times New Roman"/>
                <w:color w:val="auto"/>
              </w:rPr>
              <w:t xml:space="preserve">99.70 </w:t>
            </w:r>
            <w:r>
              <w:rPr>
                <w:rFonts w:hint="default" w:ascii="Times New Roman" w:hAnsi="Times New Roman" w:cs="Times New Roman"/>
                <w:color w:val="auto"/>
                <w:lang w:val="en-US" w:eastAsia="zh-CN"/>
              </w:rPr>
              <w:t>%。</w:t>
            </w:r>
          </w:p>
          <w:p>
            <w:pPr>
              <w:bidi w:val="0"/>
              <w:ind w:firstLine="480" w:firstLineChars="200"/>
              <w:jc w:val="left"/>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szCs w:val="24"/>
                <w:highlight w:val="none"/>
              </w:rPr>
              <w:t>在施工初期受施工活动的影响，周围地区植被将会受到影响。</w:t>
            </w:r>
            <w:r>
              <w:rPr>
                <w:rFonts w:hint="eastAsia"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范围内部分区域土层较薄，生态环境较为脆弱。为切实保护好生态环境，在施工过程中，</w:t>
            </w:r>
            <w:r>
              <w:rPr>
                <w:rFonts w:hint="eastAsia" w:cs="Times New Roman"/>
                <w:color w:val="auto"/>
                <w:sz w:val="24"/>
                <w:szCs w:val="24"/>
                <w:highlight w:val="none"/>
                <w:lang w:val="en-US" w:eastAsia="zh-CN"/>
              </w:rPr>
              <w:t>建设单位</w:t>
            </w:r>
            <w:r>
              <w:rPr>
                <w:rFonts w:hint="default" w:ascii="Times New Roman" w:hAnsi="Times New Roman" w:eastAsia="宋体" w:cs="Times New Roman"/>
                <w:color w:val="auto"/>
                <w:sz w:val="24"/>
                <w:szCs w:val="24"/>
                <w:highlight w:val="none"/>
              </w:rPr>
              <w:t>做好施工区域表层土壤的剥离工作，并将剥离的表土单独堆放，采取有效的拦挡、遮盖措施，防止</w:t>
            </w:r>
            <w:r>
              <w:rPr>
                <w:rFonts w:hint="eastAsia" w:cs="Times New Roman"/>
                <w:color w:val="auto"/>
                <w:sz w:val="24"/>
                <w:szCs w:val="24"/>
                <w:highlight w:val="none"/>
                <w:lang w:val="en-US" w:eastAsia="zh-CN"/>
              </w:rPr>
              <w:t>了</w:t>
            </w:r>
            <w:r>
              <w:rPr>
                <w:rFonts w:hint="default" w:ascii="Times New Roman" w:hAnsi="Times New Roman" w:eastAsia="宋体" w:cs="Times New Roman"/>
                <w:color w:val="auto"/>
                <w:sz w:val="24"/>
                <w:szCs w:val="24"/>
                <w:highlight w:val="none"/>
              </w:rPr>
              <w:t>表土的流失，施工结束后立即进行</w:t>
            </w:r>
            <w:r>
              <w:rPr>
                <w:rFonts w:hint="eastAsia" w:cs="Times New Roman"/>
                <w:color w:val="auto"/>
                <w:sz w:val="24"/>
                <w:szCs w:val="24"/>
                <w:highlight w:val="none"/>
                <w:lang w:val="en-US" w:eastAsia="zh-CN"/>
              </w:rPr>
              <w:t>了</w:t>
            </w:r>
            <w:r>
              <w:rPr>
                <w:rFonts w:hint="default" w:ascii="Times New Roman" w:hAnsi="Times New Roman" w:eastAsia="宋体" w:cs="Times New Roman"/>
                <w:color w:val="auto"/>
                <w:sz w:val="24"/>
                <w:szCs w:val="24"/>
                <w:highlight w:val="none"/>
              </w:rPr>
              <w:t>覆土，然后采取减少裸露，避免</w:t>
            </w:r>
            <w:r>
              <w:rPr>
                <w:rFonts w:hint="eastAsia" w:cs="Times New Roman"/>
                <w:color w:val="auto"/>
                <w:sz w:val="24"/>
                <w:szCs w:val="24"/>
                <w:highlight w:val="none"/>
                <w:lang w:val="en-US" w:eastAsia="zh-CN"/>
              </w:rPr>
              <w:t>了</w:t>
            </w:r>
            <w:r>
              <w:rPr>
                <w:rFonts w:hint="eastAsia" w:cs="Times New Roman"/>
                <w:color w:val="auto"/>
                <w:sz w:val="24"/>
                <w:szCs w:val="24"/>
                <w:highlight w:val="none"/>
                <w:lang w:eastAsia="zh-CN"/>
              </w:rPr>
              <w:t>生态破坏</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bidi w:val="0"/>
              <w:adjustRightInd w:val="0"/>
              <w:snapToGrid w:val="0"/>
              <w:spacing w:line="360" w:lineRule="auto"/>
              <w:ind w:firstLine="520" w:firstLineChars="200"/>
              <w:jc w:val="left"/>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临时开挖土实行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分层堆放与分层回填，地表30cm厚的表土层，应分开堆放并标注清楚。平整填埋时，分层回填，尽可能保持</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原有的生长环境、土壤肥力和生产能力不变，以利于运行期植被的恢复。</w:t>
            </w:r>
          </w:p>
          <w:p>
            <w:pPr>
              <w:bidi w:val="0"/>
              <w:ind w:firstLine="520" w:firstLineChars="200"/>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施工前制订详细的植被恢复方案，施工结束后，对电缆直埋征地、场地平整、临时施工道路、生活临建等临时占用的土地进行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表层覆土并恢复原有使用功能。</w:t>
            </w:r>
            <w:r>
              <w:rPr>
                <w:rFonts w:hint="eastAsia" w:cs="Times New Roman"/>
                <w:bCs/>
                <w:color w:val="auto"/>
                <w:spacing w:val="10"/>
                <w:sz w:val="24"/>
                <w:szCs w:val="24"/>
                <w:lang w:val="en-US" w:eastAsia="zh-CN"/>
              </w:rPr>
              <w:t>并</w:t>
            </w:r>
            <w:r>
              <w:rPr>
                <w:rFonts w:hint="default" w:ascii="Times New Roman" w:hAnsi="Times New Roman" w:eastAsia="宋体" w:cs="Times New Roman"/>
                <w:bCs/>
                <w:color w:val="auto"/>
                <w:spacing w:val="10"/>
                <w:sz w:val="24"/>
                <w:szCs w:val="24"/>
                <w:lang w:val="en-US" w:eastAsia="zh-CN"/>
              </w:rPr>
              <w:t>尽快按生长季节特点种植适宜的作物，及时进行植被恢复。</w:t>
            </w:r>
            <w:r>
              <w:rPr>
                <w:rFonts w:hint="eastAsia" w:cs="Times New Roman"/>
                <w:bCs/>
                <w:color w:val="auto"/>
                <w:spacing w:val="10"/>
                <w:sz w:val="24"/>
                <w:szCs w:val="24"/>
                <w:lang w:val="en-US" w:eastAsia="zh-CN"/>
              </w:rPr>
              <w:t>项目</w:t>
            </w:r>
            <w:r>
              <w:rPr>
                <w:rFonts w:hint="default" w:ascii="Times New Roman" w:hAnsi="Times New Roman" w:eastAsia="宋体" w:cs="Times New Roman"/>
                <w:bCs/>
                <w:color w:val="auto"/>
                <w:spacing w:val="10"/>
                <w:sz w:val="24"/>
                <w:szCs w:val="24"/>
                <w:lang w:val="en-US" w:eastAsia="zh-CN"/>
              </w:rPr>
              <w:t>临时占地生态恢复情况照片</w:t>
            </w:r>
            <w:r>
              <w:rPr>
                <w:rFonts w:hint="eastAsia" w:cs="Times New Roman"/>
                <w:bCs/>
                <w:color w:val="auto"/>
                <w:spacing w:val="10"/>
                <w:sz w:val="24"/>
                <w:szCs w:val="24"/>
                <w:lang w:val="en-US" w:eastAsia="zh-CN"/>
              </w:rPr>
              <w:t>见附图4。</w:t>
            </w:r>
          </w:p>
          <w:p>
            <w:pPr>
              <w:keepNext w:val="0"/>
              <w:keepLines w:val="0"/>
              <w:pageBreakBefore w:val="0"/>
              <w:widowControl w:val="0"/>
              <w:kinsoku/>
              <w:wordWrap/>
              <w:overflowPunct/>
              <w:topLinePunct w:val="0"/>
              <w:bidi w:val="0"/>
              <w:adjustRightInd w:val="0"/>
              <w:snapToGrid w:val="0"/>
              <w:spacing w:line="360" w:lineRule="auto"/>
              <w:ind w:firstLine="522" w:firstLineChars="200"/>
              <w:textAlignment w:val="auto"/>
              <w:rPr>
                <w:rFonts w:hint="eastAsia" w:cs="Times New Roman"/>
                <w:b/>
                <w:bCs w:val="0"/>
                <w:color w:val="auto"/>
                <w:spacing w:val="10"/>
                <w:sz w:val="24"/>
                <w:szCs w:val="24"/>
                <w:lang w:val="en-US" w:eastAsia="zh-CN"/>
              </w:rPr>
            </w:pPr>
          </w:p>
          <w:p>
            <w:pPr>
              <w:keepNext w:val="0"/>
              <w:keepLines w:val="0"/>
              <w:pageBreakBefore w:val="0"/>
              <w:widowControl w:val="0"/>
              <w:kinsoku/>
              <w:wordWrap/>
              <w:overflowPunct/>
              <w:topLinePunct w:val="0"/>
              <w:bidi w:val="0"/>
              <w:adjustRightInd w:val="0"/>
              <w:snapToGrid w:val="0"/>
              <w:spacing w:line="360" w:lineRule="auto"/>
              <w:ind w:firstLine="522" w:firstLineChars="200"/>
              <w:textAlignment w:val="auto"/>
              <w:rPr>
                <w:rFonts w:hint="default" w:ascii="Times New Roman" w:hAnsi="Times New Roman" w:eastAsia="宋体" w:cs="Times New Roman"/>
                <w:b/>
                <w:bCs w:val="0"/>
                <w:color w:val="auto"/>
                <w:spacing w:val="10"/>
                <w:sz w:val="24"/>
                <w:szCs w:val="24"/>
                <w:lang w:val="en-US" w:eastAsia="zh-CN"/>
              </w:rPr>
            </w:pPr>
            <w:r>
              <w:rPr>
                <w:rFonts w:hint="eastAsia" w:cs="Times New Roman"/>
                <w:b/>
                <w:bCs w:val="0"/>
                <w:color w:val="auto"/>
                <w:spacing w:val="10"/>
                <w:sz w:val="24"/>
                <w:szCs w:val="24"/>
                <w:lang w:val="en-US" w:eastAsia="zh-CN"/>
              </w:rPr>
              <w:t>（5）</w:t>
            </w:r>
            <w:r>
              <w:rPr>
                <w:rFonts w:hint="default" w:ascii="Times New Roman" w:hAnsi="Times New Roman" w:eastAsia="宋体" w:cs="Times New Roman"/>
                <w:b/>
                <w:bCs w:val="0"/>
                <w:color w:val="auto"/>
                <w:spacing w:val="10"/>
                <w:sz w:val="24"/>
                <w:szCs w:val="24"/>
                <w:lang w:val="en-US" w:eastAsia="zh-CN"/>
              </w:rPr>
              <w:t>项目施工分区具体生态保护恢复措施</w:t>
            </w:r>
          </w:p>
          <w:p>
            <w:pPr>
              <w:keepNext w:val="0"/>
              <w:keepLines w:val="0"/>
              <w:pageBreakBefore w:val="0"/>
              <w:widowControl w:val="0"/>
              <w:kinsoku/>
              <w:wordWrap/>
              <w:overflowPunct/>
              <w:topLinePunct w:val="0"/>
              <w:bidi w:val="0"/>
              <w:adjustRightInd w:val="0"/>
              <w:snapToGrid w:val="0"/>
              <w:spacing w:line="360" w:lineRule="auto"/>
              <w:ind w:firstLine="522" w:firstLineChars="200"/>
              <w:textAlignment w:val="auto"/>
              <w:rPr>
                <w:rFonts w:hint="default" w:ascii="Times New Roman" w:hAnsi="Times New Roman" w:eastAsia="宋体" w:cs="Times New Roman"/>
                <w:b/>
                <w:bCs w:val="0"/>
                <w:color w:val="auto"/>
                <w:spacing w:val="10"/>
                <w:sz w:val="24"/>
                <w:szCs w:val="24"/>
                <w:lang w:val="en-US" w:eastAsia="zh-CN"/>
              </w:rPr>
            </w:pPr>
            <w:r>
              <w:rPr>
                <w:rFonts w:hint="eastAsia" w:cs="Times New Roman"/>
                <w:b/>
                <w:bCs w:val="0"/>
                <w:color w:val="auto"/>
                <w:spacing w:val="10"/>
                <w:sz w:val="24"/>
                <w:szCs w:val="24"/>
                <w:lang w:val="en-US" w:eastAsia="zh-CN"/>
              </w:rPr>
              <w:t>1）</w:t>
            </w:r>
            <w:r>
              <w:rPr>
                <w:rFonts w:hint="default" w:ascii="Times New Roman" w:hAnsi="Times New Roman" w:eastAsia="宋体" w:cs="Times New Roman"/>
                <w:b/>
                <w:bCs w:val="0"/>
                <w:color w:val="auto"/>
                <w:spacing w:val="10"/>
                <w:sz w:val="24"/>
                <w:szCs w:val="24"/>
                <w:lang w:val="en-US" w:eastAsia="zh-CN"/>
              </w:rPr>
              <w:t>风电机组及箱变施工防治区</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①施工前对临时占地部分进行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表土剥离，所剥离表土临时堆存于吊装场地一侧，对临时剥离土方进行苫盖、拦挡；</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②施工期间对施工场地设置</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临时排水，对开挖临时堆土、表土和施工面进行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拦挡、苫盖防护，对施工场地洒水防尘；</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eastAsia"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③施工结束后，对临时施工场地和吊装场地进行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表土回填、土地平整。风电机组及箱变开挖大量松散土方堆积在风电机组基础周边，基础建筑完毕后进行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基础回填，因此在施工过程中在临时堆土周边设置</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临时草袋装土挡墙拦挡，对堆积的剥离表土周边设置</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临时拦挡。施工期间对堆积土体表面及临时施工面采用</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防尘网苫盖，防止</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雨水冲刷和大风吹蚀。在施工场地周边设置临时排水沟。排水沟出口引至地势较缓的自然冲沟或者施工道路的排水沟。</w:t>
            </w:r>
            <w:r>
              <w:rPr>
                <w:rFonts w:hint="eastAsia" w:cs="Times New Roman"/>
                <w:bCs/>
                <w:color w:val="auto"/>
                <w:spacing w:val="10"/>
                <w:sz w:val="24"/>
                <w:szCs w:val="24"/>
                <w:lang w:val="en-US" w:eastAsia="zh-CN"/>
              </w:rPr>
              <w:t xml:space="preserve">  </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施工期间，为防尘降尘，采取</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施工面临时洒水措施。施工前对临时占地进行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表土剥离，所剥离表土临时堆存于吊装场地一角，用于施工结束后绿化覆土。施工结束后，及时清理</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地表，对施工场地进行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表土回填、土地平整，以便恢复植被。在风电机组和箱变土建、安装工程完工后，对风电机组周边临时占地、吊装场地等临时施工设施区进行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土地平整。对风电机组及箱变施工区施工临时占地和施工形成的挖填坡面进行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恢复。</w:t>
            </w:r>
            <w:r>
              <w:rPr>
                <w:rFonts w:hint="eastAsia" w:cs="Times New Roman"/>
                <w:bCs/>
                <w:color w:val="auto"/>
                <w:spacing w:val="10"/>
                <w:sz w:val="24"/>
                <w:szCs w:val="24"/>
                <w:lang w:val="en-US" w:eastAsia="zh-CN"/>
              </w:rPr>
              <w:t>项目</w:t>
            </w:r>
            <w:r>
              <w:rPr>
                <w:rFonts w:hint="default" w:ascii="Times New Roman" w:hAnsi="Times New Roman" w:eastAsia="宋体" w:cs="Times New Roman"/>
                <w:bCs/>
                <w:color w:val="auto"/>
                <w:spacing w:val="10"/>
                <w:sz w:val="24"/>
                <w:szCs w:val="24"/>
                <w:lang w:val="en-US" w:eastAsia="zh-CN"/>
              </w:rPr>
              <w:t>临时占地生态恢复情况照片</w:t>
            </w:r>
            <w:r>
              <w:rPr>
                <w:rFonts w:hint="eastAsia" w:cs="Times New Roman"/>
                <w:bCs/>
                <w:color w:val="auto"/>
                <w:spacing w:val="10"/>
                <w:sz w:val="24"/>
                <w:szCs w:val="24"/>
                <w:lang w:val="en-US" w:eastAsia="zh-CN"/>
              </w:rPr>
              <w:t>见附图4。</w:t>
            </w:r>
          </w:p>
          <w:p>
            <w:pPr>
              <w:keepNext w:val="0"/>
              <w:keepLines w:val="0"/>
              <w:pageBreakBefore w:val="0"/>
              <w:widowControl w:val="0"/>
              <w:kinsoku/>
              <w:wordWrap/>
              <w:overflowPunct/>
              <w:topLinePunct w:val="0"/>
              <w:bidi w:val="0"/>
              <w:adjustRightInd w:val="0"/>
              <w:snapToGrid w:val="0"/>
              <w:spacing w:line="360" w:lineRule="auto"/>
              <w:ind w:firstLine="522" w:firstLineChars="200"/>
              <w:textAlignment w:val="auto"/>
              <w:rPr>
                <w:rFonts w:hint="default" w:ascii="Times New Roman" w:hAnsi="Times New Roman" w:eastAsia="宋体" w:cs="Times New Roman"/>
                <w:b/>
                <w:bCs w:val="0"/>
                <w:color w:val="auto"/>
                <w:spacing w:val="10"/>
                <w:sz w:val="24"/>
                <w:szCs w:val="24"/>
                <w:lang w:val="en-US" w:eastAsia="zh-CN"/>
              </w:rPr>
            </w:pPr>
            <w:r>
              <w:rPr>
                <w:rFonts w:hint="eastAsia" w:cs="Times New Roman"/>
                <w:b/>
                <w:bCs w:val="0"/>
                <w:color w:val="auto"/>
                <w:spacing w:val="10"/>
                <w:sz w:val="24"/>
                <w:szCs w:val="24"/>
                <w:lang w:val="en-US" w:eastAsia="zh-CN"/>
              </w:rPr>
              <w:t>2）</w:t>
            </w:r>
            <w:r>
              <w:rPr>
                <w:rFonts w:hint="eastAsia" w:ascii="Times New Roman" w:hAnsi="Times New Roman" w:eastAsia="宋体" w:cs="Times New Roman"/>
                <w:b/>
                <w:bCs w:val="0"/>
                <w:color w:val="auto"/>
                <w:spacing w:val="10"/>
                <w:sz w:val="24"/>
                <w:szCs w:val="24"/>
                <w:lang w:val="en-US" w:eastAsia="zh-CN"/>
              </w:rPr>
              <w:t>集电</w:t>
            </w:r>
            <w:r>
              <w:rPr>
                <w:rFonts w:hint="default" w:ascii="Times New Roman" w:hAnsi="Times New Roman" w:eastAsia="宋体" w:cs="Times New Roman"/>
                <w:b/>
                <w:bCs w:val="0"/>
                <w:color w:val="auto"/>
                <w:spacing w:val="10"/>
                <w:sz w:val="24"/>
                <w:szCs w:val="24"/>
                <w:lang w:val="en-US" w:eastAsia="zh-CN"/>
              </w:rPr>
              <w:t>线路防治区</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①对临时占地进行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表土剥离，所剥离表土临时堆存于电缆沟一侧；</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②施工期间对临时开挖土方和表土进行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临时拦挡、苫盖，对施工区域洒水防尘；</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③对位于坡面上大开挖的塔基基脚开挖坡面采取</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植物护坡；</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④施工结束后，对临时占地进行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土地平整和绿化。</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⑤施工前对电缆沟及塔杆基础可剥离的表土进行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剥离，施工结束后恢复成为植被覆土。电缆埋设和塔杆埋设完毕后，对电缆沟占地进行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土地平整。对整治后的电缆沟占地和塔基基脚周围进行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恢复。本项目在坡面较陡地区塔基基脚采用高低腿设计，仅对基脚处开挖平整，开挖面积小，减少</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开挖面和土石方量。</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⑥在施工过程中电缆沟开挖土方和剥离表土分别堆放在沟槽两侧，施工期在临时堆土外侧设置</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临时草袋装土挡墙拦挡；对线路塔基开挖土方和剥离表土也采用</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临时草袋装土挡墙拦挡。施工期间对临时堆土、表土及临时施工面采用</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防尘网苫盖，防止雨水冲刷和大风吹蚀。</w:t>
            </w:r>
          </w:p>
          <w:p>
            <w:pPr>
              <w:keepNext w:val="0"/>
              <w:keepLines w:val="0"/>
              <w:pageBreakBefore w:val="0"/>
              <w:widowControl w:val="0"/>
              <w:kinsoku/>
              <w:wordWrap/>
              <w:overflowPunct/>
              <w:topLinePunct w:val="0"/>
              <w:bidi w:val="0"/>
              <w:adjustRightInd w:val="0"/>
              <w:snapToGrid w:val="0"/>
              <w:spacing w:line="360" w:lineRule="auto"/>
              <w:ind w:firstLine="522" w:firstLineChars="200"/>
              <w:textAlignment w:val="auto"/>
              <w:rPr>
                <w:rFonts w:hint="default" w:ascii="Times New Roman" w:hAnsi="Times New Roman" w:eastAsia="宋体" w:cs="Times New Roman"/>
                <w:b/>
                <w:bCs w:val="0"/>
                <w:color w:val="auto"/>
                <w:spacing w:val="10"/>
                <w:sz w:val="24"/>
                <w:szCs w:val="24"/>
                <w:lang w:val="en-US" w:eastAsia="zh-CN"/>
              </w:rPr>
            </w:pPr>
            <w:r>
              <w:rPr>
                <w:rFonts w:hint="eastAsia" w:cs="Times New Roman"/>
                <w:b/>
                <w:bCs w:val="0"/>
                <w:color w:val="auto"/>
                <w:spacing w:val="10"/>
                <w:sz w:val="24"/>
                <w:szCs w:val="24"/>
                <w:lang w:val="en-US" w:eastAsia="zh-CN"/>
              </w:rPr>
              <w:t>3）</w:t>
            </w:r>
            <w:r>
              <w:rPr>
                <w:rFonts w:hint="default" w:ascii="Times New Roman" w:hAnsi="Times New Roman" w:eastAsia="宋体" w:cs="Times New Roman"/>
                <w:b/>
                <w:bCs w:val="0"/>
                <w:color w:val="auto"/>
                <w:spacing w:val="10"/>
                <w:sz w:val="24"/>
                <w:szCs w:val="24"/>
                <w:lang w:val="en-US" w:eastAsia="zh-CN"/>
              </w:rPr>
              <w:t>施工生产生活防治区</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①对临时占地进行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表土剥离，所剥离表土临时堆存于场地一侧，施工结束后平整</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场地，回填</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表土；</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②施工前在场地周围开挖临时排水沟，排导场地汇水，并设置蓄水设施；对临时堆土、堆料设临时草袋装土拦挡，并采用防尘网苫盖；加强场地洒水措施；</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③施工前对临时占地进行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表土剥离，所剥离表土临时堆存于临时施工场地一角，用于施工结束后绿化覆土。在施工结束后拆除</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施工临时设施，对临时占地进行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土地平整，以便恢复植被。施工过程中对施工生产生活区临时堆放土、石料和剥离地表土周边设置</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临时草袋装土挡墙拦挡。对堆积建筑砂石料和剥离地表土表面采用</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防尘网苫盖，防止雨水冲刷和大风吹蚀。在施工临时设施场地周围设置临时排水渠。临时排水渠采用土质梯形断面，成型后，对开挖断面进行夯实。施工期间，为防尘降尘，对松散物质面采取</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临时洒水措施。</w:t>
            </w:r>
          </w:p>
          <w:p>
            <w:pPr>
              <w:keepNext w:val="0"/>
              <w:keepLines w:val="0"/>
              <w:pageBreakBefore w:val="0"/>
              <w:widowControl w:val="0"/>
              <w:kinsoku/>
              <w:wordWrap/>
              <w:overflowPunct/>
              <w:topLinePunct w:val="0"/>
              <w:bidi w:val="0"/>
              <w:adjustRightInd w:val="0"/>
              <w:snapToGrid w:val="0"/>
              <w:spacing w:line="360" w:lineRule="auto"/>
              <w:ind w:firstLine="522" w:firstLineChars="200"/>
              <w:textAlignment w:val="auto"/>
              <w:rPr>
                <w:rFonts w:hint="default" w:ascii="Times New Roman" w:hAnsi="Times New Roman" w:eastAsia="宋体" w:cs="Times New Roman"/>
                <w:b/>
                <w:bCs w:val="0"/>
                <w:color w:val="auto"/>
                <w:spacing w:val="10"/>
                <w:sz w:val="24"/>
                <w:szCs w:val="24"/>
                <w:lang w:val="en-US" w:eastAsia="zh-CN"/>
              </w:rPr>
            </w:pPr>
            <w:r>
              <w:rPr>
                <w:rFonts w:hint="eastAsia" w:cs="Times New Roman"/>
                <w:b/>
                <w:bCs w:val="0"/>
                <w:color w:val="auto"/>
                <w:spacing w:val="10"/>
                <w:sz w:val="24"/>
                <w:szCs w:val="24"/>
                <w:lang w:val="en-US" w:eastAsia="zh-CN"/>
              </w:rPr>
              <w:t>4）</w:t>
            </w:r>
            <w:r>
              <w:rPr>
                <w:rFonts w:hint="default" w:ascii="Times New Roman" w:hAnsi="Times New Roman" w:eastAsia="宋体" w:cs="Times New Roman"/>
                <w:b/>
                <w:bCs w:val="0"/>
                <w:color w:val="auto"/>
                <w:spacing w:val="10"/>
                <w:sz w:val="24"/>
                <w:szCs w:val="24"/>
                <w:lang w:val="en-US" w:eastAsia="zh-CN"/>
              </w:rPr>
              <w:t>道路工程防治区</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本风电场临时工程</w:t>
            </w:r>
            <w:r>
              <w:rPr>
                <w:rFonts w:hint="eastAsia" w:ascii="Times New Roman" w:hAnsi="Times New Roman" w:eastAsia="宋体" w:cs="Times New Roman"/>
                <w:bCs/>
                <w:color w:val="auto"/>
                <w:spacing w:val="10"/>
                <w:sz w:val="24"/>
                <w:szCs w:val="24"/>
                <w:lang w:val="en-US" w:eastAsia="zh-CN"/>
              </w:rPr>
              <w:t>部分</w:t>
            </w:r>
            <w:r>
              <w:rPr>
                <w:rFonts w:hint="default" w:ascii="Times New Roman" w:hAnsi="Times New Roman" w:eastAsia="宋体" w:cs="Times New Roman"/>
                <w:bCs/>
                <w:color w:val="auto"/>
                <w:spacing w:val="10"/>
                <w:sz w:val="24"/>
                <w:szCs w:val="24"/>
                <w:lang w:val="en-US" w:eastAsia="zh-CN"/>
              </w:rPr>
              <w:t>利用原有乡间旧路，施工运输车辆按照指定运输道路行驶，</w:t>
            </w:r>
            <w:r>
              <w:rPr>
                <w:rFonts w:hint="eastAsia" w:cs="Times New Roman"/>
                <w:bCs/>
                <w:color w:val="auto"/>
                <w:spacing w:val="10"/>
                <w:sz w:val="24"/>
                <w:szCs w:val="24"/>
                <w:lang w:val="en-US" w:eastAsia="zh-CN"/>
              </w:rPr>
              <w:t>未</w:t>
            </w:r>
            <w:r>
              <w:rPr>
                <w:rFonts w:hint="default" w:ascii="Times New Roman" w:hAnsi="Times New Roman" w:eastAsia="宋体" w:cs="Times New Roman"/>
                <w:bCs/>
                <w:color w:val="auto"/>
                <w:spacing w:val="10"/>
                <w:sz w:val="24"/>
                <w:szCs w:val="24"/>
                <w:lang w:val="en-US" w:eastAsia="zh-CN"/>
              </w:rPr>
              <w:t>碾压植被；同时注意做好路面洒水等防尘工作，减少扬尘影响。临时用地尽量缩短使用时间，用后及时恢复</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土地原来的功能。</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①对施工道路临时占地进行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表土剥离，所剥离表土临时堆存于道路一侧；</w:t>
            </w:r>
          </w:p>
          <w:p>
            <w:pPr>
              <w:keepNext w:val="0"/>
              <w:keepLines w:val="0"/>
              <w:pageBreakBefore w:val="0"/>
              <w:widowControl w:val="0"/>
              <w:kinsoku/>
              <w:wordWrap/>
              <w:overflowPunct/>
              <w:topLinePunct w:val="0"/>
              <w:bidi w:val="0"/>
              <w:adjustRightInd w:val="0"/>
              <w:snapToGrid w:val="0"/>
              <w:spacing w:line="360" w:lineRule="auto"/>
              <w:ind w:firstLine="520" w:firstLineChars="200"/>
              <w:textAlignment w:val="auto"/>
              <w:rPr>
                <w:rFonts w:hint="default" w:ascii="Times New Roman" w:hAnsi="Times New Roman" w:eastAsia="宋体" w:cs="Times New Roman"/>
                <w:bCs/>
                <w:color w:val="auto"/>
                <w:spacing w:val="10"/>
                <w:sz w:val="24"/>
                <w:szCs w:val="24"/>
                <w:lang w:val="en-US" w:eastAsia="zh-CN"/>
              </w:rPr>
            </w:pPr>
            <w:r>
              <w:rPr>
                <w:rFonts w:hint="default" w:ascii="Times New Roman" w:hAnsi="Times New Roman" w:eastAsia="宋体" w:cs="Times New Roman"/>
                <w:bCs/>
                <w:color w:val="auto"/>
                <w:spacing w:val="10"/>
                <w:sz w:val="24"/>
                <w:szCs w:val="24"/>
                <w:lang w:val="en-US" w:eastAsia="zh-CN"/>
              </w:rPr>
              <w:t>②施工期间加强</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洒水措施，对临时堆土进行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临时苫盖、拦挡，对道路挖填边坡下边坡采取</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土袋拦挡；</w:t>
            </w:r>
          </w:p>
          <w:p>
            <w:pPr>
              <w:bidi w:val="0"/>
              <w:ind w:firstLine="520" w:firstLineChars="200"/>
              <w:rPr>
                <w:color w:val="auto"/>
              </w:rPr>
            </w:pPr>
            <w:r>
              <w:rPr>
                <w:rFonts w:hint="default" w:ascii="Times New Roman" w:hAnsi="Times New Roman" w:eastAsia="宋体" w:cs="Times New Roman"/>
                <w:bCs/>
                <w:color w:val="auto"/>
                <w:spacing w:val="10"/>
                <w:sz w:val="24"/>
                <w:szCs w:val="24"/>
                <w:lang w:val="en-US" w:eastAsia="zh-CN"/>
              </w:rPr>
              <w:t>③对施工道路临时占地及挖填边坡进行</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恢复。施工过程中将道路工程剥离表土分段集中堆放在道路一侧，表土外侧设置</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临时草袋装土挡墙拦挡。对修筑道路期间开挖土方及表土采用</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防尘网进行临时苫盖，防止雨水冲刷和大风吹蚀。道路施工前将剥离表土沿道路堆放于施工区一侧，并采取</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防护网遮盖，用于施工结束后临时占地的恢复；施工期间，为防尘降尘，采取</w:t>
            </w:r>
            <w:r>
              <w:rPr>
                <w:rFonts w:hint="eastAsia" w:cs="Times New Roman"/>
                <w:bCs/>
                <w:color w:val="auto"/>
                <w:spacing w:val="10"/>
                <w:sz w:val="24"/>
                <w:szCs w:val="24"/>
                <w:lang w:val="en-US" w:eastAsia="zh-CN"/>
              </w:rPr>
              <w:t>了</w:t>
            </w:r>
            <w:r>
              <w:rPr>
                <w:rFonts w:hint="default" w:ascii="Times New Roman" w:hAnsi="Times New Roman" w:eastAsia="宋体" w:cs="Times New Roman"/>
                <w:bCs/>
                <w:color w:val="auto"/>
                <w:spacing w:val="10"/>
                <w:sz w:val="24"/>
                <w:szCs w:val="24"/>
                <w:lang w:val="en-US" w:eastAsia="zh-CN"/>
              </w:rPr>
              <w:t>道路面临时洒水措施，减少施工期间扬尘。</w:t>
            </w:r>
            <w:r>
              <w:rPr>
                <w:rFonts w:hint="eastAsia" w:ascii="Times New Roman" w:hAnsi="Times New Roman" w:eastAsia="宋体" w:cs="Times New Roman"/>
                <w:bCs/>
                <w:color w:val="auto"/>
                <w:spacing w:val="10"/>
                <w:sz w:val="24"/>
                <w:szCs w:val="24"/>
                <w:lang w:val="en-US" w:eastAsia="zh-CN"/>
              </w:rPr>
              <w:t>施工期结束后，对施工道路进行</w:t>
            </w:r>
            <w:r>
              <w:rPr>
                <w:rFonts w:hint="eastAsia" w:cs="Times New Roman"/>
                <w:bCs/>
                <w:color w:val="auto"/>
                <w:spacing w:val="10"/>
                <w:sz w:val="24"/>
                <w:szCs w:val="24"/>
                <w:lang w:val="en-US" w:eastAsia="zh-CN"/>
              </w:rPr>
              <w:t>了</w:t>
            </w:r>
            <w:r>
              <w:rPr>
                <w:rFonts w:hint="eastAsia" w:ascii="Times New Roman" w:hAnsi="Times New Roman" w:eastAsia="宋体" w:cs="Times New Roman"/>
                <w:bCs/>
                <w:color w:val="auto"/>
                <w:spacing w:val="10"/>
                <w:sz w:val="24"/>
                <w:szCs w:val="24"/>
                <w:lang w:val="en-US" w:eastAsia="zh-CN"/>
              </w:rPr>
              <w:t>平整恢复，改建为永久检修道路，路面铺碎石。</w:t>
            </w:r>
          </w:p>
        </w:tc>
      </w:tr>
    </w:tbl>
    <w:p>
      <w:pPr>
        <w:bidi w:val="0"/>
        <w:rPr>
          <w:color w:val="auto"/>
        </w:rPr>
      </w:pPr>
    </w:p>
    <w:p>
      <w:pPr>
        <w:bidi w:val="0"/>
        <w:rPr>
          <w:color w:val="auto"/>
        </w:rPr>
        <w:sectPr>
          <w:headerReference r:id="rId19" w:type="default"/>
          <w:footerReference r:id="rId20" w:type="default"/>
          <w:pgSz w:w="11907" w:h="16839"/>
          <w:pgMar w:top="1608" w:right="1466" w:bottom="1151" w:left="1136" w:header="1459" w:footer="991" w:gutter="0"/>
          <w:pgNumType w:fmt="decimal"/>
          <w:cols w:space="720" w:num="1"/>
        </w:sectPr>
      </w:pPr>
    </w:p>
    <w:p>
      <w:pPr>
        <w:bidi w:val="0"/>
        <w:spacing w:line="360" w:lineRule="auto"/>
        <w:jc w:val="center"/>
        <w:rPr>
          <w:color w:val="auto"/>
        </w:rPr>
      </w:pPr>
      <w:r>
        <w:rPr>
          <w:rFonts w:ascii="Times New Roman" w:hAnsi="Times New Roman" w:eastAsia="宋体"/>
          <w:b/>
          <w:bCs/>
          <w:color w:val="auto"/>
          <w:sz w:val="28"/>
          <w:szCs w:val="28"/>
        </w:rPr>
        <w:t>表 9    环境管理及监测计划</w:t>
      </w:r>
    </w:p>
    <w:tbl>
      <w:tblPr>
        <w:tblStyle w:val="15"/>
        <w:tblW w:w="500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5000" w:type="pct"/>
            <w:vAlign w:val="center"/>
          </w:tcPr>
          <w:p>
            <w:pPr>
              <w:bidi w:val="0"/>
              <w:spacing w:line="240" w:lineRule="auto"/>
              <w:jc w:val="both"/>
              <w:rPr>
                <w:b/>
                <w:bCs/>
                <w:color w:val="auto"/>
              </w:rPr>
            </w:pPr>
            <w:r>
              <w:rPr>
                <w:b/>
                <w:bCs/>
                <w:color w:val="auto"/>
              </w:rPr>
              <w:t>环境管理机构设置（分施工期和环境保护设施调试期）</w:t>
            </w:r>
          </w:p>
          <w:p>
            <w:pPr>
              <w:bidi w:val="0"/>
              <w:ind w:firstLine="482" w:firstLineChars="200"/>
              <w:rPr>
                <w:b/>
                <w:bCs/>
                <w:color w:val="auto"/>
              </w:rPr>
            </w:pPr>
            <w:r>
              <w:rPr>
                <w:rFonts w:hint="eastAsia"/>
                <w:b/>
                <w:bCs/>
                <w:color w:val="auto"/>
                <w:lang w:val="en-US" w:eastAsia="zh-CN"/>
              </w:rPr>
              <w:t>1、</w:t>
            </w:r>
            <w:r>
              <w:rPr>
                <w:b/>
                <w:bCs/>
                <w:color w:val="auto"/>
              </w:rPr>
              <w:t>环境管理机构设置</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施工期环境管理</w:t>
            </w:r>
          </w:p>
          <w:p>
            <w:pPr>
              <w:bidi w:val="0"/>
              <w:ind w:firstLine="480" w:firstLineChars="200"/>
              <w:rPr>
                <w:color w:val="auto"/>
              </w:rPr>
            </w:pPr>
            <w:r>
              <w:rPr>
                <w:color w:val="auto"/>
              </w:rPr>
              <w:t>本着“谁污染谁治理”的原则，本工程建立了以建设单位为责任主体的环境管理体系， 基本运行机制是：编制上属于建设单位的1个部门，工作上服务于本工程建设，同时注重协调好工程所在地生态环境主管部门的关系。在建设单位内部运行管理上，由建设单位专门部门负责，对于工程建设过程中所产生的环境问题建立报告制度，并及时得到处理，使环境问题得到有效控制，能接受国家和地方生态环境主管部门的监督检查。</w:t>
            </w:r>
          </w:p>
          <w:p>
            <w:pPr>
              <w:bidi w:val="0"/>
              <w:ind w:firstLine="480" w:firstLineChars="200"/>
              <w:rPr>
                <w:color w:val="auto"/>
              </w:rPr>
            </w:pPr>
            <w:r>
              <w:rPr>
                <w:color w:val="auto"/>
              </w:rPr>
              <w:t>为确保本项目施工期各项环保措施的落实，项目建设期环境管理实施如下：</w:t>
            </w:r>
          </w:p>
          <w:p>
            <w:pPr>
              <w:bidi w:val="0"/>
              <w:ind w:firstLine="480" w:firstLineChars="200"/>
              <w:rPr>
                <w:color w:val="auto"/>
              </w:rPr>
            </w:pPr>
            <w:r>
              <w:rPr>
                <w:color w:val="auto"/>
              </w:rPr>
              <w:t>①加强环境监督与管理，环境管理人员深入施工现场，监督环保措施的实施；</w:t>
            </w:r>
          </w:p>
          <w:p>
            <w:pPr>
              <w:bidi w:val="0"/>
              <w:ind w:firstLine="480" w:firstLineChars="200"/>
              <w:rPr>
                <w:color w:val="auto"/>
              </w:rPr>
            </w:pPr>
            <w:r>
              <w:rPr>
                <w:color w:val="auto"/>
              </w:rPr>
              <w:t>②实现环境敏感目标责任制，把环境保护落实到整个施工过程中；</w:t>
            </w:r>
          </w:p>
          <w:p>
            <w:pPr>
              <w:bidi w:val="0"/>
              <w:ind w:firstLine="480" w:firstLineChars="200"/>
              <w:rPr>
                <w:color w:val="auto"/>
              </w:rPr>
            </w:pPr>
            <w:r>
              <w:rPr>
                <w:color w:val="auto"/>
              </w:rPr>
              <w:t>③开展施工期环境监理，环境监理的主要任务包括：对工程承包商的监理，监督其全面履行环保项目合同的执行情况，及时处理环保的有关问题；对环保各项工程的施工进行现场监理，包括设施设备、材料和建筑与安装、调试与运行以及维护等；编制工程监理报表，并定期汇报；协助建设单位处理索赔及各类社会、自然等方面出现的问题；负责环境监测、调查资料的整理、归档。</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运行期环境管理</w:t>
            </w:r>
          </w:p>
          <w:p>
            <w:pPr>
              <w:bidi w:val="0"/>
              <w:ind w:firstLine="480" w:firstLineChars="200"/>
              <w:rPr>
                <w:color w:val="auto"/>
              </w:rPr>
            </w:pPr>
            <w:r>
              <w:rPr>
                <w:color w:val="auto"/>
              </w:rPr>
              <w:t>根据项目所在区域的环境特点，建设单位已设置环境管理部门，配备相应专业的管理人员。环保管理人员应在各自的岗位责任中明确所负的环保责任，并加强日常环保管理。环境管理的职能为：</w:t>
            </w:r>
          </w:p>
          <w:p>
            <w:pPr>
              <w:bidi w:val="0"/>
              <w:ind w:firstLine="480" w:firstLineChars="200"/>
              <w:rPr>
                <w:color w:val="auto"/>
              </w:rPr>
            </w:pPr>
            <w:r>
              <w:rPr>
                <w:rFonts w:hint="eastAsia"/>
                <w:color w:val="auto"/>
              </w:rPr>
              <w:t>①</w:t>
            </w:r>
            <w:r>
              <w:rPr>
                <w:color w:val="auto"/>
              </w:rPr>
              <w:t>制定和实施各项环境管理计划。</w:t>
            </w:r>
          </w:p>
          <w:p>
            <w:pPr>
              <w:bidi w:val="0"/>
              <w:ind w:firstLine="480" w:firstLineChars="200"/>
              <w:rPr>
                <w:color w:val="auto"/>
              </w:rPr>
            </w:pPr>
            <w:r>
              <w:rPr>
                <w:rFonts w:hint="eastAsia"/>
                <w:color w:val="auto"/>
              </w:rPr>
              <w:t>②</w:t>
            </w:r>
            <w:r>
              <w:rPr>
                <w:color w:val="auto"/>
              </w:rPr>
              <w:t>建立工频电磁场、生态环境现状数据档案，向当地生态环境行政主管部门申报。</w:t>
            </w:r>
          </w:p>
          <w:p>
            <w:pPr>
              <w:bidi w:val="0"/>
              <w:ind w:firstLine="480" w:firstLineChars="200"/>
              <w:rPr>
                <w:color w:val="auto"/>
              </w:rPr>
            </w:pPr>
            <w:r>
              <w:rPr>
                <w:rFonts w:hint="eastAsia"/>
                <w:color w:val="auto"/>
              </w:rPr>
              <w:t>③</w:t>
            </w:r>
            <w:r>
              <w:rPr>
                <w:color w:val="auto"/>
              </w:rPr>
              <w:t>掌握项目所在地周围的环境特征和重点环境敏感目标情况。建立环境管理和环境监测技术文件，包括：污染源的监测记录技术文件；污染控制、环境保护设施的设计和运行管理文件；导致严重环境影响事件的分析报告和监测数据资料等，并定期向当地生态环境主管部门申报。</w:t>
            </w:r>
          </w:p>
          <w:p>
            <w:pPr>
              <w:bidi w:val="0"/>
              <w:ind w:firstLine="480" w:firstLineChars="200"/>
              <w:rPr>
                <w:color w:val="auto"/>
              </w:rPr>
            </w:pPr>
            <w:r>
              <w:rPr>
                <w:rFonts w:hint="eastAsia"/>
                <w:color w:val="auto"/>
              </w:rPr>
              <w:t>④</w:t>
            </w:r>
            <w:r>
              <w:rPr>
                <w:color w:val="auto"/>
              </w:rPr>
              <w:t>检查治理设施运行情况，及时处理出现的问题，保证治理设施的正常运行。</w:t>
            </w:r>
          </w:p>
          <w:p>
            <w:pPr>
              <w:bidi w:val="0"/>
              <w:ind w:firstLine="480" w:firstLineChars="200"/>
              <w:rPr>
                <w:color w:val="auto"/>
              </w:rPr>
            </w:pPr>
            <w:r>
              <w:rPr>
                <w:rFonts w:hint="eastAsia"/>
                <w:color w:val="auto"/>
              </w:rPr>
              <w:t>⑤</w:t>
            </w:r>
            <w:r>
              <w:rPr>
                <w:color w:val="auto"/>
              </w:rPr>
              <w:t>定期巡查，特别是各环境保护对象，保护生态环境不被破坏，保证保护生态与工程运行相协调。</w:t>
            </w:r>
          </w:p>
          <w:p>
            <w:pPr>
              <w:bidi w:val="0"/>
              <w:ind w:firstLine="480" w:firstLineChars="200"/>
              <w:rPr>
                <w:color w:val="auto"/>
                <w:spacing w:val="-5"/>
              </w:rPr>
            </w:pPr>
            <w:r>
              <w:rPr>
                <w:rFonts w:hint="eastAsia"/>
                <w:color w:val="auto"/>
              </w:rPr>
              <w:t>⑥</w:t>
            </w:r>
            <w:r>
              <w:rPr>
                <w:color w:val="auto"/>
              </w:rPr>
              <w:t>协调配合当地生态环境主管部门所进行的环境调查、生态调查等活动。运行单位的公司环境保护领导小组为环境保护工作的领导机构（下设办公室</w:t>
            </w:r>
            <w:r>
              <w:rPr>
                <w:rFonts w:hint="eastAsia"/>
                <w:color w:val="auto"/>
                <w:lang w:val="en-US" w:eastAsia="zh-CN"/>
              </w:rPr>
              <w:t>等</w:t>
            </w:r>
            <w:r>
              <w:rPr>
                <w:color w:val="auto"/>
              </w:rPr>
              <w:t>部），主要职责：贯彻落实国家、地方环境保护法律、法规、方针、政策和公司环境保护工作有关管理规定；组织制定公司环境保护规划和有关重大决策；审定公司环境保护工作规章制度、发展规划和年度计划；协调解决公司环境保护工作中的重大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4" w:hRule="atLeast"/>
        </w:trPr>
        <w:tc>
          <w:tcPr>
            <w:tcW w:w="5000" w:type="pct"/>
            <w:vAlign w:val="center"/>
          </w:tcPr>
          <w:p>
            <w:pPr>
              <w:bidi w:val="0"/>
              <w:spacing w:line="240" w:lineRule="auto"/>
              <w:jc w:val="both"/>
              <w:rPr>
                <w:b/>
                <w:bCs/>
                <w:color w:val="auto"/>
              </w:rPr>
            </w:pPr>
            <w:r>
              <w:rPr>
                <w:b/>
                <w:bCs/>
                <w:color w:val="auto"/>
              </w:rPr>
              <w:t>环境监测计划落实情况及环境保护档案管理情况</w:t>
            </w:r>
          </w:p>
          <w:p>
            <w:pPr>
              <w:bidi w:val="0"/>
              <w:ind w:firstLine="482" w:firstLineChars="200"/>
              <w:rPr>
                <w:b/>
                <w:bCs/>
                <w:color w:val="auto"/>
              </w:rPr>
            </w:pPr>
            <w:r>
              <w:rPr>
                <w:rFonts w:hint="eastAsia"/>
                <w:b/>
                <w:bCs/>
                <w:color w:val="auto"/>
                <w:lang w:val="en-US" w:eastAsia="zh-CN"/>
              </w:rPr>
              <w:t>1、</w:t>
            </w:r>
            <w:r>
              <w:rPr>
                <w:b/>
                <w:bCs/>
                <w:color w:val="auto"/>
              </w:rPr>
              <w:t>环境监测计划落实情况及环境保护档案管理情况</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环境监测计划落实情况</w:t>
            </w:r>
          </w:p>
          <w:p>
            <w:pPr>
              <w:bidi w:val="0"/>
              <w:ind w:firstLine="480" w:firstLineChars="200"/>
              <w:rPr>
                <w:color w:val="auto"/>
              </w:rPr>
            </w:pPr>
            <w:r>
              <w:rPr>
                <w:color w:val="auto"/>
              </w:rPr>
              <w:t>环境监测计划落实情况见表9-1。</w:t>
            </w:r>
          </w:p>
          <w:p>
            <w:pPr>
              <w:bidi w:val="0"/>
              <w:spacing w:line="240" w:lineRule="auto"/>
              <w:jc w:val="center"/>
              <w:rPr>
                <w:color w:val="auto"/>
                <w:vertAlign w:val="baseline"/>
              </w:rPr>
            </w:pPr>
            <w:r>
              <w:rPr>
                <w:b/>
                <w:bCs/>
                <w:color w:val="auto"/>
              </w:rPr>
              <w:t>表 9-1    环境监测计划落实情况表</w:t>
            </w:r>
          </w:p>
          <w:tbl>
            <w:tblPr>
              <w:tblStyle w:val="1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64"/>
              <w:gridCol w:w="1355"/>
              <w:gridCol w:w="4915"/>
              <w:gridCol w:w="1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pct"/>
                  <w:vAlign w:val="center"/>
                </w:tcPr>
                <w:p>
                  <w:pPr>
                    <w:bidi w:val="0"/>
                    <w:spacing w:line="240" w:lineRule="auto"/>
                    <w:jc w:val="center"/>
                    <w:rPr>
                      <w:rFonts w:hint="eastAsia"/>
                      <w:b/>
                      <w:bCs/>
                      <w:color w:val="auto"/>
                      <w:sz w:val="21"/>
                      <w:szCs w:val="21"/>
                      <w:lang w:val="en-US" w:eastAsia="zh-CN"/>
                    </w:rPr>
                  </w:pPr>
                  <w:r>
                    <w:rPr>
                      <w:rFonts w:hint="eastAsia"/>
                      <w:b/>
                      <w:bCs/>
                      <w:color w:val="auto"/>
                      <w:sz w:val="21"/>
                      <w:szCs w:val="21"/>
                      <w:lang w:val="en-US" w:eastAsia="zh-CN"/>
                    </w:rPr>
                    <w:t>序号</w:t>
                  </w:r>
                </w:p>
              </w:tc>
              <w:tc>
                <w:tcPr>
                  <w:tcW w:w="1064" w:type="pct"/>
                  <w:gridSpan w:val="2"/>
                  <w:vAlign w:val="center"/>
                </w:tcPr>
                <w:p>
                  <w:pPr>
                    <w:bidi w:val="0"/>
                    <w:spacing w:line="240" w:lineRule="auto"/>
                    <w:jc w:val="center"/>
                    <w:rPr>
                      <w:b/>
                      <w:bCs/>
                      <w:color w:val="auto"/>
                      <w:sz w:val="21"/>
                      <w:szCs w:val="21"/>
                    </w:rPr>
                  </w:pPr>
                  <w:r>
                    <w:rPr>
                      <w:rFonts w:hint="eastAsia"/>
                      <w:b/>
                      <w:bCs/>
                      <w:color w:val="auto"/>
                      <w:sz w:val="21"/>
                      <w:szCs w:val="21"/>
                      <w:lang w:val="en-US" w:eastAsia="zh-CN"/>
                    </w:rPr>
                    <w:t>名称</w:t>
                  </w:r>
                </w:p>
              </w:tc>
              <w:tc>
                <w:tcPr>
                  <w:tcW w:w="2590" w:type="pct"/>
                  <w:vAlign w:val="center"/>
                </w:tcPr>
                <w:p>
                  <w:pPr>
                    <w:bidi w:val="0"/>
                    <w:spacing w:line="240" w:lineRule="auto"/>
                    <w:jc w:val="center"/>
                    <w:rPr>
                      <w:rFonts w:hint="eastAsia"/>
                      <w:b/>
                      <w:bCs/>
                      <w:color w:val="auto"/>
                      <w:sz w:val="21"/>
                      <w:szCs w:val="21"/>
                      <w:lang w:val="en-US" w:eastAsia="zh-CN"/>
                    </w:rPr>
                  </w:pPr>
                  <w:r>
                    <w:rPr>
                      <w:rFonts w:hint="eastAsia"/>
                      <w:b/>
                      <w:bCs/>
                      <w:color w:val="auto"/>
                      <w:sz w:val="21"/>
                      <w:szCs w:val="21"/>
                      <w:lang w:val="en-US" w:eastAsia="zh-CN"/>
                    </w:rPr>
                    <w:t>监测计划</w:t>
                  </w:r>
                </w:p>
              </w:tc>
              <w:tc>
                <w:tcPr>
                  <w:tcW w:w="1000" w:type="pct"/>
                  <w:vAlign w:val="center"/>
                </w:tcPr>
                <w:p>
                  <w:pPr>
                    <w:bidi w:val="0"/>
                    <w:spacing w:line="240" w:lineRule="auto"/>
                    <w:jc w:val="center"/>
                    <w:rPr>
                      <w:rFonts w:hint="eastAsia"/>
                      <w:b/>
                      <w:bCs/>
                      <w:color w:val="auto"/>
                      <w:sz w:val="21"/>
                      <w:szCs w:val="21"/>
                      <w:lang w:val="en-US" w:eastAsia="zh-CN"/>
                    </w:rPr>
                  </w:pPr>
                  <w:r>
                    <w:rPr>
                      <w:rFonts w:hint="eastAsia"/>
                      <w:b/>
                      <w:bCs/>
                      <w:color w:val="auto"/>
                      <w:sz w:val="21"/>
                      <w:szCs w:val="21"/>
                      <w:lang w:val="en-US"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pct"/>
                  <w:vMerge w:val="restar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1</w:t>
                  </w:r>
                </w:p>
              </w:tc>
              <w:tc>
                <w:tcPr>
                  <w:tcW w:w="350" w:type="pct"/>
                  <w:vMerge w:val="restart"/>
                  <w:vAlign w:val="center"/>
                </w:tcPr>
                <w:p>
                  <w:pPr>
                    <w:bidi w:val="0"/>
                    <w:spacing w:line="240" w:lineRule="auto"/>
                    <w:jc w:val="center"/>
                    <w:rPr>
                      <w:color w:val="auto"/>
                      <w:sz w:val="21"/>
                      <w:szCs w:val="21"/>
                    </w:rPr>
                  </w:pPr>
                  <w:r>
                    <w:rPr>
                      <w:color w:val="auto"/>
                      <w:sz w:val="21"/>
                      <w:szCs w:val="21"/>
                    </w:rPr>
                    <w:t>工频</w:t>
                  </w:r>
                </w:p>
                <w:p>
                  <w:pPr>
                    <w:bidi w:val="0"/>
                    <w:spacing w:line="240" w:lineRule="auto"/>
                    <w:jc w:val="center"/>
                    <w:rPr>
                      <w:color w:val="auto"/>
                      <w:sz w:val="21"/>
                      <w:szCs w:val="21"/>
                    </w:rPr>
                  </w:pPr>
                  <w:r>
                    <w:rPr>
                      <w:color w:val="auto"/>
                      <w:sz w:val="21"/>
                      <w:szCs w:val="21"/>
                    </w:rPr>
                    <w:t>电场</w:t>
                  </w:r>
                </w:p>
                <w:p>
                  <w:pPr>
                    <w:bidi w:val="0"/>
                    <w:spacing w:line="240" w:lineRule="auto"/>
                    <w:jc w:val="center"/>
                    <w:rPr>
                      <w:color w:val="auto"/>
                      <w:sz w:val="21"/>
                      <w:szCs w:val="21"/>
                    </w:rPr>
                  </w:pPr>
                  <w:r>
                    <w:rPr>
                      <w:color w:val="auto"/>
                      <w:sz w:val="21"/>
                      <w:szCs w:val="21"/>
                    </w:rPr>
                    <w:t>工频</w:t>
                  </w:r>
                </w:p>
                <w:p>
                  <w:pPr>
                    <w:bidi w:val="0"/>
                    <w:spacing w:line="240" w:lineRule="auto"/>
                    <w:jc w:val="center"/>
                    <w:rPr>
                      <w:color w:val="auto"/>
                      <w:sz w:val="21"/>
                      <w:szCs w:val="21"/>
                    </w:rPr>
                  </w:pPr>
                  <w:r>
                    <w:rPr>
                      <w:color w:val="auto"/>
                      <w:sz w:val="21"/>
                      <w:szCs w:val="21"/>
                    </w:rPr>
                    <w:t>磁场</w:t>
                  </w:r>
                </w:p>
              </w:tc>
              <w:tc>
                <w:tcPr>
                  <w:tcW w:w="713" w:type="pct"/>
                  <w:vAlign w:val="center"/>
                </w:tcPr>
                <w:p>
                  <w:pPr>
                    <w:bidi w:val="0"/>
                    <w:spacing w:line="240" w:lineRule="auto"/>
                    <w:jc w:val="center"/>
                    <w:rPr>
                      <w:color w:val="auto"/>
                      <w:sz w:val="21"/>
                      <w:szCs w:val="21"/>
                    </w:rPr>
                  </w:pPr>
                  <w:r>
                    <w:rPr>
                      <w:color w:val="auto"/>
                      <w:sz w:val="21"/>
                      <w:szCs w:val="21"/>
                    </w:rPr>
                    <w:t>点位布设</w:t>
                  </w:r>
                </w:p>
              </w:tc>
              <w:tc>
                <w:tcPr>
                  <w:tcW w:w="2590" w:type="pct"/>
                  <w:vAlign w:val="center"/>
                </w:tcPr>
                <w:p>
                  <w:pPr>
                    <w:bidi w:val="0"/>
                    <w:spacing w:line="240" w:lineRule="auto"/>
                    <w:jc w:val="center"/>
                    <w:rPr>
                      <w:color w:val="auto"/>
                      <w:sz w:val="21"/>
                      <w:szCs w:val="21"/>
                    </w:rPr>
                  </w:pPr>
                  <w:r>
                    <w:rPr>
                      <w:color w:val="auto"/>
                      <w:sz w:val="21"/>
                      <w:szCs w:val="21"/>
                    </w:rPr>
                    <w:t>升压站四周、输电线路附近</w:t>
                  </w:r>
                </w:p>
              </w:tc>
              <w:tc>
                <w:tcPr>
                  <w:tcW w:w="1000" w:type="pct"/>
                  <w:vMerge w:val="restart"/>
                  <w:vAlign w:val="center"/>
                </w:tcPr>
                <w:p>
                  <w:pPr>
                    <w:bidi w:val="0"/>
                    <w:spacing w:line="240" w:lineRule="auto"/>
                    <w:jc w:val="center"/>
                    <w:rPr>
                      <w:color w:val="auto"/>
                      <w:sz w:val="21"/>
                      <w:szCs w:val="21"/>
                    </w:rPr>
                  </w:pPr>
                  <w:r>
                    <w:rPr>
                      <w:color w:val="auto"/>
                      <w:sz w:val="21"/>
                      <w:szCs w:val="21"/>
                    </w:rPr>
                    <w:t>已委托有资质单位  进行竣工环境保护  验收监测。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pct"/>
                  <w:vMerge w:val="continue"/>
                  <w:vAlign w:val="center"/>
                </w:tcPr>
                <w:p>
                  <w:pPr>
                    <w:bidi w:val="0"/>
                    <w:spacing w:line="240" w:lineRule="auto"/>
                    <w:jc w:val="center"/>
                    <w:rPr>
                      <w:color w:val="auto"/>
                      <w:sz w:val="21"/>
                      <w:szCs w:val="21"/>
                    </w:rPr>
                  </w:pPr>
                </w:p>
              </w:tc>
              <w:tc>
                <w:tcPr>
                  <w:tcW w:w="350" w:type="pct"/>
                  <w:vMerge w:val="continue"/>
                  <w:vAlign w:val="center"/>
                </w:tcPr>
                <w:p>
                  <w:pPr>
                    <w:bidi w:val="0"/>
                    <w:spacing w:line="240" w:lineRule="auto"/>
                    <w:jc w:val="center"/>
                    <w:rPr>
                      <w:color w:val="auto"/>
                      <w:sz w:val="21"/>
                      <w:szCs w:val="21"/>
                    </w:rPr>
                  </w:pPr>
                </w:p>
              </w:tc>
              <w:tc>
                <w:tcPr>
                  <w:tcW w:w="713" w:type="pct"/>
                  <w:vAlign w:val="center"/>
                </w:tcPr>
                <w:p>
                  <w:pPr>
                    <w:bidi w:val="0"/>
                    <w:spacing w:line="240" w:lineRule="auto"/>
                    <w:jc w:val="center"/>
                    <w:rPr>
                      <w:color w:val="auto"/>
                      <w:sz w:val="21"/>
                      <w:szCs w:val="21"/>
                    </w:rPr>
                  </w:pPr>
                  <w:r>
                    <w:rPr>
                      <w:color w:val="auto"/>
                      <w:sz w:val="21"/>
                      <w:szCs w:val="21"/>
                    </w:rPr>
                    <w:t>监测指标</w:t>
                  </w:r>
                </w:p>
              </w:tc>
              <w:tc>
                <w:tcPr>
                  <w:tcW w:w="2590" w:type="pct"/>
                  <w:vAlign w:val="center"/>
                </w:tcPr>
                <w:p>
                  <w:pPr>
                    <w:bidi w:val="0"/>
                    <w:spacing w:line="240" w:lineRule="auto"/>
                    <w:jc w:val="center"/>
                    <w:rPr>
                      <w:color w:val="auto"/>
                      <w:sz w:val="21"/>
                      <w:szCs w:val="21"/>
                    </w:rPr>
                  </w:pPr>
                  <w:r>
                    <w:rPr>
                      <w:color w:val="auto"/>
                      <w:sz w:val="21"/>
                      <w:szCs w:val="21"/>
                    </w:rPr>
                    <w:t>工频电场强度、工频磁感应强度</w:t>
                  </w:r>
                </w:p>
              </w:tc>
              <w:tc>
                <w:tcPr>
                  <w:tcW w:w="1000" w:type="pct"/>
                  <w:vMerge w:val="continue"/>
                  <w:vAlign w:val="center"/>
                </w:tcPr>
                <w:p>
                  <w:pPr>
                    <w:bidi w:val="0"/>
                    <w:spacing w:line="240" w:lineRule="auto"/>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pct"/>
                  <w:vMerge w:val="continue"/>
                  <w:vAlign w:val="center"/>
                </w:tcPr>
                <w:p>
                  <w:pPr>
                    <w:bidi w:val="0"/>
                    <w:spacing w:line="240" w:lineRule="auto"/>
                    <w:jc w:val="center"/>
                    <w:rPr>
                      <w:color w:val="auto"/>
                      <w:sz w:val="21"/>
                      <w:szCs w:val="21"/>
                    </w:rPr>
                  </w:pPr>
                </w:p>
              </w:tc>
              <w:tc>
                <w:tcPr>
                  <w:tcW w:w="350" w:type="pct"/>
                  <w:vMerge w:val="continue"/>
                  <w:vAlign w:val="center"/>
                </w:tcPr>
                <w:p>
                  <w:pPr>
                    <w:bidi w:val="0"/>
                    <w:spacing w:line="240" w:lineRule="auto"/>
                    <w:jc w:val="center"/>
                    <w:rPr>
                      <w:color w:val="auto"/>
                      <w:sz w:val="21"/>
                      <w:szCs w:val="21"/>
                    </w:rPr>
                  </w:pPr>
                </w:p>
              </w:tc>
              <w:tc>
                <w:tcPr>
                  <w:tcW w:w="713" w:type="pct"/>
                  <w:vAlign w:val="center"/>
                </w:tcPr>
                <w:p>
                  <w:pPr>
                    <w:bidi w:val="0"/>
                    <w:spacing w:line="240" w:lineRule="auto"/>
                    <w:jc w:val="center"/>
                    <w:rPr>
                      <w:color w:val="auto"/>
                      <w:sz w:val="21"/>
                      <w:szCs w:val="21"/>
                    </w:rPr>
                  </w:pPr>
                  <w:r>
                    <w:rPr>
                      <w:color w:val="auto"/>
                      <w:sz w:val="21"/>
                      <w:szCs w:val="21"/>
                    </w:rPr>
                    <w:t>监测方法</w:t>
                  </w:r>
                </w:p>
              </w:tc>
              <w:tc>
                <w:tcPr>
                  <w:tcW w:w="2590" w:type="pct"/>
                  <w:vAlign w:val="center"/>
                </w:tcPr>
                <w:p>
                  <w:pPr>
                    <w:bidi w:val="0"/>
                    <w:spacing w:line="240" w:lineRule="auto"/>
                    <w:jc w:val="center"/>
                    <w:rPr>
                      <w:color w:val="auto"/>
                      <w:sz w:val="21"/>
                      <w:szCs w:val="21"/>
                    </w:rPr>
                  </w:pPr>
                  <w:r>
                    <w:rPr>
                      <w:color w:val="auto"/>
                      <w:sz w:val="21"/>
                      <w:szCs w:val="21"/>
                    </w:rPr>
                    <w:t>《交流输变电工程电磁环境监测方法（试行）》 （HJ 681-2013）</w:t>
                  </w:r>
                </w:p>
              </w:tc>
              <w:tc>
                <w:tcPr>
                  <w:tcW w:w="1000" w:type="pct"/>
                  <w:vMerge w:val="continue"/>
                  <w:vAlign w:val="center"/>
                </w:tcPr>
                <w:p>
                  <w:pPr>
                    <w:bidi w:val="0"/>
                    <w:spacing w:line="240" w:lineRule="auto"/>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pct"/>
                  <w:vMerge w:val="continue"/>
                  <w:vAlign w:val="center"/>
                </w:tcPr>
                <w:p>
                  <w:pPr>
                    <w:bidi w:val="0"/>
                    <w:spacing w:line="240" w:lineRule="auto"/>
                    <w:jc w:val="center"/>
                    <w:rPr>
                      <w:color w:val="auto"/>
                      <w:sz w:val="21"/>
                      <w:szCs w:val="21"/>
                    </w:rPr>
                  </w:pPr>
                </w:p>
              </w:tc>
              <w:tc>
                <w:tcPr>
                  <w:tcW w:w="350" w:type="pct"/>
                  <w:vMerge w:val="continue"/>
                  <w:vAlign w:val="center"/>
                </w:tcPr>
                <w:p>
                  <w:pPr>
                    <w:bidi w:val="0"/>
                    <w:spacing w:line="240" w:lineRule="auto"/>
                    <w:jc w:val="center"/>
                    <w:rPr>
                      <w:color w:val="auto"/>
                      <w:sz w:val="21"/>
                      <w:szCs w:val="21"/>
                    </w:rPr>
                  </w:pPr>
                </w:p>
              </w:tc>
              <w:tc>
                <w:tcPr>
                  <w:tcW w:w="713" w:type="pct"/>
                  <w:vAlign w:val="center"/>
                </w:tcPr>
                <w:p>
                  <w:pPr>
                    <w:bidi w:val="0"/>
                    <w:spacing w:line="240" w:lineRule="auto"/>
                    <w:jc w:val="center"/>
                    <w:rPr>
                      <w:color w:val="auto"/>
                      <w:sz w:val="21"/>
                      <w:szCs w:val="21"/>
                    </w:rPr>
                  </w:pPr>
                  <w:r>
                    <w:rPr>
                      <w:color w:val="auto"/>
                      <w:sz w:val="21"/>
                      <w:szCs w:val="21"/>
                    </w:rPr>
                    <w:t>监测频次和时间</w:t>
                  </w:r>
                </w:p>
              </w:tc>
              <w:tc>
                <w:tcPr>
                  <w:tcW w:w="2590" w:type="pct"/>
                  <w:vAlign w:val="center"/>
                </w:tcPr>
                <w:p>
                  <w:pPr>
                    <w:bidi w:val="0"/>
                    <w:spacing w:line="240" w:lineRule="auto"/>
                    <w:jc w:val="center"/>
                    <w:rPr>
                      <w:color w:val="auto"/>
                      <w:sz w:val="21"/>
                      <w:szCs w:val="21"/>
                    </w:rPr>
                  </w:pPr>
                  <w:r>
                    <w:rPr>
                      <w:color w:val="auto"/>
                      <w:sz w:val="21"/>
                      <w:szCs w:val="21"/>
                    </w:rPr>
                    <w:t>竣工环境保护验收监测一次，其后在投诉或运行条件发生重大变化时进行监测。</w:t>
                  </w:r>
                </w:p>
              </w:tc>
              <w:tc>
                <w:tcPr>
                  <w:tcW w:w="1000" w:type="pct"/>
                  <w:vMerge w:val="continue"/>
                  <w:vAlign w:val="center"/>
                </w:tcPr>
                <w:p>
                  <w:pPr>
                    <w:bidi w:val="0"/>
                    <w:spacing w:line="240" w:lineRule="auto"/>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pct"/>
                  <w:vMerge w:val="restart"/>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2</w:t>
                  </w:r>
                </w:p>
              </w:tc>
              <w:tc>
                <w:tcPr>
                  <w:tcW w:w="350" w:type="pct"/>
                  <w:vMerge w:val="restart"/>
                  <w:vAlign w:val="center"/>
                </w:tcPr>
                <w:p>
                  <w:pPr>
                    <w:bidi w:val="0"/>
                    <w:spacing w:line="240" w:lineRule="auto"/>
                    <w:jc w:val="center"/>
                    <w:rPr>
                      <w:color w:val="auto"/>
                      <w:sz w:val="21"/>
                      <w:szCs w:val="21"/>
                    </w:rPr>
                  </w:pPr>
                  <w:r>
                    <w:rPr>
                      <w:color w:val="auto"/>
                      <w:sz w:val="21"/>
                      <w:szCs w:val="21"/>
                    </w:rPr>
                    <w:t>噪声</w:t>
                  </w:r>
                </w:p>
              </w:tc>
              <w:tc>
                <w:tcPr>
                  <w:tcW w:w="713" w:type="pct"/>
                  <w:vAlign w:val="center"/>
                </w:tcPr>
                <w:p>
                  <w:pPr>
                    <w:bidi w:val="0"/>
                    <w:spacing w:line="240" w:lineRule="auto"/>
                    <w:jc w:val="center"/>
                    <w:rPr>
                      <w:color w:val="auto"/>
                      <w:sz w:val="21"/>
                      <w:szCs w:val="21"/>
                    </w:rPr>
                  </w:pPr>
                  <w:r>
                    <w:rPr>
                      <w:color w:val="auto"/>
                      <w:sz w:val="21"/>
                      <w:szCs w:val="21"/>
                    </w:rPr>
                    <w:t>点位布设</w:t>
                  </w:r>
                </w:p>
              </w:tc>
              <w:tc>
                <w:tcPr>
                  <w:tcW w:w="2590" w:type="pct"/>
                  <w:vAlign w:val="center"/>
                </w:tcPr>
                <w:p>
                  <w:pPr>
                    <w:bidi w:val="0"/>
                    <w:spacing w:line="240" w:lineRule="auto"/>
                    <w:jc w:val="center"/>
                    <w:rPr>
                      <w:color w:val="auto"/>
                      <w:sz w:val="21"/>
                      <w:szCs w:val="21"/>
                    </w:rPr>
                  </w:pPr>
                  <w:r>
                    <w:rPr>
                      <w:color w:val="auto"/>
                      <w:sz w:val="21"/>
                      <w:szCs w:val="21"/>
                    </w:rPr>
                    <w:t>升压站四周</w:t>
                  </w:r>
                </w:p>
              </w:tc>
              <w:tc>
                <w:tcPr>
                  <w:tcW w:w="1000" w:type="pct"/>
                  <w:vMerge w:val="restart"/>
                  <w:vAlign w:val="center"/>
                </w:tcPr>
                <w:p>
                  <w:pPr>
                    <w:bidi w:val="0"/>
                    <w:spacing w:line="240" w:lineRule="auto"/>
                    <w:jc w:val="center"/>
                    <w:rPr>
                      <w:color w:val="auto"/>
                      <w:sz w:val="21"/>
                      <w:szCs w:val="21"/>
                    </w:rPr>
                  </w:pPr>
                  <w:r>
                    <w:rPr>
                      <w:color w:val="auto"/>
                      <w:sz w:val="21"/>
                      <w:szCs w:val="21"/>
                    </w:rPr>
                    <w:t>已委托有资质单位  进行竣工环境保护  验收监测。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pct"/>
                  <w:vMerge w:val="continue"/>
                  <w:vAlign w:val="center"/>
                </w:tcPr>
                <w:p>
                  <w:pPr>
                    <w:bidi w:val="0"/>
                    <w:spacing w:line="240" w:lineRule="auto"/>
                    <w:jc w:val="center"/>
                    <w:rPr>
                      <w:color w:val="auto"/>
                      <w:sz w:val="21"/>
                      <w:szCs w:val="21"/>
                    </w:rPr>
                  </w:pPr>
                </w:p>
              </w:tc>
              <w:tc>
                <w:tcPr>
                  <w:tcW w:w="350" w:type="pct"/>
                  <w:vMerge w:val="continue"/>
                  <w:vAlign w:val="center"/>
                </w:tcPr>
                <w:p>
                  <w:pPr>
                    <w:bidi w:val="0"/>
                    <w:spacing w:line="240" w:lineRule="auto"/>
                    <w:jc w:val="center"/>
                    <w:rPr>
                      <w:color w:val="auto"/>
                      <w:sz w:val="21"/>
                      <w:szCs w:val="21"/>
                    </w:rPr>
                  </w:pPr>
                </w:p>
              </w:tc>
              <w:tc>
                <w:tcPr>
                  <w:tcW w:w="713" w:type="pct"/>
                  <w:vAlign w:val="center"/>
                </w:tcPr>
                <w:p>
                  <w:pPr>
                    <w:bidi w:val="0"/>
                    <w:spacing w:line="240" w:lineRule="auto"/>
                    <w:jc w:val="center"/>
                    <w:rPr>
                      <w:color w:val="auto"/>
                      <w:sz w:val="21"/>
                      <w:szCs w:val="21"/>
                    </w:rPr>
                  </w:pPr>
                  <w:r>
                    <w:rPr>
                      <w:color w:val="auto"/>
                      <w:sz w:val="21"/>
                      <w:szCs w:val="21"/>
                    </w:rPr>
                    <w:t>监测指标</w:t>
                  </w:r>
                </w:p>
              </w:tc>
              <w:tc>
                <w:tcPr>
                  <w:tcW w:w="2590" w:type="pct"/>
                  <w:vAlign w:val="center"/>
                </w:tcPr>
                <w:p>
                  <w:pPr>
                    <w:bidi w:val="0"/>
                    <w:spacing w:line="240" w:lineRule="auto"/>
                    <w:jc w:val="center"/>
                    <w:rPr>
                      <w:color w:val="auto"/>
                      <w:sz w:val="21"/>
                      <w:szCs w:val="21"/>
                    </w:rPr>
                  </w:pPr>
                  <w:r>
                    <w:rPr>
                      <w:color w:val="auto"/>
                      <w:sz w:val="21"/>
                      <w:szCs w:val="21"/>
                    </w:rPr>
                    <w:t>昼、夜等效连续A声级</w:t>
                  </w:r>
                </w:p>
              </w:tc>
              <w:tc>
                <w:tcPr>
                  <w:tcW w:w="1000" w:type="pct"/>
                  <w:vMerge w:val="continue"/>
                  <w:vAlign w:val="center"/>
                </w:tcPr>
                <w:p>
                  <w:pPr>
                    <w:bidi w:val="0"/>
                    <w:spacing w:line="240" w:lineRule="auto"/>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pct"/>
                  <w:vMerge w:val="continue"/>
                  <w:vAlign w:val="center"/>
                </w:tcPr>
                <w:p>
                  <w:pPr>
                    <w:bidi w:val="0"/>
                    <w:spacing w:line="240" w:lineRule="auto"/>
                    <w:jc w:val="center"/>
                    <w:rPr>
                      <w:color w:val="auto"/>
                      <w:sz w:val="21"/>
                      <w:szCs w:val="21"/>
                    </w:rPr>
                  </w:pPr>
                </w:p>
              </w:tc>
              <w:tc>
                <w:tcPr>
                  <w:tcW w:w="350" w:type="pct"/>
                  <w:vMerge w:val="continue"/>
                  <w:vAlign w:val="center"/>
                </w:tcPr>
                <w:p>
                  <w:pPr>
                    <w:bidi w:val="0"/>
                    <w:spacing w:line="240" w:lineRule="auto"/>
                    <w:jc w:val="center"/>
                    <w:rPr>
                      <w:color w:val="auto"/>
                      <w:sz w:val="21"/>
                      <w:szCs w:val="21"/>
                    </w:rPr>
                  </w:pPr>
                </w:p>
              </w:tc>
              <w:tc>
                <w:tcPr>
                  <w:tcW w:w="713" w:type="pct"/>
                  <w:vAlign w:val="center"/>
                </w:tcPr>
                <w:p>
                  <w:pPr>
                    <w:bidi w:val="0"/>
                    <w:spacing w:line="240" w:lineRule="auto"/>
                    <w:jc w:val="center"/>
                    <w:rPr>
                      <w:color w:val="auto"/>
                      <w:sz w:val="21"/>
                      <w:szCs w:val="21"/>
                    </w:rPr>
                  </w:pPr>
                  <w:r>
                    <w:rPr>
                      <w:color w:val="auto"/>
                      <w:sz w:val="21"/>
                      <w:szCs w:val="21"/>
                    </w:rPr>
                    <w:t>监测方法</w:t>
                  </w:r>
                </w:p>
              </w:tc>
              <w:tc>
                <w:tcPr>
                  <w:tcW w:w="2590" w:type="pct"/>
                  <w:vAlign w:val="center"/>
                </w:tcPr>
                <w:p>
                  <w:pPr>
                    <w:bidi w:val="0"/>
                    <w:spacing w:line="240" w:lineRule="auto"/>
                    <w:jc w:val="center"/>
                    <w:rPr>
                      <w:color w:val="auto"/>
                      <w:sz w:val="21"/>
                      <w:szCs w:val="21"/>
                    </w:rPr>
                  </w:pPr>
                  <w:r>
                    <w:rPr>
                      <w:color w:val="auto"/>
                      <w:sz w:val="21"/>
                      <w:szCs w:val="21"/>
                    </w:rPr>
                    <w:t>《工业企业厂界环境噪声排放标准（GB12348-2008）</w:t>
                  </w:r>
                </w:p>
                <w:p>
                  <w:pPr>
                    <w:bidi w:val="0"/>
                    <w:spacing w:line="240" w:lineRule="auto"/>
                    <w:jc w:val="center"/>
                    <w:rPr>
                      <w:color w:val="auto"/>
                      <w:sz w:val="21"/>
                      <w:szCs w:val="21"/>
                    </w:rPr>
                  </w:pPr>
                  <w:r>
                    <w:rPr>
                      <w:color w:val="auto"/>
                      <w:sz w:val="21"/>
                      <w:szCs w:val="21"/>
                    </w:rPr>
                    <w:t>《声环境质量标准》（GB3096-2008）</w:t>
                  </w:r>
                </w:p>
              </w:tc>
              <w:tc>
                <w:tcPr>
                  <w:tcW w:w="1000" w:type="pct"/>
                  <w:vMerge w:val="continue"/>
                  <w:vAlign w:val="center"/>
                </w:tcPr>
                <w:p>
                  <w:pPr>
                    <w:bidi w:val="0"/>
                    <w:spacing w:line="240" w:lineRule="auto"/>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pct"/>
                  <w:vMerge w:val="continue"/>
                  <w:vAlign w:val="center"/>
                </w:tcPr>
                <w:p>
                  <w:pPr>
                    <w:bidi w:val="0"/>
                    <w:spacing w:line="240" w:lineRule="auto"/>
                    <w:jc w:val="center"/>
                    <w:rPr>
                      <w:color w:val="auto"/>
                      <w:sz w:val="21"/>
                      <w:szCs w:val="21"/>
                    </w:rPr>
                  </w:pPr>
                </w:p>
              </w:tc>
              <w:tc>
                <w:tcPr>
                  <w:tcW w:w="350" w:type="pct"/>
                  <w:vMerge w:val="continue"/>
                  <w:vAlign w:val="center"/>
                </w:tcPr>
                <w:p>
                  <w:pPr>
                    <w:bidi w:val="0"/>
                    <w:spacing w:line="240" w:lineRule="auto"/>
                    <w:jc w:val="center"/>
                    <w:rPr>
                      <w:color w:val="auto"/>
                      <w:sz w:val="21"/>
                      <w:szCs w:val="21"/>
                    </w:rPr>
                  </w:pPr>
                </w:p>
              </w:tc>
              <w:tc>
                <w:tcPr>
                  <w:tcW w:w="713" w:type="pct"/>
                  <w:vAlign w:val="center"/>
                </w:tcPr>
                <w:p>
                  <w:pPr>
                    <w:bidi w:val="0"/>
                    <w:spacing w:line="240" w:lineRule="auto"/>
                    <w:jc w:val="center"/>
                    <w:rPr>
                      <w:color w:val="auto"/>
                      <w:sz w:val="21"/>
                      <w:szCs w:val="21"/>
                    </w:rPr>
                  </w:pPr>
                  <w:r>
                    <w:rPr>
                      <w:color w:val="auto"/>
                      <w:sz w:val="21"/>
                      <w:szCs w:val="21"/>
                    </w:rPr>
                    <w:t>监测频次和时间</w:t>
                  </w:r>
                </w:p>
              </w:tc>
              <w:tc>
                <w:tcPr>
                  <w:tcW w:w="2590" w:type="pct"/>
                  <w:vAlign w:val="center"/>
                </w:tcPr>
                <w:p>
                  <w:pPr>
                    <w:bidi w:val="0"/>
                    <w:spacing w:line="240" w:lineRule="auto"/>
                    <w:jc w:val="center"/>
                    <w:rPr>
                      <w:color w:val="auto"/>
                      <w:sz w:val="21"/>
                      <w:szCs w:val="21"/>
                    </w:rPr>
                  </w:pPr>
                  <w:r>
                    <w:rPr>
                      <w:color w:val="auto"/>
                      <w:sz w:val="21"/>
                      <w:szCs w:val="21"/>
                    </w:rPr>
                    <w:t>竣工环境保护验收监测一次，其后在投诉或行条件发生重大变化时进行监测。</w:t>
                  </w:r>
                </w:p>
              </w:tc>
              <w:tc>
                <w:tcPr>
                  <w:tcW w:w="1000" w:type="pct"/>
                  <w:vMerge w:val="continue"/>
                  <w:vAlign w:val="center"/>
                </w:tcPr>
                <w:p>
                  <w:pPr>
                    <w:bidi w:val="0"/>
                    <w:spacing w:line="240" w:lineRule="auto"/>
                    <w:jc w:val="center"/>
                    <w:rPr>
                      <w:color w:val="auto"/>
                      <w:sz w:val="21"/>
                      <w:szCs w:val="21"/>
                    </w:rPr>
                  </w:pPr>
                </w:p>
              </w:tc>
            </w:tr>
          </w:tbl>
          <w:p>
            <w:pPr>
              <w:bidi w:val="0"/>
              <w:ind w:firstLine="480" w:firstLineChars="200"/>
              <w:rPr>
                <w:color w:val="auto"/>
              </w:rPr>
            </w:pPr>
            <w:r>
              <w:rPr>
                <w:color w:val="auto"/>
              </w:rPr>
              <w:t>本次竣工环保验收进行了现状监测，正式投运后根据环境管理部门要求委托有相应资质的单位进行监测，符合环境管理的要求。</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环境保护档案管理情况</w:t>
            </w:r>
          </w:p>
          <w:p>
            <w:pPr>
              <w:bidi w:val="0"/>
              <w:ind w:firstLine="480" w:firstLineChars="200"/>
              <w:rPr>
                <w:color w:val="auto"/>
              </w:rPr>
            </w:pPr>
            <w:r>
              <w:rPr>
                <w:color w:val="auto"/>
              </w:rPr>
              <w:t>环境保护相关技术资料按照公司档案管理制度及时进行归档管理；项目可研、初设、设备调试及安装、环保验收等阶段的环保资料及相关批复文件均统一归档管理。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5000" w:type="pct"/>
            <w:vAlign w:val="center"/>
          </w:tcPr>
          <w:p>
            <w:pPr>
              <w:bidi w:val="0"/>
              <w:spacing w:line="240" w:lineRule="auto"/>
              <w:jc w:val="both"/>
              <w:rPr>
                <w:b/>
                <w:bCs/>
                <w:color w:val="auto"/>
              </w:rPr>
            </w:pPr>
            <w:r>
              <w:rPr>
                <w:b/>
                <w:bCs/>
                <w:color w:val="auto"/>
              </w:rPr>
              <w:t>环境管理状况分析</w:t>
            </w:r>
          </w:p>
          <w:p>
            <w:pPr>
              <w:bidi w:val="0"/>
              <w:ind w:firstLine="480" w:firstLineChars="200"/>
              <w:rPr>
                <w:color w:val="auto"/>
              </w:rPr>
            </w:pPr>
            <w:r>
              <w:rPr>
                <w:color w:val="auto"/>
              </w:rPr>
              <w:t>经过调查核实，项目施工期及环境保护设施调试期环境管理状况较好，认真落实、实施了环境影响报告表及其批复提出的环保措施，未引起环境问题及纠纷。为了进一步做好工程运行期的环境保护工作，提出如下建议：</w:t>
            </w:r>
          </w:p>
          <w:p>
            <w:pPr>
              <w:bidi w:val="0"/>
              <w:ind w:firstLine="480" w:firstLineChars="200"/>
              <w:rPr>
                <w:color w:val="auto"/>
              </w:rPr>
            </w:pPr>
            <w:r>
              <w:rPr>
                <w:color w:val="auto"/>
              </w:rPr>
              <w:t>（1）完善环境管理制度，建立对环保设施的日常检查、维护专项规章制度。</w:t>
            </w:r>
          </w:p>
          <w:p>
            <w:pPr>
              <w:bidi w:val="0"/>
              <w:ind w:firstLine="480" w:firstLineChars="200"/>
              <w:rPr>
                <w:color w:val="auto"/>
              </w:rPr>
            </w:pPr>
            <w:r>
              <w:rPr>
                <w:color w:val="auto"/>
              </w:rPr>
              <w:t>（2）对全体职工进行环境保护方面的宣传教育，不断提高职工的环保意识。</w:t>
            </w:r>
          </w:p>
          <w:p>
            <w:pPr>
              <w:bidi w:val="0"/>
              <w:ind w:firstLine="480" w:firstLineChars="200"/>
              <w:rPr>
                <w:color w:val="auto"/>
              </w:rPr>
            </w:pPr>
            <w:r>
              <w:rPr>
                <w:color w:val="auto"/>
              </w:rPr>
              <w:t>（3）加强宣传工作，增加居民有关电磁环境方面的知识，消除居民的顾虑。</w:t>
            </w:r>
          </w:p>
          <w:p>
            <w:pPr>
              <w:bidi w:val="0"/>
              <w:ind w:firstLine="480" w:firstLineChars="200"/>
              <w:rPr>
                <w:b/>
                <w:bCs/>
                <w:color w:val="auto"/>
              </w:rPr>
            </w:pPr>
            <w:r>
              <w:rPr>
                <w:color w:val="auto"/>
              </w:rPr>
              <w:t>（4）加强</w:t>
            </w:r>
            <w:r>
              <w:rPr>
                <w:rFonts w:hint="eastAsia"/>
                <w:color w:val="auto"/>
                <w:lang w:eastAsia="zh-CN"/>
              </w:rPr>
              <w:t>升压站</w:t>
            </w:r>
            <w:r>
              <w:rPr>
                <w:color w:val="auto"/>
              </w:rPr>
              <w:t>的日常维护和保养，确保对周围环境影响在国家标准限值内。</w:t>
            </w:r>
          </w:p>
        </w:tc>
      </w:tr>
    </w:tbl>
    <w:p>
      <w:pPr>
        <w:bidi w:val="0"/>
        <w:rPr>
          <w:color w:val="auto"/>
        </w:rPr>
      </w:pPr>
    </w:p>
    <w:p>
      <w:pPr>
        <w:bidi w:val="0"/>
        <w:rPr>
          <w:color w:val="auto"/>
        </w:rPr>
        <w:sectPr>
          <w:headerReference r:id="rId21" w:type="default"/>
          <w:footerReference r:id="rId22" w:type="default"/>
          <w:pgSz w:w="11907" w:h="16839"/>
          <w:pgMar w:top="1608" w:right="1130" w:bottom="1358" w:left="1289" w:header="1459" w:footer="1197" w:gutter="0"/>
          <w:pgNumType w:fmt="decimal"/>
          <w:cols w:space="720" w:num="1"/>
        </w:sectPr>
      </w:pPr>
    </w:p>
    <w:p>
      <w:pPr>
        <w:bidi w:val="0"/>
        <w:jc w:val="center"/>
        <w:rPr>
          <w:color w:val="auto"/>
        </w:rPr>
      </w:pPr>
      <w:r>
        <w:rPr>
          <w:rFonts w:ascii="Times New Roman" w:hAnsi="Times New Roman" w:eastAsia="宋体"/>
          <w:b/>
          <w:bCs/>
          <w:color w:val="auto"/>
          <w:sz w:val="28"/>
          <w:szCs w:val="28"/>
        </w:rPr>
        <w:t>表 10    竣工环境保护验收调查结论与建议</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0" w:hRule="atLeast"/>
          <w:jc w:val="center"/>
        </w:trPr>
        <w:tc>
          <w:tcPr>
            <w:tcW w:w="5000" w:type="pct"/>
            <w:vAlign w:val="center"/>
          </w:tcPr>
          <w:p>
            <w:pPr>
              <w:bidi w:val="0"/>
              <w:jc w:val="both"/>
              <w:rPr>
                <w:b/>
                <w:bCs/>
                <w:color w:val="auto"/>
              </w:rPr>
            </w:pPr>
            <w:r>
              <w:rPr>
                <w:b/>
                <w:bCs/>
                <w:color w:val="auto"/>
              </w:rPr>
              <w:t>调查结论</w:t>
            </w:r>
          </w:p>
          <w:p>
            <w:pPr>
              <w:bidi w:val="0"/>
              <w:ind w:firstLine="482" w:firstLineChars="200"/>
              <w:rPr>
                <w:b/>
                <w:bCs/>
                <w:color w:val="auto"/>
              </w:rPr>
            </w:pPr>
            <w:r>
              <w:rPr>
                <w:rFonts w:hint="eastAsia"/>
                <w:b/>
                <w:bCs/>
                <w:color w:val="auto"/>
                <w:lang w:val="en-US" w:eastAsia="zh-CN"/>
              </w:rPr>
              <w:t>1、</w:t>
            </w:r>
            <w:r>
              <w:rPr>
                <w:b/>
                <w:bCs/>
                <w:color w:val="auto"/>
              </w:rPr>
              <w:t>工程概况</w:t>
            </w:r>
          </w:p>
          <w:p>
            <w:pPr>
              <w:bidi w:val="0"/>
              <w:ind w:firstLine="480" w:firstLineChars="200"/>
              <w:jc w:val="left"/>
              <w:rPr>
                <w:color w:val="auto"/>
              </w:rPr>
            </w:pPr>
            <w:r>
              <w:rPr>
                <w:color w:val="auto"/>
              </w:rPr>
              <w:t>高台县北部滩百万千瓦风电基地40万千瓦风电项目110kV升压站及送出线路工程位于张掖市高台县北部滩百万千瓦风电基地，项目包括新建110kV北部滩升压站和新建110kV北部滩升压站至330kV罗城滩输电线路。本工程验收内容如下：</w:t>
            </w:r>
          </w:p>
          <w:p>
            <w:pPr>
              <w:bidi w:val="0"/>
              <w:ind w:firstLine="480" w:firstLineChars="200"/>
              <w:jc w:val="left"/>
              <w:rPr>
                <w:color w:val="auto"/>
              </w:rPr>
            </w:pPr>
            <w:r>
              <w:rPr>
                <w:color w:val="auto"/>
              </w:rPr>
              <w:t>(一)新建110kV北部滩升压站，本期建设4台主变，规模为4×120MVA</w:t>
            </w:r>
            <w:r>
              <w:rPr>
                <w:rFonts w:hint="eastAsia"/>
                <w:color w:val="auto"/>
                <w:lang w:eastAsia="zh-CN"/>
              </w:rPr>
              <w:t>，</w:t>
            </w:r>
            <w:r>
              <w:rPr>
                <w:color w:val="auto"/>
              </w:rPr>
              <w:t>采用户外布置；新建110kV出线2回，储能电站配置在生产区东侧，采用32套2.5MW升压变换舱和64套2.5MWh储能电池集装箱，电化学储能80MW/160MWh,</w:t>
            </w:r>
            <w:r>
              <w:rPr>
                <w:rFonts w:hint="eastAsia"/>
                <w:color w:val="auto"/>
                <w:lang w:eastAsia="zh-CN"/>
              </w:rPr>
              <w:t>，</w:t>
            </w:r>
            <w:r>
              <w:rPr>
                <w:color w:val="auto"/>
              </w:rPr>
              <w:t>储能时长为2h。</w:t>
            </w:r>
          </w:p>
          <w:p>
            <w:pPr>
              <w:bidi w:val="0"/>
              <w:ind w:firstLine="480" w:firstLineChars="200"/>
              <w:jc w:val="left"/>
              <w:rPr>
                <w:color w:val="auto"/>
              </w:rPr>
            </w:pPr>
            <w:r>
              <w:rPr>
                <w:color w:val="auto"/>
              </w:rPr>
              <w:t>(二)新建110kV北部滩升压站至330kV罗城滩的输电线路：本工程新建110kV北部滩升压站至330kV罗城滩升压站同塔双回输电线路，双回架空线路长度为2×5.4km,</w:t>
            </w:r>
            <w:r>
              <w:rPr>
                <w:rFonts w:hint="eastAsia"/>
                <w:color w:val="auto"/>
                <w:lang w:eastAsia="zh-CN"/>
              </w:rPr>
              <w:t>，</w:t>
            </w:r>
            <w:r>
              <w:rPr>
                <w:color w:val="auto"/>
              </w:rPr>
              <w:t>导线型号为2 ×JL/GIA-300/40型钢芯铝绞线。地线分别采用两根OGPW-24B1-90光纤复合光缆。</w:t>
            </w:r>
          </w:p>
          <w:p>
            <w:pPr>
              <w:bidi w:val="0"/>
              <w:ind w:firstLine="480" w:firstLineChars="200"/>
              <w:jc w:val="left"/>
              <w:rPr>
                <w:color w:val="auto"/>
              </w:rPr>
            </w:pPr>
            <w:r>
              <w:rPr>
                <w:color w:val="auto"/>
              </w:rPr>
              <w:t>项目总投资为35344.43万元，环保投资为</w:t>
            </w:r>
            <w:r>
              <w:rPr>
                <w:rFonts w:hint="default" w:ascii="Times New Roman" w:hAnsi="Times New Roman" w:cs="Times New Roman"/>
                <w:color w:val="auto"/>
                <w:lang w:val="en-US" w:eastAsia="zh-CN"/>
              </w:rPr>
              <w:t>135.1</w:t>
            </w:r>
            <w:r>
              <w:rPr>
                <w:color w:val="auto"/>
              </w:rPr>
              <w:t>万元，占总投资的0.3</w:t>
            </w:r>
            <w:r>
              <w:rPr>
                <w:rFonts w:hint="eastAsia"/>
                <w:color w:val="auto"/>
                <w:lang w:val="en-US" w:eastAsia="zh-CN"/>
              </w:rPr>
              <w:t>8</w:t>
            </w:r>
            <w:r>
              <w:rPr>
                <w:color w:val="auto"/>
              </w:rPr>
              <w:t>%。202</w:t>
            </w:r>
            <w:r>
              <w:rPr>
                <w:rFonts w:hint="eastAsia"/>
                <w:color w:val="auto"/>
                <w:lang w:val="en-US" w:eastAsia="zh-CN"/>
              </w:rPr>
              <w:t>3</w:t>
            </w:r>
            <w:r>
              <w:rPr>
                <w:color w:val="auto"/>
              </w:rPr>
              <w:t>年1月环境保护设施投入调试。</w:t>
            </w:r>
          </w:p>
          <w:p>
            <w:pPr>
              <w:bidi w:val="0"/>
              <w:ind w:firstLine="482" w:firstLineChars="200"/>
              <w:rPr>
                <w:b/>
                <w:bCs/>
                <w:color w:val="auto"/>
              </w:rPr>
            </w:pPr>
            <w:r>
              <w:rPr>
                <w:rFonts w:hint="eastAsia"/>
                <w:b/>
                <w:bCs/>
                <w:color w:val="auto"/>
                <w:lang w:val="en-US" w:eastAsia="zh-CN"/>
              </w:rPr>
              <w:t>2、</w:t>
            </w:r>
            <w:r>
              <w:rPr>
                <w:b/>
                <w:bCs/>
                <w:color w:val="auto"/>
              </w:rPr>
              <w:t>环境保护措施落实情况</w:t>
            </w:r>
          </w:p>
          <w:p>
            <w:pPr>
              <w:bidi w:val="0"/>
              <w:ind w:firstLine="480" w:firstLineChars="200"/>
              <w:rPr>
                <w:rFonts w:hint="eastAsia"/>
                <w:color w:val="auto"/>
                <w:lang w:eastAsia="zh-CN"/>
              </w:rPr>
            </w:pPr>
            <w:r>
              <w:rPr>
                <w:color w:val="auto"/>
              </w:rPr>
              <w:t>工程落实了环境影响评价制度和环境保护“三同时”制度。环境影响评价、环评批复和设计文件中对本工程提出了较为全面、详细的环境保护措施要求，所要求的环保措施在工程实际建设和运行过程中已基本得到落实。</w:t>
            </w:r>
          </w:p>
          <w:p>
            <w:pPr>
              <w:bidi w:val="0"/>
              <w:ind w:firstLine="482" w:firstLineChars="200"/>
              <w:rPr>
                <w:b/>
                <w:bCs/>
                <w:color w:val="auto"/>
              </w:rPr>
            </w:pPr>
            <w:r>
              <w:rPr>
                <w:rFonts w:hint="eastAsia"/>
                <w:b/>
                <w:bCs/>
                <w:color w:val="auto"/>
                <w:lang w:val="en-US" w:eastAsia="zh-CN"/>
              </w:rPr>
              <w:t>3、</w:t>
            </w:r>
            <w:r>
              <w:rPr>
                <w:b/>
                <w:bCs/>
                <w:color w:val="auto"/>
              </w:rPr>
              <w:t>环境影响调查</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生态环境影响调查</w:t>
            </w:r>
          </w:p>
          <w:p>
            <w:pPr>
              <w:bidi w:val="0"/>
              <w:ind w:firstLine="480" w:firstLineChars="200"/>
              <w:rPr>
                <w:color w:val="auto"/>
              </w:rPr>
            </w:pPr>
            <w:r>
              <w:rPr>
                <w:color w:val="auto"/>
              </w:rPr>
              <w:t>根据现场调查可知，本工程验收调查范围内不涉及自然保护区、风景名胜区、世界文化和自然遗产地等敏感区域。</w:t>
            </w:r>
          </w:p>
          <w:p>
            <w:pPr>
              <w:bidi w:val="0"/>
              <w:ind w:firstLine="480" w:firstLineChars="200"/>
              <w:rPr>
                <w:color w:val="auto"/>
              </w:rPr>
            </w:pPr>
            <w:r>
              <w:rPr>
                <w:rFonts w:hint="eastAsia"/>
                <w:color w:val="auto"/>
                <w:lang w:eastAsia="zh-CN"/>
              </w:rPr>
              <w:t>高台县北部滩百万千瓦风电基地40万千瓦风电项目110kV升压站及送出线路工程</w:t>
            </w:r>
            <w:r>
              <w:rPr>
                <w:color w:val="auto"/>
              </w:rPr>
              <w:t>南侧生态恢复良好，主要植被为杂草灌木；升压站</w:t>
            </w:r>
            <w:r>
              <w:rPr>
                <w:rFonts w:hint="eastAsia"/>
                <w:color w:val="auto"/>
                <w:lang w:val="en-US" w:eastAsia="zh-CN"/>
              </w:rPr>
              <w:t>周边</w:t>
            </w:r>
            <w:r>
              <w:rPr>
                <w:color w:val="auto"/>
              </w:rPr>
              <w:t>临时占地已进行平整、并采取种树及撒草籽等措施。</w:t>
            </w:r>
          </w:p>
          <w:p>
            <w:pPr>
              <w:bidi w:val="0"/>
              <w:ind w:firstLine="480" w:firstLineChars="200"/>
              <w:rPr>
                <w:color w:val="auto"/>
              </w:rPr>
            </w:pPr>
            <w:r>
              <w:rPr>
                <w:color w:val="auto"/>
              </w:rPr>
              <w:t>工程采取了绿化及硬化等防护工程措施，有效防止了水土流失和生态环境破坏，工程建设过程中水土流失和生态影响较小，措施基本有效。</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电磁环境影响调查</w:t>
            </w:r>
          </w:p>
          <w:p>
            <w:pPr>
              <w:bidi w:val="0"/>
              <w:ind w:firstLine="482" w:firstLineChars="200"/>
              <w:rPr>
                <w:b/>
                <w:bCs/>
                <w:color w:val="auto"/>
              </w:rPr>
            </w:pPr>
            <w:r>
              <w:rPr>
                <w:rFonts w:hint="eastAsia"/>
                <w:b/>
                <w:bCs/>
                <w:color w:val="auto"/>
                <w:lang w:eastAsia="zh-CN"/>
              </w:rPr>
              <w:t>升压站</w:t>
            </w:r>
            <w:r>
              <w:rPr>
                <w:b/>
                <w:bCs/>
                <w:color w:val="auto"/>
              </w:rPr>
              <w:t>电磁环境影响调查</w:t>
            </w:r>
          </w:p>
          <w:p>
            <w:pPr>
              <w:bidi w:val="0"/>
              <w:ind w:firstLine="480" w:firstLineChars="200"/>
              <w:rPr>
                <w:color w:val="auto"/>
              </w:rPr>
            </w:pPr>
            <w:r>
              <w:rPr>
                <w:color w:val="auto"/>
              </w:rPr>
              <w:t>由</w:t>
            </w:r>
            <w:r>
              <w:rPr>
                <w:rFonts w:hint="eastAsia"/>
                <w:color w:val="auto"/>
                <w:lang w:val="en-US" w:eastAsia="zh-CN"/>
              </w:rPr>
              <w:t>监测结果</w:t>
            </w:r>
            <w:r>
              <w:rPr>
                <w:color w:val="auto"/>
              </w:rPr>
              <w:t>可知：</w:t>
            </w:r>
            <w:r>
              <w:rPr>
                <w:rFonts w:hint="eastAsia"/>
                <w:color w:val="auto"/>
                <w:sz w:val="24"/>
                <w:szCs w:val="24"/>
                <w:lang w:val="en-US" w:eastAsia="zh-CN"/>
              </w:rPr>
              <w:t>110kV北部滩升压站</w:t>
            </w:r>
            <w:r>
              <w:rPr>
                <w:rFonts w:hint="eastAsia"/>
                <w:color w:val="auto"/>
                <w:lang w:eastAsia="zh-CN"/>
              </w:rPr>
              <w:t>工程</w:t>
            </w:r>
            <w:r>
              <w:rPr>
                <w:color w:val="auto"/>
              </w:rPr>
              <w:t>四周工频电场强度、工频磁感应强度现状监测值分别为</w:t>
            </w:r>
            <w:r>
              <w:rPr>
                <w:rFonts w:hint="eastAsia"/>
                <w:color w:val="auto"/>
                <w:lang w:val="en-US" w:eastAsia="zh-CN"/>
              </w:rPr>
              <w:t>3.790</w:t>
            </w:r>
            <w:r>
              <w:rPr>
                <w:color w:val="auto"/>
              </w:rPr>
              <w:t>～</w:t>
            </w:r>
            <w:r>
              <w:rPr>
                <w:rFonts w:hint="eastAsia"/>
                <w:color w:val="auto"/>
                <w:lang w:val="en-US" w:eastAsia="zh-CN"/>
              </w:rPr>
              <w:t>1404.881</w:t>
            </w:r>
            <w:r>
              <w:rPr>
                <w:color w:val="auto"/>
              </w:rPr>
              <w:t>V/m、</w:t>
            </w:r>
            <w:r>
              <w:rPr>
                <w:rFonts w:hint="eastAsia"/>
                <w:color w:val="auto"/>
                <w:lang w:val="en-US" w:eastAsia="zh-CN"/>
              </w:rPr>
              <w:t>0.022</w:t>
            </w:r>
            <w:r>
              <w:rPr>
                <w:color w:val="auto"/>
              </w:rPr>
              <w:t>～</w:t>
            </w:r>
            <w:r>
              <w:rPr>
                <w:rFonts w:hint="eastAsia"/>
                <w:color w:val="auto"/>
                <w:lang w:val="en-US" w:eastAsia="zh-CN"/>
              </w:rPr>
              <w:t>0.268</w:t>
            </w:r>
            <w:r>
              <w:rPr>
                <w:color w:val="auto"/>
              </w:rPr>
              <w:t>µT，满足《电磁环境控制限值》（GB8702-2014）中公众曝露控制限值：50Hz频率下，工频电场强度为4000V/m，工频磁感应强度为100μT的限值要求。</w:t>
            </w:r>
          </w:p>
          <w:p>
            <w:pPr>
              <w:bidi w:val="0"/>
              <w:ind w:firstLine="480" w:firstLineChars="200"/>
              <w:rPr>
                <w:color w:val="auto"/>
              </w:rPr>
            </w:pPr>
            <w:r>
              <w:rPr>
                <w:rFonts w:hint="eastAsia"/>
                <w:color w:val="auto"/>
                <w:lang w:val="en-US" w:eastAsia="zh-CN"/>
              </w:rPr>
              <w:t>根据上述监测结果，本项目验收期间，工频电场、工频感应强度满足</w:t>
            </w:r>
            <w:r>
              <w:rPr>
                <w:rFonts w:hint="default"/>
                <w:color w:val="auto"/>
                <w:lang w:val="en-US" w:eastAsia="zh-CN"/>
              </w:rPr>
              <w:t>《电磁环境控制限值》（GB 8702-2014）中4000V/m的工频电场控制限值和100μT的工频磁场控制限值。</w:t>
            </w:r>
          </w:p>
          <w:p>
            <w:pPr>
              <w:bidi w:val="0"/>
              <w:ind w:firstLine="482" w:firstLineChars="200"/>
              <w:rPr>
                <w:b/>
                <w:bCs/>
                <w:color w:val="auto"/>
              </w:rPr>
            </w:pPr>
            <w:r>
              <w:rPr>
                <w:b/>
                <w:bCs/>
                <w:color w:val="auto"/>
              </w:rPr>
              <w:t>输电线路电磁环境影响调查</w:t>
            </w:r>
          </w:p>
          <w:p>
            <w:pPr>
              <w:bidi w:val="0"/>
              <w:ind w:firstLine="480" w:firstLineChars="200"/>
              <w:rPr>
                <w:rFonts w:hint="eastAsia"/>
                <w:color w:val="auto"/>
                <w:lang w:val="en-US" w:eastAsia="zh-CN"/>
              </w:rPr>
            </w:pPr>
            <w:r>
              <w:rPr>
                <w:rFonts w:hint="eastAsia"/>
                <w:color w:val="auto"/>
                <w:lang w:val="en-US" w:eastAsia="zh-CN"/>
              </w:rPr>
              <w:t>由监测结果可知：</w:t>
            </w:r>
            <w:r>
              <w:rPr>
                <w:rFonts w:hint="default"/>
                <w:color w:val="auto"/>
                <w:lang w:val="en-US" w:eastAsia="zh-CN"/>
              </w:rPr>
              <w:t>110kV北部滩升压站送出路线</w:t>
            </w:r>
            <w:r>
              <w:rPr>
                <w:rFonts w:hint="eastAsia"/>
                <w:color w:val="auto"/>
                <w:lang w:val="en-US" w:eastAsia="zh-CN"/>
              </w:rPr>
              <w:t>的工频电场强度在15.267~ 1367.608V/m 之间，工频磁感应强度在0.027～0.254μT之间；均呈现衰减规律且满足《电磁环境控制限值》（GB8702-2014）中公众曝露控制限值：50Hz频率下，工频电场强度为4000V/m，工频磁感应强度为100μT的限值要求。</w:t>
            </w:r>
          </w:p>
          <w:p>
            <w:pPr>
              <w:bidi w:val="0"/>
              <w:ind w:firstLine="480" w:firstLineChars="200"/>
              <w:rPr>
                <w:rFonts w:hint="eastAsia"/>
                <w:b/>
                <w:bCs/>
                <w:color w:val="auto"/>
                <w:lang w:eastAsia="zh-CN"/>
              </w:rPr>
            </w:pPr>
            <w:r>
              <w:rPr>
                <w:rFonts w:hint="default"/>
                <w:color w:val="auto"/>
                <w:lang w:val="en-US" w:eastAsia="zh-CN"/>
              </w:rPr>
              <w:t>110kV北部滩升压站送出路线塔基</w:t>
            </w:r>
            <w:r>
              <w:rPr>
                <w:rFonts w:hint="default"/>
                <w:color w:val="auto"/>
              </w:rPr>
              <w:t>BL</w:t>
            </w:r>
            <w:r>
              <w:rPr>
                <w:rFonts w:hint="default"/>
                <w:color w:val="auto"/>
                <w:lang w:val="en-US" w:eastAsia="zh-CN"/>
              </w:rPr>
              <w:t>8至塔基</w:t>
            </w:r>
            <w:r>
              <w:rPr>
                <w:rFonts w:hint="default"/>
                <w:color w:val="auto"/>
              </w:rPr>
              <w:t>BL</w:t>
            </w:r>
            <w:r>
              <w:rPr>
                <w:rFonts w:hint="default"/>
                <w:color w:val="auto"/>
                <w:lang w:val="en-US" w:eastAsia="zh-CN"/>
              </w:rPr>
              <w:t>9中间导线线路</w:t>
            </w:r>
            <w:r>
              <w:rPr>
                <w:color w:val="auto"/>
              </w:rPr>
              <w:t>满足输电线路线下的耕地、园地、牧草地、畜禽饲养地、养殖水面、道路等场所</w:t>
            </w:r>
            <w:r>
              <w:rPr>
                <w:rFonts w:hint="eastAsia"/>
                <w:color w:val="auto"/>
                <w:lang w:eastAsia="zh-CN"/>
              </w:rPr>
              <w:t>，</w:t>
            </w:r>
            <w:r>
              <w:rPr>
                <w:color w:val="auto"/>
              </w:rPr>
              <w:t>满足《电磁环境控制限值》（GB8702－2014）中其频率50Hz的工频电场强度控制限值为10kV/m要求。</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b/>
                <w:bCs/>
                <w:color w:val="auto"/>
              </w:rPr>
              <w:t>声环境影响调查</w:t>
            </w:r>
          </w:p>
          <w:p>
            <w:pPr>
              <w:bidi w:val="0"/>
              <w:ind w:firstLine="480" w:firstLineChars="200"/>
              <w:rPr>
                <w:color w:val="auto"/>
              </w:rPr>
            </w:pPr>
            <w:r>
              <w:rPr>
                <w:rFonts w:hint="eastAsia"/>
                <w:color w:val="auto"/>
                <w:lang w:eastAsia="zh-CN"/>
              </w:rPr>
              <w:t>高台县北部滩百万千瓦风电基地40万千瓦风电项目110kV升压站及送出线路工程</w:t>
            </w:r>
            <w:r>
              <w:rPr>
                <w:color w:val="auto"/>
              </w:rPr>
              <w:t>验收调查范围内无声环境敏感目标。根据项目噪声现状监测结果显示，</w:t>
            </w:r>
            <w:r>
              <w:rPr>
                <w:rFonts w:hint="eastAsia"/>
                <w:color w:val="auto"/>
                <w:lang w:eastAsia="zh-CN"/>
              </w:rPr>
              <w:t>高台县北部滩百万千瓦风电基地40万千瓦风电项目</w:t>
            </w:r>
            <w:r>
              <w:rPr>
                <w:rFonts w:hint="eastAsia"/>
                <w:color w:val="auto"/>
                <w:lang w:val="en-US" w:eastAsia="zh-CN"/>
              </w:rPr>
              <w:t>升压站</w:t>
            </w:r>
            <w:r>
              <w:rPr>
                <w:color w:val="auto"/>
              </w:rPr>
              <w:t>四周围墙外1m处的昼间噪声监测值为4</w:t>
            </w:r>
            <w:r>
              <w:rPr>
                <w:rFonts w:hint="eastAsia"/>
                <w:color w:val="auto"/>
                <w:lang w:val="en-US" w:eastAsia="zh-CN"/>
              </w:rPr>
              <w:t>6.3</w:t>
            </w:r>
            <w:r>
              <w:rPr>
                <w:color w:val="auto"/>
              </w:rPr>
              <w:t>～4</w:t>
            </w:r>
            <w:r>
              <w:rPr>
                <w:rFonts w:hint="eastAsia"/>
                <w:color w:val="auto"/>
                <w:lang w:val="en-US" w:eastAsia="zh-CN"/>
              </w:rPr>
              <w:t>4.5</w:t>
            </w:r>
            <w:r>
              <w:rPr>
                <w:color w:val="auto"/>
              </w:rPr>
              <w:t>dB(A)，夜间为4</w:t>
            </w:r>
            <w:r>
              <w:rPr>
                <w:rFonts w:hint="eastAsia"/>
                <w:color w:val="auto"/>
                <w:lang w:val="en-US" w:eastAsia="zh-CN"/>
              </w:rPr>
              <w:t>2.4</w:t>
            </w:r>
            <w:r>
              <w:rPr>
                <w:color w:val="auto"/>
              </w:rPr>
              <w:t>～4</w:t>
            </w:r>
            <w:r>
              <w:rPr>
                <w:rFonts w:hint="eastAsia"/>
                <w:color w:val="auto"/>
                <w:lang w:val="en-US" w:eastAsia="zh-CN"/>
              </w:rPr>
              <w:t>4.5</w:t>
            </w:r>
            <w:r>
              <w:rPr>
                <w:color w:val="auto"/>
              </w:rPr>
              <w:t>dB(A)，输电线路昼间噪声监测值为4</w:t>
            </w:r>
            <w:r>
              <w:rPr>
                <w:rFonts w:hint="eastAsia"/>
                <w:color w:val="auto"/>
                <w:lang w:val="en-US" w:eastAsia="zh-CN"/>
              </w:rPr>
              <w:t>6.3</w:t>
            </w:r>
            <w:r>
              <w:rPr>
                <w:color w:val="auto"/>
              </w:rPr>
              <w:t>～4</w:t>
            </w:r>
            <w:r>
              <w:rPr>
                <w:rFonts w:hint="eastAsia"/>
                <w:color w:val="auto"/>
                <w:lang w:val="en-US" w:eastAsia="zh-CN"/>
              </w:rPr>
              <w:t>6.5</w:t>
            </w:r>
            <w:r>
              <w:rPr>
                <w:color w:val="auto"/>
              </w:rPr>
              <w:t>dB(A)，夜间为4</w:t>
            </w:r>
            <w:r>
              <w:rPr>
                <w:rFonts w:hint="eastAsia"/>
                <w:color w:val="auto"/>
                <w:lang w:val="en-US" w:eastAsia="zh-CN"/>
              </w:rPr>
              <w:t>1.2</w:t>
            </w:r>
            <w:r>
              <w:rPr>
                <w:color w:val="auto"/>
              </w:rPr>
              <w:t>～4</w:t>
            </w:r>
            <w:r>
              <w:rPr>
                <w:rFonts w:hint="eastAsia"/>
                <w:color w:val="auto"/>
                <w:lang w:val="en-US" w:eastAsia="zh-CN"/>
              </w:rPr>
              <w:t>1.6</w:t>
            </w:r>
            <w:r>
              <w:rPr>
                <w:color w:val="auto"/>
              </w:rPr>
              <w:t>dB(A)，满足《工业企业厂界环境噪声排放标准》（GB12348-2008）2 类标准限值要求。</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4</w:t>
            </w:r>
            <w:r>
              <w:rPr>
                <w:rFonts w:hint="eastAsia"/>
                <w:b/>
                <w:bCs/>
                <w:color w:val="auto"/>
                <w:lang w:eastAsia="zh-CN"/>
              </w:rPr>
              <w:t>）</w:t>
            </w:r>
            <w:r>
              <w:rPr>
                <w:b/>
                <w:bCs/>
                <w:color w:val="auto"/>
              </w:rPr>
              <w:t>水环境影响调查</w:t>
            </w:r>
          </w:p>
          <w:p>
            <w:pPr>
              <w:bidi w:val="0"/>
              <w:ind w:firstLine="480" w:firstLineChars="200"/>
              <w:rPr>
                <w:color w:val="auto"/>
              </w:rPr>
            </w:pPr>
            <w:r>
              <w:rPr>
                <w:color w:val="auto"/>
              </w:rPr>
              <w:t>施工期</w:t>
            </w:r>
            <w:r>
              <w:rPr>
                <w:rFonts w:hint="default"/>
                <w:color w:val="auto"/>
                <w:lang w:val="en-US" w:eastAsia="zh-CN"/>
              </w:rPr>
              <w:t>在清洗场地四周设截排水沟及沉淀池，清洗废水收集沉淀后回用于车辆冲洗。施工期主要废污水为洗漱废水，设置旱厕一座，旱厕产生的废弃物作为农肥使用。</w:t>
            </w:r>
            <w:r>
              <w:rPr>
                <w:color w:val="auto"/>
              </w:rPr>
              <w:t>工程施工期间对周边水环境的影响很小。</w:t>
            </w:r>
            <w:r>
              <w:rPr>
                <w:rFonts w:hint="eastAsia"/>
                <w:color w:val="auto"/>
                <w:lang w:val="en-US" w:eastAsia="zh-CN"/>
              </w:rPr>
              <w:t>本项目餐饮废水经1m</w:t>
            </w:r>
            <w:r>
              <w:rPr>
                <w:rFonts w:hint="eastAsia"/>
                <w:color w:val="auto"/>
                <w:vertAlign w:val="superscript"/>
                <w:lang w:val="en-US" w:eastAsia="zh-CN"/>
              </w:rPr>
              <w:t>3</w:t>
            </w:r>
            <w:r>
              <w:rPr>
                <w:rFonts w:hint="eastAsia"/>
                <w:color w:val="auto"/>
                <w:lang w:val="en-US" w:eastAsia="zh-CN"/>
              </w:rPr>
              <w:t>隔油池处理后，与生活污水一起进入20m</w:t>
            </w:r>
            <w:r>
              <w:rPr>
                <w:rFonts w:hint="eastAsia"/>
                <w:color w:val="auto"/>
                <w:vertAlign w:val="superscript"/>
                <w:lang w:val="en-US" w:eastAsia="zh-CN"/>
              </w:rPr>
              <w:t>3</w:t>
            </w:r>
            <w:r>
              <w:rPr>
                <w:rFonts w:hint="eastAsia"/>
                <w:color w:val="auto"/>
                <w:lang w:val="en-US" w:eastAsia="zh-CN"/>
              </w:rPr>
              <w:t>/d一体化污水处理处理后，达到《城市污水再生利用 城市杂用水水质》（GB/T18920-2020）表1标准后，用作厂区绿化洒水降尘。</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5</w:t>
            </w:r>
            <w:r>
              <w:rPr>
                <w:rFonts w:hint="eastAsia"/>
                <w:b/>
                <w:bCs/>
                <w:color w:val="auto"/>
                <w:lang w:eastAsia="zh-CN"/>
              </w:rPr>
              <w:t>）</w:t>
            </w:r>
            <w:r>
              <w:rPr>
                <w:b/>
                <w:bCs/>
                <w:color w:val="auto"/>
              </w:rPr>
              <w:t>环境空气影响调查</w:t>
            </w:r>
          </w:p>
          <w:p>
            <w:pPr>
              <w:bidi w:val="0"/>
              <w:ind w:firstLine="480" w:firstLineChars="200"/>
              <w:rPr>
                <w:rFonts w:ascii="Times New Roman" w:hAnsi="Times New Roman" w:eastAsia="宋体"/>
                <w:color w:val="auto"/>
              </w:rPr>
            </w:pPr>
            <w:r>
              <w:rPr>
                <w:rFonts w:ascii="Times New Roman" w:hAnsi="Times New Roman" w:eastAsia="宋体"/>
                <w:color w:val="auto"/>
              </w:rPr>
              <w:t>施工过程采取了洒水、喷淋，临时堆土场加盖篷布等防尘、降尘措施，防止了对周边大气环境的影响。</w:t>
            </w:r>
            <w:r>
              <w:rPr>
                <w:rFonts w:hint="default" w:ascii="Times New Roman" w:hAnsi="Times New Roman" w:eastAsia="宋体"/>
                <w:color w:val="auto"/>
                <w:lang w:val="en-US" w:eastAsia="zh-CN"/>
              </w:rPr>
              <w:t>本项目油烟经油烟净化装置处理，油烟净化效率不低于60%，</w:t>
            </w:r>
            <w:r>
              <w:rPr>
                <w:rFonts w:hint="default"/>
                <w:color w:val="auto"/>
                <w:lang w:val="en-US" w:eastAsia="zh-CN"/>
              </w:rPr>
              <w:t>根据验收期间监测结果，本项目食堂油烟满足</w:t>
            </w:r>
            <w:r>
              <w:rPr>
                <w:rFonts w:hint="default"/>
                <w:color w:val="auto"/>
                <w:lang w:eastAsia="zh-CN"/>
              </w:rPr>
              <w:t>《</w:t>
            </w:r>
            <w:r>
              <w:rPr>
                <w:rFonts w:hint="default"/>
                <w:color w:val="auto"/>
              </w:rPr>
              <w:t>饮食业油烟排放标准》（试行）（GB18483-2001）</w:t>
            </w:r>
            <w:r>
              <w:rPr>
                <w:rFonts w:hint="default" w:ascii="Times New Roman" w:hAnsi="Times New Roman" w:eastAsia="宋体"/>
                <w:color w:val="auto"/>
                <w:lang w:val="en-US" w:eastAsia="zh-CN"/>
              </w:rPr>
              <w:t>中的小型规模标准。</w:t>
            </w:r>
            <w:r>
              <w:rPr>
                <w:rFonts w:hint="eastAsia" w:ascii="Times New Roman" w:hAnsi="Times New Roman" w:eastAsia="宋体"/>
                <w:color w:val="auto"/>
                <w:lang w:val="en-US" w:eastAsia="zh-CN"/>
              </w:rPr>
              <w:t>综上，运营期废气</w:t>
            </w:r>
            <w:r>
              <w:rPr>
                <w:rFonts w:hint="default" w:ascii="Times New Roman" w:hAnsi="Times New Roman" w:eastAsia="宋体"/>
                <w:color w:val="auto"/>
                <w:lang w:val="en-US" w:eastAsia="zh-CN"/>
              </w:rPr>
              <w:t>对周围环境影响较小</w:t>
            </w:r>
            <w:r>
              <w:rPr>
                <w:rFonts w:hint="eastAsia" w:ascii="Times New Roman" w:hAnsi="Times New Roman" w:eastAsia="宋体"/>
                <w:color w:val="auto"/>
                <w:lang w:val="en-US" w:eastAsia="zh-CN"/>
              </w:rPr>
              <w:t>，措施可行</w:t>
            </w:r>
            <w:r>
              <w:rPr>
                <w:rFonts w:hint="default" w:ascii="Times New Roman" w:hAnsi="Times New Roman" w:eastAsia="宋体"/>
                <w:color w:val="auto"/>
                <w:lang w:val="en-US" w:eastAsia="zh-CN"/>
              </w:rPr>
              <w:t>。</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6</w:t>
            </w:r>
            <w:r>
              <w:rPr>
                <w:rFonts w:hint="eastAsia"/>
                <w:b/>
                <w:bCs/>
                <w:color w:val="auto"/>
                <w:lang w:eastAsia="zh-CN"/>
              </w:rPr>
              <w:t>）</w:t>
            </w:r>
            <w:r>
              <w:rPr>
                <w:b/>
                <w:bCs/>
                <w:color w:val="auto"/>
              </w:rPr>
              <w:t>固体废物影响调查</w:t>
            </w:r>
          </w:p>
          <w:p>
            <w:pPr>
              <w:bidi w:val="0"/>
              <w:ind w:firstLine="480" w:firstLineChars="200"/>
              <w:rPr>
                <w:color w:val="auto"/>
              </w:rPr>
            </w:pPr>
            <w:r>
              <w:rPr>
                <w:color w:val="auto"/>
              </w:rPr>
              <w:t>施工产生的固废均已得到妥善处理处置，施工期固体废物对环境造成影响较小。本项目产生的固体废物为生活垃圾、废铅蓄电池、事故油。</w:t>
            </w:r>
          </w:p>
          <w:p>
            <w:pPr>
              <w:bidi w:val="0"/>
              <w:ind w:firstLine="482" w:firstLineChars="200"/>
              <w:rPr>
                <w:b/>
                <w:bCs/>
                <w:color w:val="auto"/>
              </w:rPr>
            </w:pPr>
            <w:r>
              <w:rPr>
                <w:rFonts w:hint="eastAsia"/>
                <w:b/>
                <w:bCs/>
                <w:color w:val="auto"/>
              </w:rPr>
              <w:t>①</w:t>
            </w:r>
            <w:r>
              <w:rPr>
                <w:b/>
                <w:bCs/>
                <w:color w:val="auto"/>
              </w:rPr>
              <w:t>生活垃圾</w:t>
            </w:r>
          </w:p>
          <w:p>
            <w:pPr>
              <w:bidi w:val="0"/>
              <w:ind w:firstLine="480" w:firstLineChars="200"/>
              <w:rPr>
                <w:color w:val="auto"/>
              </w:rPr>
            </w:pPr>
            <w:r>
              <w:rPr>
                <w:color w:val="auto"/>
              </w:rPr>
              <w:t>项目运营期生活垃圾集中收集后运往环卫部门指定地点处置。</w:t>
            </w:r>
          </w:p>
          <w:p>
            <w:pPr>
              <w:bidi w:val="0"/>
              <w:ind w:firstLine="482" w:firstLineChars="200"/>
              <w:rPr>
                <w:b/>
                <w:bCs/>
                <w:color w:val="auto"/>
              </w:rPr>
            </w:pPr>
            <w:r>
              <w:rPr>
                <w:rFonts w:hint="eastAsia"/>
                <w:b/>
                <w:bCs/>
                <w:color w:val="auto"/>
              </w:rPr>
              <w:t>②</w:t>
            </w:r>
            <w:r>
              <w:rPr>
                <w:b/>
                <w:bCs/>
                <w:color w:val="auto"/>
              </w:rPr>
              <w:t>一般工业固体废物</w:t>
            </w:r>
          </w:p>
          <w:p>
            <w:pPr>
              <w:bidi w:val="0"/>
              <w:ind w:firstLine="480" w:firstLineChars="200"/>
              <w:rPr>
                <w:color w:val="auto"/>
              </w:rPr>
            </w:pPr>
            <w:r>
              <w:rPr>
                <w:color w:val="auto"/>
              </w:rPr>
              <w:t>储能系统退役的磷酸铁锂电池由电力公司物资部门统一回收，站内不储存。</w:t>
            </w:r>
          </w:p>
          <w:p>
            <w:pPr>
              <w:bidi w:val="0"/>
              <w:ind w:firstLine="482" w:firstLineChars="200"/>
              <w:rPr>
                <w:b/>
                <w:bCs/>
                <w:color w:val="auto"/>
              </w:rPr>
            </w:pPr>
            <w:r>
              <w:rPr>
                <w:rFonts w:hint="eastAsia"/>
                <w:b/>
                <w:bCs/>
                <w:color w:val="auto"/>
              </w:rPr>
              <w:t>③</w:t>
            </w:r>
            <w:r>
              <w:rPr>
                <w:b/>
                <w:bCs/>
                <w:color w:val="auto"/>
              </w:rPr>
              <w:t>危险废物</w:t>
            </w:r>
          </w:p>
          <w:p>
            <w:pPr>
              <w:bidi w:val="0"/>
              <w:ind w:firstLine="482" w:firstLineChars="200"/>
              <w:rPr>
                <w:b/>
                <w:bCs/>
                <w:color w:val="auto"/>
              </w:rPr>
            </w:pPr>
            <w:r>
              <w:rPr>
                <w:b/>
                <w:bCs/>
                <w:color w:val="auto"/>
              </w:rPr>
              <w:t>1）废铅蓄电池</w:t>
            </w:r>
          </w:p>
          <w:p>
            <w:pPr>
              <w:bidi w:val="0"/>
              <w:ind w:firstLine="480" w:firstLineChars="200"/>
              <w:rPr>
                <w:color w:val="auto"/>
              </w:rPr>
            </w:pPr>
            <w:r>
              <w:rPr>
                <w:color w:val="auto"/>
              </w:rPr>
              <w:t>110kV北部滩升压站设备维修、更新产生废蓄电池，根据《国家危险废物名录》（2021 年版），废弃的铅酸蓄属于危险废物，废物类别为 HW31 含铅废物，危废代码900-052-31，1组主变压器需配备蓄电池约200块，变电站内蓄电池使用寿命一般为8年，待蓄电池到寿命周期时，暂存于10m</w:t>
            </w:r>
            <w:r>
              <w:rPr>
                <w:color w:val="auto"/>
                <w:vertAlign w:val="superscript"/>
              </w:rPr>
              <w:t>2</w:t>
            </w:r>
            <w:r>
              <w:rPr>
                <w:color w:val="auto"/>
              </w:rPr>
              <w:t>的危废暂存间，交由有危废处置资质的单位处置，不随意丢弃。</w:t>
            </w:r>
          </w:p>
          <w:p>
            <w:pPr>
              <w:bidi w:val="0"/>
              <w:ind w:firstLine="480" w:firstLineChars="200"/>
              <w:rPr>
                <w:color w:val="auto"/>
              </w:rPr>
            </w:pPr>
            <w:r>
              <w:rPr>
                <w:color w:val="auto"/>
              </w:rPr>
              <w:t>废蓄电池产生周期较长，更换时由厂家进行更换新蓄电池，并委托有资质单位进行回收并安全处置，符合《危险废物污染防治技术政策》（环发〔2001〕199 号）文件要求。</w:t>
            </w:r>
            <w:r>
              <w:rPr>
                <w:rFonts w:hint="eastAsia"/>
                <w:color w:val="auto"/>
                <w:lang w:val="en-US" w:eastAsia="zh-CN"/>
              </w:rPr>
              <w:t xml:space="preserve">  </w:t>
            </w:r>
          </w:p>
          <w:p>
            <w:pPr>
              <w:bidi w:val="0"/>
              <w:ind w:firstLine="482" w:firstLineChars="200"/>
              <w:rPr>
                <w:b/>
                <w:bCs/>
                <w:color w:val="auto"/>
              </w:rPr>
            </w:pPr>
            <w:r>
              <w:rPr>
                <w:rFonts w:hint="eastAsia"/>
                <w:b/>
                <w:bCs/>
                <w:color w:val="auto"/>
                <w:lang w:val="en-US" w:eastAsia="zh-CN"/>
              </w:rPr>
              <w:t>2</w:t>
            </w:r>
            <w:r>
              <w:rPr>
                <w:rFonts w:hint="eastAsia"/>
                <w:b/>
                <w:bCs/>
                <w:color w:val="auto"/>
                <w:lang w:eastAsia="zh-CN"/>
              </w:rPr>
              <w:t>）</w:t>
            </w:r>
            <w:r>
              <w:rPr>
                <w:b/>
                <w:bCs/>
                <w:color w:val="auto"/>
              </w:rPr>
              <w:t>事故油</w:t>
            </w:r>
          </w:p>
          <w:p>
            <w:pPr>
              <w:bidi w:val="0"/>
              <w:ind w:firstLine="480" w:firstLineChars="200"/>
              <w:rPr>
                <w:color w:val="auto"/>
              </w:rPr>
            </w:pPr>
            <w:r>
              <w:rPr>
                <w:color w:val="auto"/>
              </w:rPr>
              <w:t>升压站主变下设有事故油坑，铺设卵石层，四周设有排油槽并与事故油池相连。变压器排油时，所有的废油将渗过卵石层并通过排油槽到达事故油池，交由有资质的单位统一处理。</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7</w:t>
            </w:r>
            <w:r>
              <w:rPr>
                <w:rFonts w:hint="eastAsia"/>
                <w:b/>
                <w:bCs/>
                <w:color w:val="auto"/>
                <w:lang w:eastAsia="zh-CN"/>
              </w:rPr>
              <w:t>）</w:t>
            </w:r>
            <w:r>
              <w:rPr>
                <w:b/>
                <w:bCs/>
                <w:color w:val="auto"/>
              </w:rPr>
              <w:t>环境风险事故防范措施</w:t>
            </w:r>
          </w:p>
          <w:p>
            <w:pPr>
              <w:bidi w:val="0"/>
              <w:ind w:firstLine="482" w:firstLineChars="200"/>
              <w:rPr>
                <w:b/>
                <w:bCs/>
                <w:color w:val="auto"/>
              </w:rPr>
            </w:pPr>
            <w:r>
              <w:rPr>
                <w:b/>
                <w:bCs/>
                <w:color w:val="auto"/>
              </w:rPr>
              <w:t>1）人员设置</w:t>
            </w:r>
          </w:p>
          <w:p>
            <w:pPr>
              <w:bidi w:val="0"/>
              <w:ind w:firstLine="480" w:firstLineChars="200"/>
              <w:rPr>
                <w:color w:val="auto"/>
              </w:rPr>
            </w:pPr>
            <w:r>
              <w:rPr>
                <w:color w:val="auto"/>
              </w:rPr>
              <w:t>建设单位应设有兼职的安全环保管理人员，通过技能培训，承担工程运行后的环保安全工作。落实各项安全管理制度、生产操作规则和事故应急计划及相应的应急处理手段和设施。</w:t>
            </w:r>
          </w:p>
          <w:p>
            <w:pPr>
              <w:bidi w:val="0"/>
              <w:ind w:firstLine="482" w:firstLineChars="200"/>
              <w:rPr>
                <w:b/>
                <w:bCs/>
                <w:color w:val="auto"/>
              </w:rPr>
            </w:pPr>
            <w:r>
              <w:rPr>
                <w:b/>
                <w:bCs/>
                <w:color w:val="auto"/>
              </w:rPr>
              <w:t>2）风险防范措施</w:t>
            </w:r>
          </w:p>
          <w:p>
            <w:pPr>
              <w:bidi w:val="0"/>
              <w:ind w:firstLine="480" w:firstLineChars="200"/>
              <w:rPr>
                <w:color w:val="auto"/>
              </w:rPr>
            </w:pPr>
            <w:r>
              <w:rPr>
                <w:color w:val="auto"/>
              </w:rPr>
              <w:t>①本项目110kV北部滩升压站设置1座总容积为34m</w:t>
            </w:r>
            <w:r>
              <w:rPr>
                <w:color w:val="auto"/>
                <w:vertAlign w:val="superscript"/>
              </w:rPr>
              <w:t>3</w:t>
            </w:r>
            <w:r>
              <w:rPr>
                <w:color w:val="auto"/>
              </w:rPr>
              <w:t>事故油池收集事故状态下产生的变压器油，最终委托有资质的单位处置。建设单位应设有消防设施布置图、互救信息等，并明确应急物资存放地点。</w:t>
            </w:r>
          </w:p>
          <w:p>
            <w:pPr>
              <w:bidi w:val="0"/>
              <w:ind w:firstLine="480" w:firstLineChars="200"/>
              <w:rPr>
                <w:color w:val="auto"/>
              </w:rPr>
            </w:pPr>
            <w:r>
              <w:rPr>
                <w:color w:val="auto"/>
              </w:rPr>
              <w:t>②事故油池在该项目生产和安全管理中要密切注意事故易发部位，做好监督检查，防患于未然；</w:t>
            </w:r>
          </w:p>
          <w:p>
            <w:pPr>
              <w:bidi w:val="0"/>
              <w:ind w:firstLine="480" w:firstLineChars="200"/>
              <w:rPr>
                <w:color w:val="auto"/>
              </w:rPr>
            </w:pPr>
            <w:r>
              <w:rPr>
                <w:color w:val="auto"/>
              </w:rPr>
              <w:t>③对事故油池管理人员进行定期培训，并将国家要求和安全技术规范转化为各自岗位的安全操作规程，并悬挂在岗位醒目位置，规范岗位操作，降低事故概率；</w:t>
            </w:r>
          </w:p>
          <w:p>
            <w:pPr>
              <w:bidi w:val="0"/>
              <w:ind w:firstLine="480" w:firstLineChars="200"/>
              <w:rPr>
                <w:color w:val="auto"/>
              </w:rPr>
            </w:pPr>
            <w:r>
              <w:rPr>
                <w:color w:val="auto"/>
              </w:rPr>
              <w:t>④加强员工的安全意识。</w:t>
            </w:r>
          </w:p>
          <w:p>
            <w:pPr>
              <w:bidi w:val="0"/>
              <w:ind w:firstLine="482" w:firstLineChars="200"/>
              <w:rPr>
                <w:b/>
                <w:bCs/>
                <w:color w:val="auto"/>
              </w:rPr>
            </w:pPr>
            <w:r>
              <w:rPr>
                <w:rFonts w:hint="eastAsia"/>
                <w:b/>
                <w:bCs/>
                <w:color w:val="auto"/>
                <w:lang w:eastAsia="zh-CN"/>
              </w:rPr>
              <w:t>（</w:t>
            </w:r>
            <w:r>
              <w:rPr>
                <w:rFonts w:hint="eastAsia"/>
                <w:b/>
                <w:bCs/>
                <w:color w:val="auto"/>
                <w:lang w:val="en-US" w:eastAsia="zh-CN"/>
              </w:rPr>
              <w:t>8</w:t>
            </w:r>
            <w:r>
              <w:rPr>
                <w:rFonts w:hint="eastAsia"/>
                <w:b/>
                <w:bCs/>
                <w:color w:val="auto"/>
                <w:lang w:eastAsia="zh-CN"/>
              </w:rPr>
              <w:t>）</w:t>
            </w:r>
            <w:r>
              <w:rPr>
                <w:b/>
                <w:bCs/>
                <w:color w:val="auto"/>
              </w:rPr>
              <w:t>环境管理</w:t>
            </w:r>
          </w:p>
          <w:p>
            <w:pPr>
              <w:bidi w:val="0"/>
              <w:ind w:firstLine="480" w:firstLineChars="200"/>
              <w:rPr>
                <w:color w:val="auto"/>
              </w:rPr>
            </w:pPr>
            <w:r>
              <w:rPr>
                <w:color w:val="auto"/>
              </w:rPr>
              <w:t>建设单位环境管理机构健全，管理制度完善，制度落实较好，因而从管理上保证环境保护措施的有效实施。工程建设有关技术资料、施工监理资料、环境保护资料及有关批文均已归档。</w:t>
            </w:r>
          </w:p>
          <w:p>
            <w:pPr>
              <w:bidi w:val="0"/>
              <w:ind w:firstLine="482" w:firstLineChars="200"/>
              <w:rPr>
                <w:b/>
                <w:bCs/>
                <w:color w:val="auto"/>
              </w:rPr>
            </w:pPr>
            <w:r>
              <w:rPr>
                <w:rFonts w:hint="eastAsia"/>
                <w:b/>
                <w:bCs/>
                <w:color w:val="auto"/>
                <w:lang w:val="en-US" w:eastAsia="zh-CN"/>
              </w:rPr>
              <w:t>4、</w:t>
            </w:r>
            <w:r>
              <w:rPr>
                <w:b/>
                <w:bCs/>
                <w:color w:val="auto"/>
              </w:rPr>
              <w:t>结论</w:t>
            </w:r>
          </w:p>
          <w:p>
            <w:pPr>
              <w:bidi w:val="0"/>
              <w:ind w:firstLine="480" w:firstLineChars="200"/>
              <w:rPr>
                <w:color w:val="auto"/>
                <w:spacing w:val="-10"/>
              </w:rPr>
            </w:pPr>
            <w:r>
              <w:rPr>
                <w:rFonts w:hint="eastAsia"/>
                <w:color w:val="auto"/>
                <w:lang w:val="en-US" w:eastAsia="zh-CN"/>
              </w:rPr>
              <w:t>综合以上调查与分析结果，《高台县北部滩百万千瓦风电基地40万千瓦风电项目110kV升压站及送出线路工程》在设计和建设过程中，建设单位按照国家有关建设项目环境保护工作的要求，基本执行了各项环境保护管理要求，编报了环境影响报告表，已落实了环评报告表及批复文件要求的各项环境保护措施，在工程建设和调试运行期间认真实施了环评阶段提出的各项环保措施，同时根据实际情况不断对其补充完善，符合“三同时”原则，环境保护手续齐全，各项污染防治和生态保护措施有效，工程实际建设对周边环境质量影响很小，主体工程及配套相关工程达到竣工环保验收条件，建议对该项目通过竣工环境保护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5000" w:type="pct"/>
            <w:vAlign w:val="center"/>
          </w:tcPr>
          <w:p>
            <w:pPr>
              <w:bidi w:val="0"/>
              <w:jc w:val="both"/>
              <w:rPr>
                <w:b/>
                <w:bCs/>
                <w:color w:val="auto"/>
              </w:rPr>
            </w:pPr>
            <w:r>
              <w:rPr>
                <w:b/>
                <w:bCs/>
                <w:color w:val="auto"/>
              </w:rPr>
              <w:t>建议</w:t>
            </w:r>
          </w:p>
          <w:p>
            <w:pPr>
              <w:bidi w:val="0"/>
              <w:ind w:firstLine="480" w:firstLineChars="200"/>
              <w:rPr>
                <w:color w:val="auto"/>
              </w:rPr>
            </w:pPr>
            <w:r>
              <w:rPr>
                <w:color w:val="auto"/>
              </w:rPr>
              <w:t>针对本次调查发现的问题，提出如下建议：</w:t>
            </w:r>
          </w:p>
          <w:p>
            <w:pPr>
              <w:bidi w:val="0"/>
              <w:ind w:firstLine="480" w:firstLineChars="200"/>
              <w:rPr>
                <w:color w:val="auto"/>
              </w:rPr>
            </w:pPr>
            <w:r>
              <w:rPr>
                <w:color w:val="auto"/>
              </w:rPr>
              <w:t>（1）继续加强对工程周围公众的电磁环境知识的宣传工作，提高公众对本工程的了解程度，加强居民自我保护意识，以利于共同维护工程安全，减少风险事故的发生；</w:t>
            </w:r>
          </w:p>
          <w:p>
            <w:pPr>
              <w:bidi w:val="0"/>
              <w:ind w:firstLine="480" w:firstLineChars="200"/>
              <w:rPr>
                <w:color w:val="auto"/>
              </w:rPr>
            </w:pPr>
            <w:r>
              <w:rPr>
                <w:color w:val="auto"/>
              </w:rPr>
              <w:t>（2）建设单位应严格按照相关法律法规要求，建立健全规章制度，加强法律法规的学习。完善环境管理制度，对已配备的环保设施加强日常管理和维护，及时发现问题、及时解决，防止生态环境的破坏；</w:t>
            </w:r>
          </w:p>
          <w:p>
            <w:pPr>
              <w:bidi w:val="0"/>
              <w:ind w:firstLine="480" w:firstLineChars="200"/>
              <w:rPr>
                <w:rFonts w:hint="eastAsia" w:eastAsia="宋体"/>
                <w:color w:val="auto"/>
                <w:lang w:eastAsia="zh-CN"/>
              </w:rPr>
            </w:pPr>
            <w:r>
              <w:rPr>
                <w:color w:val="auto"/>
              </w:rPr>
              <w:t>（3）加强项目竣工后环境保护工作， 加强巡查并按要求执行环境监测计划， 发现环境问题应及时向生态环境主管部门汇报并妥善解决</w:t>
            </w:r>
            <w:r>
              <w:rPr>
                <w:rFonts w:hint="eastAsia"/>
                <w:color w:val="auto"/>
                <w:lang w:eastAsia="zh-CN"/>
              </w:rPr>
              <w:t>；</w:t>
            </w:r>
          </w:p>
          <w:p>
            <w:pPr>
              <w:bidi w:val="0"/>
              <w:ind w:firstLine="480" w:firstLineChars="200"/>
              <w:rPr>
                <w:b/>
                <w:bCs/>
                <w:color w:val="auto"/>
              </w:rPr>
            </w:pPr>
            <w:r>
              <w:rPr>
                <w:color w:val="auto"/>
              </w:rPr>
              <w:t>（4）建设单位在升压站四周生态环境未恢复前应加强日常管理和维护，确保植被恢复良好。</w:t>
            </w:r>
          </w:p>
        </w:tc>
      </w:tr>
    </w:tbl>
    <w:p>
      <w:pPr>
        <w:rPr>
          <w:color w:val="auto"/>
        </w:rPr>
      </w:pPr>
      <w:r>
        <w:rPr>
          <w:color w:val="auto"/>
        </w:rPr>
        <w:br w:type="page"/>
      </w:r>
    </w:p>
    <w:p>
      <w:pPr>
        <w:bidi w:val="0"/>
        <w:ind w:firstLine="482" w:firstLineChars="200"/>
        <w:rPr>
          <w:b/>
          <w:bCs/>
          <w:color w:val="auto"/>
        </w:rPr>
      </w:pPr>
    </w:p>
    <w:p>
      <w:pPr>
        <w:bidi w:val="0"/>
        <w:ind w:firstLine="482" w:firstLineChars="200"/>
        <w:rPr>
          <w:b/>
          <w:bCs/>
          <w:color w:val="auto"/>
        </w:rPr>
      </w:pPr>
      <w:r>
        <w:rPr>
          <w:b/>
          <w:bCs/>
          <w:color w:val="auto"/>
        </w:rPr>
        <w:t>附件：</w:t>
      </w:r>
    </w:p>
    <w:p>
      <w:pPr>
        <w:bidi w:val="0"/>
        <w:ind w:firstLine="480" w:firstLineChars="200"/>
        <w:rPr>
          <w:rFonts w:hint="eastAsia"/>
          <w:color w:val="auto"/>
          <w:lang w:eastAsia="zh-CN"/>
        </w:rPr>
      </w:pPr>
      <w:r>
        <w:rPr>
          <w:rFonts w:hint="eastAsia"/>
          <w:color w:val="auto"/>
          <w:lang w:eastAsia="zh-CN"/>
        </w:rPr>
        <w:t>附件一：《高台县北部滩百万千瓦风电基地40万千瓦风电项目110kV升压站及送出线路工程竣工环保验收委托书》</w:t>
      </w:r>
    </w:p>
    <w:p>
      <w:pPr>
        <w:bidi w:val="0"/>
        <w:ind w:firstLine="480" w:firstLineChars="200"/>
        <w:rPr>
          <w:rFonts w:hint="eastAsia"/>
          <w:color w:val="auto"/>
          <w:lang w:eastAsia="zh-CN"/>
        </w:rPr>
      </w:pPr>
      <w:r>
        <w:rPr>
          <w:rFonts w:hint="eastAsia"/>
          <w:color w:val="auto"/>
          <w:lang w:eastAsia="zh-CN"/>
        </w:rPr>
        <w:t>附件二：张掖市生态环境局高台分局《关于高台县北部滩百万千瓦风电基地40万千瓦风电项目110kV 升压站及送出线路工程环境影响报告表的批复》</w:t>
      </w:r>
    </w:p>
    <w:p>
      <w:pPr>
        <w:bidi w:val="0"/>
        <w:ind w:firstLine="480" w:firstLineChars="200"/>
        <w:rPr>
          <w:color w:val="auto"/>
        </w:rPr>
      </w:pPr>
      <w:r>
        <w:rPr>
          <w:color w:val="auto"/>
        </w:rPr>
        <w:t>附件三：</w:t>
      </w:r>
      <w:r>
        <w:rPr>
          <w:rFonts w:hint="eastAsia"/>
          <w:color w:val="auto"/>
        </w:rPr>
        <w:t>张掖市发展和改革委员会《关于</w:t>
      </w:r>
      <w:r>
        <w:rPr>
          <w:rFonts w:hint="eastAsia"/>
          <w:color w:val="auto"/>
          <w:lang w:val="en-US" w:eastAsia="zh-CN"/>
        </w:rPr>
        <w:t>张掖市立陇新能源开发有限公司高台北部滩百万千瓦风电基地40万千瓦风电项目核准</w:t>
      </w:r>
      <w:r>
        <w:rPr>
          <w:rFonts w:hint="eastAsia"/>
          <w:color w:val="auto"/>
        </w:rPr>
        <w:t>的批复》</w:t>
      </w:r>
    </w:p>
    <w:p>
      <w:pPr>
        <w:bidi w:val="0"/>
        <w:ind w:firstLine="480" w:firstLineChars="200"/>
        <w:rPr>
          <w:color w:val="auto"/>
        </w:rPr>
      </w:pPr>
      <w:r>
        <w:rPr>
          <w:rFonts w:hint="eastAsia"/>
          <w:color w:val="auto"/>
        </w:rPr>
        <w:t>附件四：自然保护区管理局回函</w:t>
      </w:r>
    </w:p>
    <w:p>
      <w:pPr>
        <w:bidi w:val="0"/>
        <w:ind w:firstLine="480" w:firstLineChars="200"/>
        <w:rPr>
          <w:color w:val="auto"/>
        </w:rPr>
      </w:pPr>
      <w:r>
        <w:rPr>
          <w:rFonts w:hint="eastAsia"/>
          <w:color w:val="auto"/>
        </w:rPr>
        <w:t>附件五：水务局回函</w:t>
      </w:r>
    </w:p>
    <w:p>
      <w:pPr>
        <w:bidi w:val="0"/>
        <w:ind w:firstLine="480" w:firstLineChars="200"/>
        <w:rPr>
          <w:color w:val="auto"/>
        </w:rPr>
      </w:pPr>
      <w:r>
        <w:rPr>
          <w:rFonts w:hint="eastAsia"/>
          <w:color w:val="auto"/>
        </w:rPr>
        <w:t>附件六：危废处置协议</w:t>
      </w:r>
    </w:p>
    <w:p>
      <w:pPr>
        <w:bidi w:val="0"/>
        <w:ind w:firstLine="480" w:firstLineChars="200"/>
        <w:rPr>
          <w:rFonts w:hint="default" w:eastAsia="宋体"/>
          <w:color w:val="auto"/>
          <w:lang w:val="en-US" w:eastAsia="zh-CN"/>
        </w:rPr>
      </w:pPr>
      <w:r>
        <w:rPr>
          <w:rFonts w:hint="eastAsia"/>
          <w:color w:val="auto"/>
          <w:lang w:val="en-US" w:eastAsia="zh-CN"/>
        </w:rPr>
        <w:t>附件七：检测报告</w:t>
      </w:r>
    </w:p>
    <w:p>
      <w:pPr>
        <w:bidi w:val="0"/>
        <w:ind w:firstLine="480" w:firstLineChars="200"/>
        <w:rPr>
          <w:rFonts w:hint="eastAsia"/>
          <w:color w:val="auto"/>
        </w:rPr>
      </w:pPr>
      <w:r>
        <w:rPr>
          <w:rFonts w:hint="eastAsia"/>
          <w:color w:val="auto"/>
        </w:rPr>
        <w:t>附件八：应急预案备案表</w:t>
      </w:r>
    </w:p>
    <w:p>
      <w:pPr>
        <w:bidi w:val="0"/>
        <w:ind w:firstLine="480" w:firstLineChars="200"/>
        <w:rPr>
          <w:rFonts w:hint="eastAsia" w:eastAsia="宋体"/>
          <w:color w:val="auto"/>
          <w:lang w:eastAsia="zh-CN"/>
        </w:rPr>
      </w:pPr>
      <w:r>
        <w:rPr>
          <w:rFonts w:hint="eastAsia"/>
          <w:lang w:val="en-US" w:eastAsia="zh-CN"/>
        </w:rPr>
        <w:t>附件九：验收意见</w:t>
      </w:r>
    </w:p>
    <w:p>
      <w:pPr>
        <w:bidi w:val="0"/>
        <w:ind w:firstLine="480" w:firstLineChars="200"/>
        <w:rPr>
          <w:color w:val="auto"/>
        </w:rPr>
      </w:pPr>
    </w:p>
    <w:p>
      <w:pPr>
        <w:bidi w:val="0"/>
        <w:ind w:firstLine="482" w:firstLineChars="200"/>
        <w:rPr>
          <w:b/>
          <w:bCs/>
          <w:color w:val="auto"/>
        </w:rPr>
      </w:pPr>
    </w:p>
    <w:p>
      <w:pPr>
        <w:bidi w:val="0"/>
        <w:ind w:firstLine="482" w:firstLineChars="200"/>
        <w:rPr>
          <w:b/>
          <w:bCs/>
          <w:color w:val="auto"/>
        </w:rPr>
      </w:pPr>
    </w:p>
    <w:p>
      <w:pPr>
        <w:bidi w:val="0"/>
        <w:ind w:firstLine="482" w:firstLineChars="200"/>
        <w:rPr>
          <w:b/>
          <w:bCs/>
          <w:color w:val="auto"/>
        </w:rPr>
      </w:pPr>
      <w:r>
        <w:rPr>
          <w:b/>
          <w:bCs/>
          <w:color w:val="auto"/>
        </w:rPr>
        <w:t>附图：</w:t>
      </w:r>
    </w:p>
    <w:p>
      <w:pPr>
        <w:bidi w:val="0"/>
        <w:ind w:firstLine="480" w:firstLineChars="200"/>
        <w:rPr>
          <w:rFonts w:hint="eastAsia"/>
          <w:color w:val="auto"/>
          <w:lang w:val="en-US" w:eastAsia="zh-CN"/>
        </w:rPr>
      </w:pPr>
      <w:r>
        <w:rPr>
          <w:rFonts w:hint="eastAsia"/>
          <w:color w:val="auto"/>
          <w:lang w:val="en-US" w:eastAsia="zh-CN"/>
        </w:rPr>
        <w:t>附图一：地理位置及厂区相对位置图</w:t>
      </w:r>
    </w:p>
    <w:p>
      <w:pPr>
        <w:bidi w:val="0"/>
        <w:ind w:firstLine="480" w:firstLineChars="200"/>
        <w:rPr>
          <w:rFonts w:hint="eastAsia"/>
          <w:color w:val="auto"/>
          <w:lang w:val="en-US" w:eastAsia="zh-CN"/>
        </w:rPr>
      </w:pPr>
      <w:r>
        <w:rPr>
          <w:rFonts w:hint="eastAsia"/>
          <w:color w:val="auto"/>
          <w:lang w:val="en-US" w:eastAsia="zh-CN"/>
        </w:rPr>
        <w:t>附图二：项目平面布置图</w:t>
      </w:r>
    </w:p>
    <w:p>
      <w:pPr>
        <w:bidi w:val="0"/>
        <w:ind w:firstLine="480" w:firstLineChars="200"/>
        <w:rPr>
          <w:rFonts w:hint="eastAsia"/>
          <w:color w:val="auto"/>
          <w:lang w:val="en-US" w:eastAsia="zh-CN"/>
        </w:rPr>
      </w:pPr>
      <w:r>
        <w:rPr>
          <w:rFonts w:hint="eastAsia"/>
          <w:color w:val="auto"/>
          <w:lang w:val="en-US" w:eastAsia="zh-CN"/>
        </w:rPr>
        <w:t>附图三：工频电场、工频磁场、噪声监测布点图</w:t>
      </w:r>
    </w:p>
    <w:p>
      <w:pPr>
        <w:bidi w:val="0"/>
        <w:ind w:firstLine="480" w:firstLineChars="200"/>
        <w:rPr>
          <w:rFonts w:hint="eastAsia"/>
          <w:color w:val="auto"/>
          <w:lang w:val="en-US" w:eastAsia="zh-CN"/>
        </w:rPr>
      </w:pPr>
      <w:r>
        <w:rPr>
          <w:rFonts w:hint="eastAsia"/>
          <w:color w:val="auto"/>
          <w:lang w:val="en-US" w:eastAsia="zh-CN"/>
        </w:rPr>
        <w:t>附图四：临时占地生态恢复情况照片</w:t>
      </w:r>
    </w:p>
    <w:p>
      <w:pPr>
        <w:bidi w:val="0"/>
        <w:ind w:firstLine="480" w:firstLineChars="200"/>
        <w:rPr>
          <w:rFonts w:hint="default"/>
          <w:color w:val="auto"/>
          <w:lang w:val="en-US" w:eastAsia="zh-CN"/>
        </w:rPr>
      </w:pPr>
      <w:r>
        <w:rPr>
          <w:rFonts w:hint="default"/>
          <w:color w:val="auto"/>
          <w:lang w:val="en-US" w:eastAsia="zh-CN"/>
        </w:rPr>
        <w:t>附图五：危废暂存间照片</w:t>
      </w:r>
    </w:p>
    <w:p>
      <w:pPr>
        <w:bidi w:val="0"/>
        <w:ind w:firstLine="480" w:firstLineChars="200"/>
        <w:rPr>
          <w:rFonts w:hint="eastAsia"/>
          <w:color w:val="auto"/>
          <w:lang w:val="en-US" w:eastAsia="zh-CN"/>
        </w:rPr>
      </w:pPr>
      <w:r>
        <w:rPr>
          <w:rFonts w:hint="eastAsia"/>
          <w:color w:val="auto"/>
          <w:lang w:val="en-US" w:eastAsia="zh-CN"/>
        </w:rPr>
        <w:t>附图六：项目与重要生态保护区位置关系图</w:t>
      </w:r>
    </w:p>
    <w:p>
      <w:pPr>
        <w:bidi w:val="0"/>
        <w:ind w:firstLine="480" w:firstLineChars="200"/>
        <w:rPr>
          <w:rFonts w:hint="eastAsia"/>
          <w:color w:val="auto"/>
          <w:lang w:val="en-US" w:eastAsia="zh-CN"/>
        </w:rPr>
      </w:pPr>
      <w:r>
        <w:rPr>
          <w:rFonts w:hint="eastAsia"/>
          <w:color w:val="auto"/>
          <w:lang w:val="en-US" w:eastAsia="zh-CN"/>
        </w:rPr>
        <w:t>附图七：项目与甘肃省生态功能区划位置关系图</w:t>
      </w:r>
    </w:p>
    <w:p>
      <w:pPr>
        <w:bidi w:val="0"/>
        <w:ind w:firstLine="480" w:firstLineChars="200"/>
        <w:rPr>
          <w:rFonts w:hint="eastAsia"/>
          <w:color w:val="auto"/>
          <w:lang w:val="en-US" w:eastAsia="zh-CN"/>
        </w:rPr>
      </w:pPr>
      <w:r>
        <w:rPr>
          <w:rFonts w:hint="eastAsia"/>
          <w:color w:val="auto"/>
          <w:lang w:val="en-US" w:eastAsia="zh-CN"/>
        </w:rPr>
        <w:t>附图八：生态措施平面布置图</w:t>
      </w:r>
    </w:p>
    <w:p>
      <w:pPr>
        <w:bidi w:val="0"/>
        <w:ind w:firstLine="480" w:firstLineChars="200"/>
        <w:rPr>
          <w:rFonts w:hint="eastAsia"/>
          <w:lang w:val="en-US" w:eastAsia="zh-CN"/>
        </w:rPr>
      </w:pPr>
      <w:r>
        <w:rPr>
          <w:rFonts w:hint="eastAsia"/>
          <w:color w:val="auto"/>
          <w:lang w:val="en-US" w:eastAsia="zh-CN"/>
        </w:rPr>
        <w:t>附图九：现场踏勘照片</w:t>
      </w:r>
    </w:p>
    <w:p>
      <w:pPr>
        <w:bidi w:val="0"/>
        <w:ind w:firstLine="480" w:firstLineChars="200"/>
        <w:rPr>
          <w:rFonts w:hint="default"/>
          <w:color w:val="auto"/>
          <w:lang w:val="en-US" w:eastAsia="zh-CN"/>
        </w:rPr>
      </w:pPr>
    </w:p>
    <w:p>
      <w:pPr>
        <w:bidi w:val="0"/>
        <w:ind w:firstLine="480" w:firstLineChars="200"/>
        <w:rPr>
          <w:rFonts w:hint="eastAsia" w:ascii="Times New Roman" w:hAnsi="Times New Roman" w:eastAsia="宋体"/>
          <w:color w:val="auto"/>
          <w:lang w:val="en-US" w:eastAsia="zh-CN"/>
        </w:rPr>
      </w:pPr>
    </w:p>
    <w:p>
      <w:pPr>
        <w:bidi w:val="0"/>
        <w:rPr>
          <w:color w:val="auto"/>
        </w:rPr>
      </w:pPr>
    </w:p>
    <w:p>
      <w:pPr>
        <w:bidi w:val="0"/>
        <w:ind w:firstLine="480" w:firstLineChars="200"/>
        <w:rPr>
          <w:color w:val="auto"/>
        </w:rPr>
      </w:pPr>
    </w:p>
    <w:p>
      <w:pPr>
        <w:pStyle w:val="3"/>
        <w:bidi w:val="0"/>
        <w:rPr>
          <w:color w:val="auto"/>
          <w:sz w:val="32"/>
          <w:szCs w:val="32"/>
        </w:rPr>
      </w:pPr>
      <w:r>
        <w:rPr>
          <w:color w:val="auto"/>
          <w:sz w:val="32"/>
          <w:szCs w:val="32"/>
        </w:rPr>
        <w:t>附件一</w:t>
      </w:r>
      <w:r>
        <w:rPr>
          <w:rFonts w:hint="eastAsia"/>
          <w:color w:val="auto"/>
          <w:sz w:val="32"/>
          <w:szCs w:val="32"/>
          <w:lang w:eastAsia="zh-CN"/>
        </w:rPr>
        <w:t>：</w:t>
      </w:r>
      <w:r>
        <w:rPr>
          <w:color w:val="auto"/>
          <w:sz w:val="32"/>
          <w:szCs w:val="32"/>
        </w:rPr>
        <w:t>委托书</w:t>
      </w:r>
    </w:p>
    <w:p>
      <w:pPr>
        <w:jc w:val="center"/>
        <w:rPr>
          <w:rFonts w:ascii="Times New Roman" w:hAnsi="Times New Roman" w:eastAsia="仿宋" w:cs="Times New Roman"/>
          <w:b/>
          <w:color w:val="auto"/>
          <w:sz w:val="44"/>
          <w:szCs w:val="44"/>
        </w:rPr>
      </w:pPr>
      <w:r>
        <w:rPr>
          <w:rFonts w:ascii="Times New Roman" w:hAnsi="Times New Roman" w:eastAsia="仿宋" w:cs="Times New Roman"/>
          <w:b/>
          <w:color w:val="auto"/>
          <w:sz w:val="44"/>
          <w:szCs w:val="44"/>
        </w:rPr>
        <w:t>委  托  书</w:t>
      </w:r>
    </w:p>
    <w:p>
      <w:pPr>
        <w:rPr>
          <w:rFonts w:ascii="Times New Roman" w:hAnsi="Times New Roman" w:eastAsia="仿宋" w:cs="Times New Roman"/>
          <w:color w:val="auto"/>
          <w:sz w:val="32"/>
          <w:szCs w:val="32"/>
        </w:rPr>
      </w:pPr>
    </w:p>
    <w:p>
      <w:pPr>
        <w:spacing w:beforeLines="200" w:afterLines="100" w:line="360" w:lineRule="auto"/>
        <w:rPr>
          <w:rFonts w:ascii="Times New Roman" w:hAnsi="Times New Roman" w:cs="Times New Roman"/>
          <w:color w:val="auto"/>
          <w:sz w:val="28"/>
          <w:szCs w:val="28"/>
        </w:rPr>
      </w:pPr>
      <w:r>
        <w:rPr>
          <w:rFonts w:hint="eastAsia" w:cs="Times New Roman"/>
          <w:color w:val="auto"/>
          <w:sz w:val="28"/>
          <w:szCs w:val="28"/>
          <w:lang w:eastAsia="zh-CN"/>
        </w:rPr>
        <w:t>甘肃领越检测技术有限公司</w:t>
      </w:r>
      <w:r>
        <w:rPr>
          <w:rFonts w:ascii="Times New Roman" w:hAnsi="Times New Roman" w:cs="Times New Roman"/>
          <w:color w:val="auto"/>
          <w:sz w:val="28"/>
          <w:szCs w:val="28"/>
        </w:rPr>
        <w:t>：</w:t>
      </w:r>
    </w:p>
    <w:p>
      <w:pPr>
        <w:wordWrap w:val="0"/>
        <w:spacing w:line="360" w:lineRule="auto"/>
        <w:ind w:firstLine="560" w:firstLineChars="200"/>
        <w:textAlignment w:val="top"/>
        <w:rPr>
          <w:rFonts w:ascii="Times New Roman" w:hAnsi="Times New Roman" w:cs="Times New Roman"/>
          <w:color w:val="auto"/>
          <w:sz w:val="28"/>
          <w:szCs w:val="28"/>
        </w:rPr>
      </w:pPr>
      <w:r>
        <w:rPr>
          <w:rFonts w:ascii="Times New Roman" w:hAnsi="Times New Roman" w:cs="Times New Roman"/>
          <w:color w:val="auto"/>
          <w:sz w:val="28"/>
          <w:szCs w:val="28"/>
        </w:rPr>
        <w:t>根据《中华人民共和国环境影响评价法》及相关环境保护管理的规定，现委托贵公司承担“</w:t>
      </w:r>
      <w:r>
        <w:rPr>
          <w:rFonts w:hint="eastAsia" w:cs="Times New Roman"/>
          <w:color w:val="auto"/>
          <w:sz w:val="28"/>
          <w:szCs w:val="28"/>
          <w:lang w:val="en-US" w:eastAsia="zh-CN"/>
        </w:rPr>
        <w:t>高台县北部滩百万千瓦风电基地40万千瓦风电项目110kV升压站及送出线路工程</w:t>
      </w:r>
      <w:r>
        <w:rPr>
          <w:rFonts w:ascii="Times New Roman" w:hAnsi="Times New Roman" w:cs="Times New Roman"/>
          <w:color w:val="auto"/>
          <w:sz w:val="28"/>
          <w:szCs w:val="28"/>
        </w:rPr>
        <w:t>”</w:t>
      </w:r>
      <w:r>
        <w:rPr>
          <w:color w:val="auto"/>
        </w:rPr>
        <w:t>竣工环保验收</w:t>
      </w:r>
      <w:r>
        <w:rPr>
          <w:rFonts w:hint="eastAsia"/>
          <w:color w:val="auto"/>
          <w:lang w:val="en-US" w:eastAsia="zh-CN"/>
        </w:rPr>
        <w:t>报告</w:t>
      </w:r>
      <w:r>
        <w:rPr>
          <w:rFonts w:ascii="Times New Roman" w:hAnsi="Times New Roman" w:cs="Times New Roman"/>
          <w:color w:val="auto"/>
          <w:sz w:val="28"/>
          <w:szCs w:val="28"/>
        </w:rPr>
        <w:t>的编制工作。</w:t>
      </w:r>
    </w:p>
    <w:p>
      <w:pPr>
        <w:wordWrap w:val="0"/>
        <w:spacing w:line="360" w:lineRule="auto"/>
        <w:ind w:firstLine="560" w:firstLineChars="200"/>
        <w:textAlignment w:val="top"/>
        <w:rPr>
          <w:rFonts w:ascii="Times New Roman" w:hAnsi="Times New Roman" w:cs="Times New Roman"/>
          <w:color w:val="auto"/>
          <w:sz w:val="28"/>
          <w:szCs w:val="28"/>
        </w:rPr>
      </w:pPr>
      <w:r>
        <w:rPr>
          <w:rFonts w:ascii="Times New Roman" w:hAnsi="Times New Roman" w:cs="Times New Roman"/>
          <w:color w:val="auto"/>
          <w:sz w:val="28"/>
          <w:szCs w:val="28"/>
        </w:rPr>
        <w:t>请贵公司接收委托后按国家环境影响评价的相关工作程序，正式开展编制工作，具体事宜待双方签订书面合同时商定。</w:t>
      </w:r>
    </w:p>
    <w:p>
      <w:pPr>
        <w:wordWrap w:val="0"/>
        <w:spacing w:line="360" w:lineRule="auto"/>
        <w:ind w:firstLine="560" w:firstLineChars="200"/>
        <w:textAlignment w:val="top"/>
        <w:rPr>
          <w:rFonts w:ascii="Times New Roman" w:hAnsi="Times New Roman" w:cs="Times New Roman"/>
          <w:color w:val="auto"/>
          <w:sz w:val="28"/>
          <w:szCs w:val="28"/>
        </w:rPr>
      </w:pPr>
      <w:r>
        <w:rPr>
          <w:rFonts w:ascii="Times New Roman" w:hAnsi="Times New Roman" w:cs="Times New Roman"/>
          <w:color w:val="auto"/>
          <w:sz w:val="28"/>
          <w:szCs w:val="28"/>
        </w:rPr>
        <w:t>特此委托。</w:t>
      </w:r>
    </w:p>
    <w:p>
      <w:pPr>
        <w:wordWrap w:val="0"/>
        <w:spacing w:line="360" w:lineRule="auto"/>
        <w:ind w:firstLine="560" w:firstLineChars="200"/>
        <w:textAlignment w:val="top"/>
        <w:rPr>
          <w:rFonts w:ascii="Times New Roman" w:hAnsi="Times New Roman" w:cs="Times New Roman"/>
          <w:color w:val="auto"/>
          <w:sz w:val="28"/>
          <w:szCs w:val="28"/>
        </w:rPr>
      </w:pPr>
    </w:p>
    <w:p>
      <w:pPr>
        <w:spacing w:line="360" w:lineRule="auto"/>
        <w:rPr>
          <w:rFonts w:ascii="Times New Roman" w:hAnsi="Times New Roman" w:cs="Times New Roman"/>
          <w:color w:val="auto"/>
          <w:sz w:val="28"/>
          <w:szCs w:val="28"/>
        </w:rPr>
      </w:pPr>
    </w:p>
    <w:p>
      <w:pPr>
        <w:rPr>
          <w:color w:val="auto"/>
        </w:rPr>
      </w:pPr>
    </w:p>
    <w:p>
      <w:pPr>
        <w:spacing w:line="360" w:lineRule="auto"/>
        <w:rPr>
          <w:rFonts w:ascii="Times New Roman" w:hAnsi="Times New Roman" w:cs="Times New Roman"/>
          <w:color w:val="auto"/>
          <w:sz w:val="28"/>
          <w:szCs w:val="28"/>
        </w:rPr>
      </w:pPr>
    </w:p>
    <w:p>
      <w:pPr>
        <w:spacing w:line="360" w:lineRule="auto"/>
        <w:jc w:val="right"/>
        <w:rPr>
          <w:rFonts w:hint="eastAsia" w:ascii="Times New Roman" w:hAnsi="Times New Roman" w:eastAsia="宋体" w:cs="Times New Roman"/>
          <w:color w:val="auto"/>
          <w:sz w:val="28"/>
          <w:szCs w:val="28"/>
          <w:lang w:eastAsia="zh-CN"/>
        </w:rPr>
      </w:pPr>
      <w:r>
        <w:rPr>
          <w:rFonts w:ascii="Times New Roman" w:hAnsi="Times New Roman" w:cs="Times New Roman"/>
          <w:color w:val="auto"/>
          <w:sz w:val="28"/>
          <w:szCs w:val="28"/>
        </w:rPr>
        <w:t xml:space="preserve">          </w:t>
      </w:r>
      <w:r>
        <w:rPr>
          <w:rFonts w:hint="eastAsia" w:cs="Times New Roman"/>
          <w:color w:val="auto"/>
          <w:sz w:val="28"/>
          <w:szCs w:val="28"/>
          <w:lang w:eastAsia="zh-CN"/>
        </w:rPr>
        <w:t>张掖市立陇新能源开发有限公司</w:t>
      </w:r>
    </w:p>
    <w:p>
      <w:pPr>
        <w:keepNext w:val="0"/>
        <w:keepLines w:val="0"/>
        <w:pageBreakBefore w:val="0"/>
        <w:widowControl/>
        <w:kinsoku/>
        <w:wordWrap/>
        <w:overflowPunct/>
        <w:topLinePunct w:val="0"/>
        <w:autoSpaceDE/>
        <w:autoSpaceDN/>
        <w:bidi w:val="0"/>
        <w:adjustRightInd/>
        <w:snapToGrid/>
        <w:jc w:val="right"/>
        <w:textAlignment w:val="auto"/>
        <w:outlineLvl w:val="9"/>
        <w:rPr>
          <w:color w:val="auto"/>
          <w:sz w:val="28"/>
          <w:szCs w:val="28"/>
        </w:rPr>
      </w:pPr>
      <w:r>
        <w:rPr>
          <w:rFonts w:ascii="Times New Roman" w:hAnsi="Times New Roman" w:cs="Times New Roman"/>
          <w:color w:val="auto"/>
          <w:szCs w:val="28"/>
        </w:rPr>
        <w:t xml:space="preserve">                            </w:t>
      </w:r>
      <w:r>
        <w:rPr>
          <w:color w:val="auto"/>
        </w:rPr>
        <w:t xml:space="preserve">       </w:t>
      </w:r>
      <w:r>
        <w:rPr>
          <w:color w:val="auto"/>
          <w:sz w:val="28"/>
          <w:szCs w:val="28"/>
        </w:rPr>
        <w:t xml:space="preserve"> </w:t>
      </w:r>
      <w:r>
        <w:rPr>
          <w:color w:val="auto"/>
          <w:sz w:val="28"/>
          <w:szCs w:val="28"/>
          <w:lang w:val="en-US"/>
        </w:rPr>
        <w:t xml:space="preserve"> 202</w:t>
      </w:r>
      <w:r>
        <w:rPr>
          <w:rFonts w:hint="eastAsia"/>
          <w:color w:val="auto"/>
          <w:sz w:val="28"/>
          <w:szCs w:val="28"/>
          <w:lang w:val="en-US" w:eastAsia="zh-CN"/>
        </w:rPr>
        <w:t>3</w:t>
      </w:r>
      <w:r>
        <w:rPr>
          <w:color w:val="auto"/>
          <w:sz w:val="28"/>
          <w:szCs w:val="28"/>
        </w:rPr>
        <w:t>年</w:t>
      </w:r>
      <w:r>
        <w:rPr>
          <w:rFonts w:hint="eastAsia"/>
          <w:color w:val="auto"/>
          <w:sz w:val="28"/>
          <w:szCs w:val="28"/>
          <w:lang w:val="en-US" w:eastAsia="zh-CN"/>
        </w:rPr>
        <w:t>9</w:t>
      </w:r>
      <w:r>
        <w:rPr>
          <w:color w:val="auto"/>
          <w:sz w:val="28"/>
          <w:szCs w:val="28"/>
        </w:rPr>
        <w:t>月</w:t>
      </w:r>
      <w:r>
        <w:rPr>
          <w:color w:val="auto"/>
          <w:sz w:val="28"/>
          <w:szCs w:val="28"/>
          <w:lang w:val="en-US"/>
        </w:rPr>
        <w:t>2</w:t>
      </w:r>
      <w:r>
        <w:rPr>
          <w:rFonts w:hint="eastAsia"/>
          <w:color w:val="auto"/>
          <w:sz w:val="28"/>
          <w:szCs w:val="28"/>
          <w:lang w:val="en-US" w:eastAsia="zh-CN"/>
        </w:rPr>
        <w:t>0</w:t>
      </w:r>
      <w:r>
        <w:rPr>
          <w:color w:val="auto"/>
          <w:sz w:val="28"/>
          <w:szCs w:val="28"/>
        </w:rPr>
        <w:t>日</w:t>
      </w:r>
    </w:p>
    <w:p>
      <w:pPr>
        <w:rPr>
          <w:color w:val="auto"/>
          <w:sz w:val="28"/>
          <w:szCs w:val="28"/>
        </w:rPr>
      </w:pPr>
      <w:r>
        <w:rPr>
          <w:color w:val="auto"/>
          <w:sz w:val="28"/>
          <w:szCs w:val="28"/>
        </w:rPr>
        <w:br w:type="page"/>
      </w:r>
    </w:p>
    <w:p>
      <w:pPr>
        <w:pStyle w:val="3"/>
        <w:bidi w:val="0"/>
        <w:rPr>
          <w:rFonts w:hint="eastAsia"/>
          <w:color w:val="auto"/>
          <w:sz w:val="32"/>
          <w:szCs w:val="32"/>
          <w:lang w:val="en-US" w:eastAsia="zh-CN"/>
        </w:rPr>
      </w:pPr>
      <w:r>
        <w:rPr>
          <w:color w:val="auto"/>
          <w:sz w:val="32"/>
          <w:szCs w:val="32"/>
        </w:rPr>
        <w:t>附件</w:t>
      </w:r>
      <w:r>
        <w:rPr>
          <w:rFonts w:hint="eastAsia"/>
          <w:color w:val="auto"/>
          <w:sz w:val="32"/>
          <w:szCs w:val="32"/>
          <w:lang w:val="en-US" w:eastAsia="zh-CN"/>
        </w:rPr>
        <w:t>二</w:t>
      </w:r>
      <w:r>
        <w:rPr>
          <w:rFonts w:hint="eastAsia"/>
          <w:color w:val="auto"/>
          <w:sz w:val="32"/>
          <w:szCs w:val="32"/>
          <w:lang w:eastAsia="zh-CN"/>
        </w:rPr>
        <w:t>：</w:t>
      </w:r>
      <w:r>
        <w:rPr>
          <w:rFonts w:hint="eastAsia"/>
          <w:color w:val="auto"/>
          <w:sz w:val="32"/>
          <w:szCs w:val="32"/>
          <w:lang w:val="en-US" w:eastAsia="zh-CN"/>
        </w:rPr>
        <w:t>环评批复</w:t>
      </w:r>
    </w:p>
    <w:p>
      <w:pPr>
        <w:bidi w:val="0"/>
        <w:rPr>
          <w:rFonts w:hint="eastAsia"/>
          <w:color w:val="auto"/>
          <w:lang w:val="en-US" w:eastAsia="zh-CN"/>
        </w:rPr>
      </w:pPr>
      <w:r>
        <w:rPr>
          <w:rFonts w:hint="eastAsia"/>
          <w:color w:val="auto"/>
          <w:lang w:val="en-US" w:eastAsia="zh-CN"/>
        </w:rPr>
        <w:drawing>
          <wp:inline distT="0" distB="0" distL="114300" distR="114300">
            <wp:extent cx="5267960" cy="8032115"/>
            <wp:effectExtent l="0" t="0" r="8890" b="6985"/>
            <wp:docPr id="20" name="图片 20" descr="110kV升压站及送出线路环境影响报告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10kV升压站及送出线路环境影响报告表_00"/>
                    <pic:cNvPicPr>
                      <a:picLocks noChangeAspect="1"/>
                    </pic:cNvPicPr>
                  </pic:nvPicPr>
                  <pic:blipFill>
                    <a:blip r:embed="rId25"/>
                    <a:stretch>
                      <a:fillRect/>
                    </a:stretch>
                  </pic:blipFill>
                  <pic:spPr>
                    <a:xfrm>
                      <a:off x="0" y="0"/>
                      <a:ext cx="5267960" cy="8032115"/>
                    </a:xfrm>
                    <a:prstGeom prst="rect">
                      <a:avLst/>
                    </a:prstGeom>
                  </pic:spPr>
                </pic:pic>
              </a:graphicData>
            </a:graphic>
          </wp:inline>
        </w:drawing>
      </w:r>
      <w:r>
        <w:rPr>
          <w:rFonts w:hint="eastAsia"/>
          <w:color w:val="auto"/>
          <w:lang w:val="en-US" w:eastAsia="zh-CN"/>
        </w:rPr>
        <w:drawing>
          <wp:inline distT="0" distB="0" distL="114300" distR="114300">
            <wp:extent cx="5267960" cy="8794115"/>
            <wp:effectExtent l="0" t="0" r="8890" b="6985"/>
            <wp:docPr id="19" name="图片 19" descr="110kV升压站及送出线路环境影响报告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10kV升压站及送出线路环境影响报告表_01"/>
                    <pic:cNvPicPr>
                      <a:picLocks noChangeAspect="1"/>
                    </pic:cNvPicPr>
                  </pic:nvPicPr>
                  <pic:blipFill>
                    <a:blip r:embed="rId26"/>
                    <a:stretch>
                      <a:fillRect/>
                    </a:stretch>
                  </pic:blipFill>
                  <pic:spPr>
                    <a:xfrm>
                      <a:off x="0" y="0"/>
                      <a:ext cx="5267960" cy="8794115"/>
                    </a:xfrm>
                    <a:prstGeom prst="rect">
                      <a:avLst/>
                    </a:prstGeom>
                  </pic:spPr>
                </pic:pic>
              </a:graphicData>
            </a:graphic>
          </wp:inline>
        </w:drawing>
      </w:r>
      <w:r>
        <w:rPr>
          <w:rFonts w:hint="eastAsia"/>
          <w:color w:val="auto"/>
          <w:lang w:val="en-US" w:eastAsia="zh-CN"/>
        </w:rPr>
        <w:drawing>
          <wp:inline distT="0" distB="0" distL="114300" distR="114300">
            <wp:extent cx="5267960" cy="8751570"/>
            <wp:effectExtent l="0" t="0" r="8890" b="11430"/>
            <wp:docPr id="18" name="图片 18" descr="110kV升压站及送出线路环境影响报告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10kV升压站及送出线路环境影响报告表_02"/>
                    <pic:cNvPicPr>
                      <a:picLocks noChangeAspect="1"/>
                    </pic:cNvPicPr>
                  </pic:nvPicPr>
                  <pic:blipFill>
                    <a:blip r:embed="rId27"/>
                    <a:stretch>
                      <a:fillRect/>
                    </a:stretch>
                  </pic:blipFill>
                  <pic:spPr>
                    <a:xfrm>
                      <a:off x="0" y="0"/>
                      <a:ext cx="5267960" cy="8751570"/>
                    </a:xfrm>
                    <a:prstGeom prst="rect">
                      <a:avLst/>
                    </a:prstGeom>
                  </pic:spPr>
                </pic:pic>
              </a:graphicData>
            </a:graphic>
          </wp:inline>
        </w:drawing>
      </w:r>
      <w:r>
        <w:rPr>
          <w:rFonts w:hint="eastAsia"/>
          <w:color w:val="auto"/>
          <w:lang w:val="en-US" w:eastAsia="zh-CN"/>
        </w:rPr>
        <w:drawing>
          <wp:inline distT="0" distB="0" distL="114300" distR="114300">
            <wp:extent cx="5267960" cy="8815705"/>
            <wp:effectExtent l="0" t="0" r="8890" b="4445"/>
            <wp:docPr id="13" name="图片 13" descr="110kV升压站及送出线路环境影响报告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10kV升压站及送出线路环境影响报告表_03"/>
                    <pic:cNvPicPr>
                      <a:picLocks noChangeAspect="1"/>
                    </pic:cNvPicPr>
                  </pic:nvPicPr>
                  <pic:blipFill>
                    <a:blip r:embed="rId28"/>
                    <a:stretch>
                      <a:fillRect/>
                    </a:stretch>
                  </pic:blipFill>
                  <pic:spPr>
                    <a:xfrm>
                      <a:off x="0" y="0"/>
                      <a:ext cx="5267960" cy="8815705"/>
                    </a:xfrm>
                    <a:prstGeom prst="rect">
                      <a:avLst/>
                    </a:prstGeom>
                  </pic:spPr>
                </pic:pic>
              </a:graphicData>
            </a:graphic>
          </wp:inline>
        </w:drawing>
      </w:r>
      <w:r>
        <w:rPr>
          <w:rFonts w:hint="eastAsia"/>
          <w:color w:val="auto"/>
          <w:lang w:val="en-US" w:eastAsia="zh-CN"/>
        </w:rPr>
        <w:drawing>
          <wp:inline distT="0" distB="0" distL="114300" distR="114300">
            <wp:extent cx="5267960" cy="8836025"/>
            <wp:effectExtent l="0" t="0" r="8890" b="3175"/>
            <wp:docPr id="12" name="图片 12" descr="110kV升压站及送出线路环境影响报告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10kV升压站及送出线路环境影响报告表_04"/>
                    <pic:cNvPicPr>
                      <a:picLocks noChangeAspect="1"/>
                    </pic:cNvPicPr>
                  </pic:nvPicPr>
                  <pic:blipFill>
                    <a:blip r:embed="rId29"/>
                    <a:stretch>
                      <a:fillRect/>
                    </a:stretch>
                  </pic:blipFill>
                  <pic:spPr>
                    <a:xfrm>
                      <a:off x="0" y="0"/>
                      <a:ext cx="5267960" cy="8836025"/>
                    </a:xfrm>
                    <a:prstGeom prst="rect">
                      <a:avLst/>
                    </a:prstGeom>
                  </pic:spPr>
                </pic:pic>
              </a:graphicData>
            </a:graphic>
          </wp:inline>
        </w:drawing>
      </w:r>
      <w:r>
        <w:rPr>
          <w:rFonts w:hint="eastAsia"/>
          <w:color w:val="auto"/>
          <w:lang w:val="en-US" w:eastAsia="zh-CN"/>
        </w:rPr>
        <w:drawing>
          <wp:inline distT="0" distB="0" distL="114300" distR="114300">
            <wp:extent cx="5267960" cy="8804275"/>
            <wp:effectExtent l="0" t="0" r="8890" b="15875"/>
            <wp:docPr id="11" name="图片 11" descr="110kV升压站及送出线路环境影响报告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10kV升压站及送出线路环境影响报告表_05"/>
                    <pic:cNvPicPr>
                      <a:picLocks noChangeAspect="1"/>
                    </pic:cNvPicPr>
                  </pic:nvPicPr>
                  <pic:blipFill>
                    <a:blip r:embed="rId30"/>
                    <a:stretch>
                      <a:fillRect/>
                    </a:stretch>
                  </pic:blipFill>
                  <pic:spPr>
                    <a:xfrm>
                      <a:off x="0" y="0"/>
                      <a:ext cx="5267960" cy="8804275"/>
                    </a:xfrm>
                    <a:prstGeom prst="rect">
                      <a:avLst/>
                    </a:prstGeom>
                  </pic:spPr>
                </pic:pic>
              </a:graphicData>
            </a:graphic>
          </wp:inline>
        </w:drawing>
      </w:r>
      <w:r>
        <w:rPr>
          <w:rFonts w:hint="eastAsia"/>
          <w:color w:val="auto"/>
          <w:lang w:val="en-US" w:eastAsia="zh-CN"/>
        </w:rPr>
        <w:drawing>
          <wp:inline distT="0" distB="0" distL="114300" distR="114300">
            <wp:extent cx="5267960" cy="8857615"/>
            <wp:effectExtent l="0" t="0" r="8890" b="635"/>
            <wp:docPr id="2" name="图片 2" descr="110kV升压站及送出线路环境影响报告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10kV升压站及送出线路环境影响报告表_06"/>
                    <pic:cNvPicPr>
                      <a:picLocks noChangeAspect="1"/>
                    </pic:cNvPicPr>
                  </pic:nvPicPr>
                  <pic:blipFill>
                    <a:blip r:embed="rId31"/>
                    <a:stretch>
                      <a:fillRect/>
                    </a:stretch>
                  </pic:blipFill>
                  <pic:spPr>
                    <a:xfrm>
                      <a:off x="0" y="0"/>
                      <a:ext cx="5267960" cy="8857615"/>
                    </a:xfrm>
                    <a:prstGeom prst="rect">
                      <a:avLst/>
                    </a:prstGeom>
                  </pic:spPr>
                </pic:pic>
              </a:graphicData>
            </a:graphic>
          </wp:inline>
        </w:drawing>
      </w:r>
      <w:r>
        <w:rPr>
          <w:rFonts w:hint="eastAsia"/>
          <w:color w:val="auto"/>
          <w:lang w:val="en-US" w:eastAsia="zh-CN"/>
        </w:rPr>
        <w:drawing>
          <wp:inline distT="0" distB="0" distL="114300" distR="114300">
            <wp:extent cx="5267960" cy="8846820"/>
            <wp:effectExtent l="0" t="0" r="8890" b="11430"/>
            <wp:docPr id="1" name="图片 1" descr="110kV升压站及送出线路环境影响报告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10kV升压站及送出线路环境影响报告表_07"/>
                    <pic:cNvPicPr>
                      <a:picLocks noChangeAspect="1"/>
                    </pic:cNvPicPr>
                  </pic:nvPicPr>
                  <pic:blipFill>
                    <a:blip r:embed="rId32"/>
                    <a:stretch>
                      <a:fillRect/>
                    </a:stretch>
                  </pic:blipFill>
                  <pic:spPr>
                    <a:xfrm>
                      <a:off x="0" y="0"/>
                      <a:ext cx="5267960" cy="8846820"/>
                    </a:xfrm>
                    <a:prstGeom prst="rect">
                      <a:avLst/>
                    </a:prstGeom>
                  </pic:spPr>
                </pic:pic>
              </a:graphicData>
            </a:graphic>
          </wp:inline>
        </w:drawing>
      </w:r>
    </w:p>
    <w:p>
      <w:pPr>
        <w:pStyle w:val="3"/>
        <w:bidi w:val="0"/>
        <w:rPr>
          <w:rFonts w:hint="eastAsia"/>
          <w:color w:val="auto"/>
          <w:sz w:val="32"/>
          <w:szCs w:val="32"/>
          <w:lang w:val="en-US" w:eastAsia="zh-CN"/>
        </w:rPr>
      </w:pPr>
      <w:r>
        <w:rPr>
          <w:color w:val="auto"/>
          <w:sz w:val="32"/>
          <w:szCs w:val="32"/>
        </w:rPr>
        <w:t>附件</w:t>
      </w:r>
      <w:r>
        <w:rPr>
          <w:rFonts w:hint="eastAsia"/>
          <w:color w:val="auto"/>
          <w:sz w:val="32"/>
          <w:szCs w:val="32"/>
          <w:lang w:val="en-US" w:eastAsia="zh-CN"/>
        </w:rPr>
        <w:t>三</w:t>
      </w:r>
      <w:r>
        <w:rPr>
          <w:rFonts w:hint="eastAsia"/>
          <w:color w:val="auto"/>
          <w:sz w:val="32"/>
          <w:szCs w:val="32"/>
          <w:lang w:eastAsia="zh-CN"/>
        </w:rPr>
        <w:t>：</w:t>
      </w:r>
      <w:r>
        <w:rPr>
          <w:rFonts w:hint="eastAsia"/>
          <w:color w:val="auto"/>
          <w:sz w:val="32"/>
          <w:szCs w:val="32"/>
          <w:lang w:val="en-US" w:eastAsia="zh-CN"/>
        </w:rPr>
        <w:t>项目核准批复</w:t>
      </w:r>
    </w:p>
    <w:p>
      <w:pPr>
        <w:bidi w:val="0"/>
        <w:rPr>
          <w:rFonts w:hint="eastAsia"/>
          <w:color w:val="auto"/>
          <w:lang w:val="en-US" w:eastAsia="zh-CN"/>
        </w:rPr>
      </w:pPr>
      <w:r>
        <w:rPr>
          <w:rFonts w:hint="eastAsia"/>
          <w:color w:val="auto"/>
          <w:lang w:val="en-US" w:eastAsia="zh-CN"/>
        </w:rPr>
        <w:drawing>
          <wp:inline distT="0" distB="0" distL="114300" distR="114300">
            <wp:extent cx="5262880" cy="7981950"/>
            <wp:effectExtent l="0" t="0" r="13970" b="0"/>
            <wp:docPr id="17" name="图片 1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2"/>
                    <pic:cNvPicPr>
                      <a:picLocks noChangeAspect="1"/>
                    </pic:cNvPicPr>
                  </pic:nvPicPr>
                  <pic:blipFill>
                    <a:blip r:embed="rId33"/>
                    <a:stretch>
                      <a:fillRect/>
                    </a:stretch>
                  </pic:blipFill>
                  <pic:spPr>
                    <a:xfrm>
                      <a:off x="0" y="0"/>
                      <a:ext cx="5262880" cy="7981950"/>
                    </a:xfrm>
                    <a:prstGeom prst="rect">
                      <a:avLst/>
                    </a:prstGeom>
                  </pic:spPr>
                </pic:pic>
              </a:graphicData>
            </a:graphic>
          </wp:inline>
        </w:drawing>
      </w:r>
      <w:r>
        <w:rPr>
          <w:rFonts w:hint="eastAsia"/>
          <w:color w:val="auto"/>
          <w:lang w:val="en-US" w:eastAsia="zh-CN"/>
        </w:rPr>
        <w:drawing>
          <wp:inline distT="0" distB="0" distL="114300" distR="114300">
            <wp:extent cx="5266690" cy="8738870"/>
            <wp:effectExtent l="0" t="0" r="10160" b="5080"/>
            <wp:docPr id="16" name="图片 1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3"/>
                    <pic:cNvPicPr>
                      <a:picLocks noChangeAspect="1"/>
                    </pic:cNvPicPr>
                  </pic:nvPicPr>
                  <pic:blipFill>
                    <a:blip r:embed="rId34"/>
                    <a:stretch>
                      <a:fillRect/>
                    </a:stretch>
                  </pic:blipFill>
                  <pic:spPr>
                    <a:xfrm>
                      <a:off x="0" y="0"/>
                      <a:ext cx="5266690" cy="8738870"/>
                    </a:xfrm>
                    <a:prstGeom prst="rect">
                      <a:avLst/>
                    </a:prstGeom>
                  </pic:spPr>
                </pic:pic>
              </a:graphicData>
            </a:graphic>
          </wp:inline>
        </w:drawing>
      </w:r>
      <w:r>
        <w:rPr>
          <w:rFonts w:hint="eastAsia"/>
          <w:color w:val="auto"/>
          <w:lang w:val="en-US" w:eastAsia="zh-CN"/>
        </w:rPr>
        <w:drawing>
          <wp:inline distT="0" distB="0" distL="114300" distR="114300">
            <wp:extent cx="5269865" cy="8797925"/>
            <wp:effectExtent l="0" t="0" r="6985" b="3175"/>
            <wp:docPr id="15" name="图片 1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4"/>
                    <pic:cNvPicPr>
                      <a:picLocks noChangeAspect="1"/>
                    </pic:cNvPicPr>
                  </pic:nvPicPr>
                  <pic:blipFill>
                    <a:blip r:embed="rId35"/>
                    <a:stretch>
                      <a:fillRect/>
                    </a:stretch>
                  </pic:blipFill>
                  <pic:spPr>
                    <a:xfrm>
                      <a:off x="0" y="0"/>
                      <a:ext cx="5269865" cy="8797925"/>
                    </a:xfrm>
                    <a:prstGeom prst="rect">
                      <a:avLst/>
                    </a:prstGeom>
                  </pic:spPr>
                </pic:pic>
              </a:graphicData>
            </a:graphic>
          </wp:inline>
        </w:drawing>
      </w:r>
      <w:r>
        <w:rPr>
          <w:rFonts w:hint="eastAsia"/>
          <w:color w:val="auto"/>
          <w:lang w:val="en-US" w:eastAsia="zh-CN"/>
        </w:rPr>
        <w:drawing>
          <wp:inline distT="0" distB="0" distL="114300" distR="114300">
            <wp:extent cx="5273040" cy="8785225"/>
            <wp:effectExtent l="0" t="0" r="3810" b="15875"/>
            <wp:docPr id="14" name="图片 14"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5"/>
                    <pic:cNvPicPr>
                      <a:picLocks noChangeAspect="1"/>
                    </pic:cNvPicPr>
                  </pic:nvPicPr>
                  <pic:blipFill>
                    <a:blip r:embed="rId36"/>
                    <a:stretch>
                      <a:fillRect/>
                    </a:stretch>
                  </pic:blipFill>
                  <pic:spPr>
                    <a:xfrm>
                      <a:off x="0" y="0"/>
                      <a:ext cx="5273040" cy="8785225"/>
                    </a:xfrm>
                    <a:prstGeom prst="rect">
                      <a:avLst/>
                    </a:prstGeom>
                  </pic:spPr>
                </pic:pic>
              </a:graphicData>
            </a:graphic>
          </wp:inline>
        </w:drawing>
      </w:r>
    </w:p>
    <w:p>
      <w:pPr>
        <w:jc w:val="left"/>
        <w:rPr>
          <w:rFonts w:ascii="Times New Roman" w:hAnsi="Times New Roman" w:eastAsia="宋体"/>
          <w:b/>
          <w:color w:val="auto"/>
          <w:sz w:val="32"/>
          <w:szCs w:val="32"/>
        </w:rPr>
      </w:pPr>
      <w:r>
        <w:rPr>
          <w:rFonts w:hint="eastAsia"/>
          <w:b/>
          <w:color w:val="auto"/>
          <w:sz w:val="32"/>
          <w:szCs w:val="32"/>
          <w:lang w:val="en-US" w:eastAsia="zh-CN"/>
        </w:rPr>
        <w:t>附件四：自然保护区管理局回函</w:t>
      </w:r>
      <w:r>
        <w:rPr>
          <w:position w:val="-283"/>
        </w:rPr>
        <w:drawing>
          <wp:inline distT="0" distB="0" distL="0" distR="0">
            <wp:extent cx="5303520" cy="8391525"/>
            <wp:effectExtent l="0" t="0" r="11430" b="9525"/>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7"/>
                    <a:stretch>
                      <a:fillRect/>
                    </a:stretch>
                  </pic:blipFill>
                  <pic:spPr>
                    <a:xfrm>
                      <a:off x="0" y="0"/>
                      <a:ext cx="5303520" cy="8391525"/>
                    </a:xfrm>
                    <a:prstGeom prst="rect">
                      <a:avLst/>
                    </a:prstGeom>
                  </pic:spPr>
                </pic:pic>
              </a:graphicData>
            </a:graphic>
          </wp:inline>
        </w:drawing>
      </w:r>
      <w:r>
        <w:rPr>
          <w:rFonts w:ascii="Times New Roman" w:hAnsi="Times New Roman" w:eastAsia="宋体"/>
          <w:b/>
          <w:color w:val="auto"/>
          <w:sz w:val="32"/>
          <w:szCs w:val="32"/>
        </w:rPr>
        <w:br w:type="page"/>
      </w:r>
    </w:p>
    <w:p>
      <w:pPr>
        <w:rPr>
          <w:rFonts w:ascii="Times New Roman" w:hAnsi="Times New Roman" w:eastAsia="宋体"/>
          <w:b/>
          <w:color w:val="auto"/>
          <w:sz w:val="32"/>
          <w:szCs w:val="32"/>
        </w:rPr>
      </w:pPr>
      <w:r>
        <w:rPr>
          <w:position w:val="-283"/>
        </w:rPr>
        <w:drawing>
          <wp:inline distT="0" distB="0" distL="0" distR="0">
            <wp:extent cx="5278120" cy="8714740"/>
            <wp:effectExtent l="0" t="0" r="17780" b="1016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8"/>
                    <a:stretch>
                      <a:fillRect/>
                    </a:stretch>
                  </pic:blipFill>
                  <pic:spPr>
                    <a:xfrm>
                      <a:off x="0" y="0"/>
                      <a:ext cx="5278120" cy="8714740"/>
                    </a:xfrm>
                    <a:prstGeom prst="rect">
                      <a:avLst/>
                    </a:prstGeom>
                  </pic:spPr>
                </pic:pic>
              </a:graphicData>
            </a:graphic>
          </wp:inline>
        </w:drawing>
      </w:r>
      <w:r>
        <w:rPr>
          <w:rFonts w:ascii="Times New Roman" w:hAnsi="Times New Roman" w:eastAsia="宋体"/>
          <w:b/>
          <w:color w:val="auto"/>
          <w:sz w:val="32"/>
          <w:szCs w:val="32"/>
        </w:rPr>
        <w:br w:type="page"/>
      </w:r>
    </w:p>
    <w:p>
      <w:pPr>
        <w:jc w:val="left"/>
        <w:rPr>
          <w:rFonts w:ascii="Times New Roman" w:hAnsi="Times New Roman" w:eastAsia="宋体"/>
          <w:b/>
          <w:color w:val="auto"/>
          <w:sz w:val="32"/>
          <w:szCs w:val="32"/>
        </w:rPr>
      </w:pPr>
      <w:r>
        <w:rPr>
          <w:rFonts w:hint="eastAsia"/>
          <w:b/>
          <w:color w:val="auto"/>
          <w:sz w:val="32"/>
          <w:szCs w:val="32"/>
          <w:lang w:val="en-US" w:eastAsia="zh-CN"/>
        </w:rPr>
        <w:t>附件五：水务局回函</w:t>
      </w:r>
      <w:r>
        <w:rPr>
          <w:rFonts w:ascii="Times New Roman" w:hAnsi="Times New Roman" w:eastAsia="宋体"/>
          <w:b/>
          <w:color w:val="auto"/>
          <w:sz w:val="32"/>
          <w:szCs w:val="32"/>
        </w:rPr>
        <w:drawing>
          <wp:inline distT="0" distB="0" distL="114300" distR="114300">
            <wp:extent cx="5267960" cy="8346440"/>
            <wp:effectExtent l="0" t="0" r="8890" b="16510"/>
            <wp:docPr id="25" name="图片 25" descr="6、水务局回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6、水务局回函_00"/>
                    <pic:cNvPicPr>
                      <a:picLocks noChangeAspect="1"/>
                    </pic:cNvPicPr>
                  </pic:nvPicPr>
                  <pic:blipFill>
                    <a:blip r:embed="rId39"/>
                    <a:stretch>
                      <a:fillRect/>
                    </a:stretch>
                  </pic:blipFill>
                  <pic:spPr>
                    <a:xfrm>
                      <a:off x="0" y="0"/>
                      <a:ext cx="5267960" cy="8346440"/>
                    </a:xfrm>
                    <a:prstGeom prst="rect">
                      <a:avLst/>
                    </a:prstGeom>
                  </pic:spPr>
                </pic:pic>
              </a:graphicData>
            </a:graphic>
          </wp:inline>
        </w:drawing>
      </w:r>
      <w:r>
        <w:rPr>
          <w:rFonts w:ascii="Times New Roman" w:hAnsi="Times New Roman" w:eastAsia="宋体"/>
          <w:b/>
          <w:color w:val="auto"/>
          <w:sz w:val="32"/>
          <w:szCs w:val="32"/>
        </w:rPr>
        <w:br w:type="page"/>
      </w:r>
    </w:p>
    <w:p>
      <w:pPr>
        <w:rPr>
          <w:rFonts w:ascii="Times New Roman" w:hAnsi="Times New Roman" w:eastAsia="宋体"/>
          <w:b/>
          <w:color w:val="auto"/>
          <w:sz w:val="32"/>
          <w:szCs w:val="32"/>
        </w:rPr>
      </w:pPr>
      <w:r>
        <w:rPr>
          <w:rFonts w:ascii="Times New Roman" w:hAnsi="Times New Roman" w:eastAsia="宋体"/>
          <w:b/>
          <w:color w:val="auto"/>
          <w:sz w:val="32"/>
          <w:szCs w:val="32"/>
        </w:rPr>
        <w:drawing>
          <wp:inline distT="0" distB="0" distL="114300" distR="114300">
            <wp:extent cx="5267960" cy="8739505"/>
            <wp:effectExtent l="0" t="0" r="8890" b="4445"/>
            <wp:docPr id="26" name="图片 26" descr="6、水务局回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6、水务局回函_01"/>
                    <pic:cNvPicPr>
                      <a:picLocks noChangeAspect="1"/>
                    </pic:cNvPicPr>
                  </pic:nvPicPr>
                  <pic:blipFill>
                    <a:blip r:embed="rId40"/>
                    <a:stretch>
                      <a:fillRect/>
                    </a:stretch>
                  </pic:blipFill>
                  <pic:spPr>
                    <a:xfrm>
                      <a:off x="0" y="0"/>
                      <a:ext cx="5267960" cy="8739505"/>
                    </a:xfrm>
                    <a:prstGeom prst="rect">
                      <a:avLst/>
                    </a:prstGeom>
                  </pic:spPr>
                </pic:pic>
              </a:graphicData>
            </a:graphic>
          </wp:inline>
        </w:drawing>
      </w:r>
    </w:p>
    <w:p>
      <w:pPr>
        <w:rPr>
          <w:rFonts w:ascii="Times New Roman" w:hAnsi="Times New Roman" w:eastAsia="宋体"/>
          <w:b/>
          <w:color w:val="auto"/>
          <w:sz w:val="32"/>
          <w:szCs w:val="32"/>
        </w:rPr>
      </w:pPr>
      <w:r>
        <w:rPr>
          <w:rFonts w:ascii="Times New Roman" w:hAnsi="Times New Roman" w:eastAsia="宋体"/>
          <w:b/>
          <w:color w:val="auto"/>
          <w:sz w:val="32"/>
          <w:szCs w:val="32"/>
        </w:rPr>
        <w:drawing>
          <wp:inline distT="0" distB="0" distL="114300" distR="114300">
            <wp:extent cx="5267960" cy="8775065"/>
            <wp:effectExtent l="0" t="0" r="8890" b="6985"/>
            <wp:docPr id="27" name="图片 27" descr="6、水务局回函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6、水务局回函_02"/>
                    <pic:cNvPicPr>
                      <a:picLocks noChangeAspect="1"/>
                    </pic:cNvPicPr>
                  </pic:nvPicPr>
                  <pic:blipFill>
                    <a:blip r:embed="rId41"/>
                    <a:stretch>
                      <a:fillRect/>
                    </a:stretch>
                  </pic:blipFill>
                  <pic:spPr>
                    <a:xfrm>
                      <a:off x="0" y="0"/>
                      <a:ext cx="5267960" cy="8775065"/>
                    </a:xfrm>
                    <a:prstGeom prst="rect">
                      <a:avLst/>
                    </a:prstGeom>
                  </pic:spPr>
                </pic:pic>
              </a:graphicData>
            </a:graphic>
          </wp:inline>
        </w:drawing>
      </w:r>
      <w:r>
        <w:rPr>
          <w:rFonts w:ascii="Times New Roman" w:hAnsi="Times New Roman" w:eastAsia="宋体"/>
          <w:b/>
          <w:color w:val="auto"/>
          <w:sz w:val="32"/>
          <w:szCs w:val="32"/>
        </w:rPr>
        <w:br w:type="page"/>
      </w:r>
    </w:p>
    <w:p>
      <w:pPr>
        <w:pStyle w:val="3"/>
        <w:bidi w:val="0"/>
        <w:rPr>
          <w:rFonts w:ascii="Times New Roman" w:hAnsi="Times New Roman" w:eastAsia="宋体"/>
          <w:b/>
          <w:color w:val="auto"/>
          <w:sz w:val="32"/>
          <w:szCs w:val="32"/>
        </w:rPr>
      </w:pPr>
      <w:r>
        <w:rPr>
          <w:rFonts w:ascii="Times New Roman" w:hAnsi="Times New Roman" w:eastAsia="宋体"/>
          <w:b/>
          <w:color w:val="auto"/>
          <w:sz w:val="32"/>
          <w:szCs w:val="32"/>
        </w:rPr>
        <w:t>附件</w:t>
      </w:r>
      <w:r>
        <w:rPr>
          <w:rFonts w:hint="eastAsia"/>
          <w:b/>
          <w:color w:val="auto"/>
          <w:sz w:val="32"/>
          <w:szCs w:val="32"/>
          <w:lang w:val="en-US" w:eastAsia="zh-CN"/>
        </w:rPr>
        <w:t>六</w:t>
      </w:r>
      <w:r>
        <w:rPr>
          <w:rFonts w:hint="eastAsia" w:ascii="Times New Roman" w:hAnsi="Times New Roman" w:eastAsia="宋体"/>
          <w:b/>
          <w:color w:val="auto"/>
          <w:sz w:val="32"/>
          <w:szCs w:val="32"/>
          <w:lang w:eastAsia="zh-CN"/>
        </w:rPr>
        <w:t>：</w:t>
      </w:r>
      <w:r>
        <w:rPr>
          <w:rFonts w:ascii="Times New Roman" w:hAnsi="Times New Roman" w:eastAsia="宋体"/>
          <w:b/>
          <w:color w:val="auto"/>
          <w:sz w:val="32"/>
          <w:szCs w:val="32"/>
        </w:rPr>
        <w:t>危废处置协议</w:t>
      </w:r>
    </w:p>
    <w:p>
      <w:pPr>
        <w:rPr>
          <w:color w:val="auto"/>
          <w:sz w:val="28"/>
          <w:szCs w:val="28"/>
        </w:rPr>
      </w:pPr>
      <w:r>
        <w:rPr>
          <w:rFonts w:hint="eastAsia" w:eastAsia="宋体"/>
          <w:color w:val="auto"/>
          <w:lang w:val="en-US" w:eastAsia="zh-CN"/>
        </w:rPr>
        <w:drawing>
          <wp:inline distT="0" distB="0" distL="114300" distR="114300">
            <wp:extent cx="5271135" cy="8014970"/>
            <wp:effectExtent l="0" t="0" r="5715" b="5080"/>
            <wp:docPr id="37" name="图片 37" descr="危废处置协议(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危废处置协议(1)_00"/>
                    <pic:cNvPicPr>
                      <a:picLocks noChangeAspect="1"/>
                    </pic:cNvPicPr>
                  </pic:nvPicPr>
                  <pic:blipFill>
                    <a:blip r:embed="rId42"/>
                    <a:stretch>
                      <a:fillRect/>
                    </a:stretch>
                  </pic:blipFill>
                  <pic:spPr>
                    <a:xfrm>
                      <a:off x="0" y="0"/>
                      <a:ext cx="5271135" cy="8014970"/>
                    </a:xfrm>
                    <a:prstGeom prst="rect">
                      <a:avLst/>
                    </a:prstGeom>
                  </pic:spPr>
                </pic:pic>
              </a:graphicData>
            </a:graphic>
          </wp:inline>
        </w:drawing>
      </w:r>
      <w:r>
        <w:rPr>
          <w:rFonts w:hint="eastAsia" w:eastAsia="宋体"/>
          <w:color w:val="auto"/>
          <w:lang w:val="en-US" w:eastAsia="zh-CN"/>
        </w:rPr>
        <w:drawing>
          <wp:inline distT="0" distB="0" distL="114300" distR="114300">
            <wp:extent cx="5271135" cy="8776335"/>
            <wp:effectExtent l="0" t="0" r="5715" b="5715"/>
            <wp:docPr id="36" name="图片 36" descr="危废处置协议(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危废处置协议(1)_01"/>
                    <pic:cNvPicPr>
                      <a:picLocks noChangeAspect="1"/>
                    </pic:cNvPicPr>
                  </pic:nvPicPr>
                  <pic:blipFill>
                    <a:blip r:embed="rId43"/>
                    <a:stretch>
                      <a:fillRect/>
                    </a:stretch>
                  </pic:blipFill>
                  <pic:spPr>
                    <a:xfrm>
                      <a:off x="0" y="0"/>
                      <a:ext cx="5271135" cy="8776335"/>
                    </a:xfrm>
                    <a:prstGeom prst="rect">
                      <a:avLst/>
                    </a:prstGeom>
                  </pic:spPr>
                </pic:pic>
              </a:graphicData>
            </a:graphic>
          </wp:inline>
        </w:drawing>
      </w:r>
      <w:r>
        <w:rPr>
          <w:rFonts w:hint="eastAsia" w:eastAsia="宋体"/>
          <w:color w:val="auto"/>
          <w:lang w:val="en-US" w:eastAsia="zh-CN"/>
        </w:rPr>
        <w:drawing>
          <wp:inline distT="0" distB="0" distL="114300" distR="114300">
            <wp:extent cx="5271135" cy="8839835"/>
            <wp:effectExtent l="0" t="0" r="5715" b="18415"/>
            <wp:docPr id="35" name="图片 35" descr="危废处置协议(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危废处置协议(1)_02"/>
                    <pic:cNvPicPr>
                      <a:picLocks noChangeAspect="1"/>
                    </pic:cNvPicPr>
                  </pic:nvPicPr>
                  <pic:blipFill>
                    <a:blip r:embed="rId44"/>
                    <a:stretch>
                      <a:fillRect/>
                    </a:stretch>
                  </pic:blipFill>
                  <pic:spPr>
                    <a:xfrm>
                      <a:off x="0" y="0"/>
                      <a:ext cx="5271135" cy="8839835"/>
                    </a:xfrm>
                    <a:prstGeom prst="rect">
                      <a:avLst/>
                    </a:prstGeom>
                  </pic:spPr>
                </pic:pic>
              </a:graphicData>
            </a:graphic>
          </wp:inline>
        </w:drawing>
      </w:r>
      <w:r>
        <w:rPr>
          <w:rFonts w:hint="eastAsia" w:eastAsia="宋体"/>
          <w:color w:val="auto"/>
          <w:lang w:val="en-US" w:eastAsia="zh-CN"/>
        </w:rPr>
        <w:drawing>
          <wp:inline distT="0" distB="0" distL="114300" distR="114300">
            <wp:extent cx="5271135" cy="8902700"/>
            <wp:effectExtent l="0" t="0" r="5715" b="12700"/>
            <wp:docPr id="34" name="图片 34" descr="危废处置协议(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危废处置协议(1)_03"/>
                    <pic:cNvPicPr>
                      <a:picLocks noChangeAspect="1"/>
                    </pic:cNvPicPr>
                  </pic:nvPicPr>
                  <pic:blipFill>
                    <a:blip r:embed="rId45"/>
                    <a:stretch>
                      <a:fillRect/>
                    </a:stretch>
                  </pic:blipFill>
                  <pic:spPr>
                    <a:xfrm>
                      <a:off x="0" y="0"/>
                      <a:ext cx="5271135" cy="8902700"/>
                    </a:xfrm>
                    <a:prstGeom prst="rect">
                      <a:avLst/>
                    </a:prstGeom>
                  </pic:spPr>
                </pic:pic>
              </a:graphicData>
            </a:graphic>
          </wp:inline>
        </w:drawing>
      </w:r>
      <w:r>
        <w:rPr>
          <w:rFonts w:hint="eastAsia" w:eastAsia="宋体"/>
          <w:color w:val="auto"/>
          <w:lang w:val="en-US" w:eastAsia="zh-CN"/>
        </w:rPr>
        <w:drawing>
          <wp:inline distT="0" distB="0" distL="114300" distR="114300">
            <wp:extent cx="5271135" cy="8797290"/>
            <wp:effectExtent l="0" t="0" r="5715" b="3810"/>
            <wp:docPr id="33" name="图片 33" descr="危废处置协议(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危废处置协议(1)_04"/>
                    <pic:cNvPicPr>
                      <a:picLocks noChangeAspect="1"/>
                    </pic:cNvPicPr>
                  </pic:nvPicPr>
                  <pic:blipFill>
                    <a:blip r:embed="rId46"/>
                    <a:stretch>
                      <a:fillRect/>
                    </a:stretch>
                  </pic:blipFill>
                  <pic:spPr>
                    <a:xfrm>
                      <a:off x="0" y="0"/>
                      <a:ext cx="5271135" cy="8797290"/>
                    </a:xfrm>
                    <a:prstGeom prst="rect">
                      <a:avLst/>
                    </a:prstGeom>
                  </pic:spPr>
                </pic:pic>
              </a:graphicData>
            </a:graphic>
          </wp:inline>
        </w:drawing>
      </w:r>
    </w:p>
    <w:p>
      <w:pPr>
        <w:pStyle w:val="3"/>
        <w:bidi w:val="0"/>
        <w:rPr>
          <w:rFonts w:hint="eastAsia" w:ascii="Times New Roman" w:hAnsi="Times New Roman" w:eastAsia="宋体"/>
          <w:b/>
          <w:color w:val="auto"/>
          <w:sz w:val="32"/>
          <w:szCs w:val="32"/>
          <w:lang w:val="en-US" w:eastAsia="zh-CN"/>
        </w:rPr>
      </w:pPr>
      <w:r>
        <w:rPr>
          <w:rFonts w:ascii="Times New Roman" w:hAnsi="Times New Roman" w:eastAsia="宋体"/>
          <w:b/>
          <w:color w:val="auto"/>
          <w:sz w:val="32"/>
          <w:szCs w:val="32"/>
        </w:rPr>
        <w:t>附件</w:t>
      </w:r>
      <w:r>
        <w:rPr>
          <w:rFonts w:hint="eastAsia"/>
          <w:b/>
          <w:color w:val="auto"/>
          <w:sz w:val="32"/>
          <w:szCs w:val="32"/>
          <w:lang w:val="en-US" w:eastAsia="zh-CN"/>
        </w:rPr>
        <w:t>七</w:t>
      </w:r>
      <w:r>
        <w:rPr>
          <w:rFonts w:hint="eastAsia" w:ascii="Times New Roman" w:hAnsi="Times New Roman" w:eastAsia="宋体"/>
          <w:b/>
          <w:color w:val="auto"/>
          <w:sz w:val="32"/>
          <w:szCs w:val="32"/>
          <w:lang w:eastAsia="zh-CN"/>
        </w:rPr>
        <w:t>：</w:t>
      </w:r>
      <w:r>
        <w:rPr>
          <w:rFonts w:hint="eastAsia" w:ascii="Times New Roman" w:hAnsi="Times New Roman" w:eastAsia="宋体"/>
          <w:b/>
          <w:color w:val="auto"/>
          <w:sz w:val="32"/>
          <w:szCs w:val="32"/>
          <w:lang w:val="en-US" w:eastAsia="zh-CN"/>
        </w:rPr>
        <w:t>检测报告</w:t>
      </w:r>
    </w:p>
    <w:p>
      <w:pPr>
        <w:bidi w:val="0"/>
        <w:rPr>
          <w:rFonts w:hint="eastAsia"/>
          <w:color w:val="auto"/>
          <w:lang w:val="en-US" w:eastAsia="zh-CN"/>
        </w:rPr>
      </w:pPr>
      <w:r>
        <w:rPr>
          <w:rFonts w:hint="eastAsia"/>
          <w:color w:val="auto"/>
          <w:lang w:val="en-US" w:eastAsia="zh-CN"/>
        </w:rPr>
        <w:drawing>
          <wp:inline distT="0" distB="0" distL="114300" distR="114300">
            <wp:extent cx="5271135" cy="8056245"/>
            <wp:effectExtent l="0" t="0" r="5715" b="1905"/>
            <wp:docPr id="57" name="图片 57" descr="09-198 高台县北部滩百万千瓦风电基地40万千瓦风电项目110kV升压站及送出线路工程竣工环境保护验收检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09-198 高台县北部滩百万千瓦风电基地40万千瓦风电项目110kV升压站及送出线路工程竣工环境保护验收检测_00"/>
                    <pic:cNvPicPr>
                      <a:picLocks noChangeAspect="1"/>
                    </pic:cNvPicPr>
                  </pic:nvPicPr>
                  <pic:blipFill>
                    <a:blip r:embed="rId47"/>
                    <a:stretch>
                      <a:fillRect/>
                    </a:stretch>
                  </pic:blipFill>
                  <pic:spPr>
                    <a:xfrm>
                      <a:off x="0" y="0"/>
                      <a:ext cx="5271135" cy="8056245"/>
                    </a:xfrm>
                    <a:prstGeom prst="rect">
                      <a:avLst/>
                    </a:prstGeom>
                  </pic:spPr>
                </pic:pic>
              </a:graphicData>
            </a:graphic>
          </wp:inline>
        </w:drawing>
      </w:r>
      <w:r>
        <w:rPr>
          <w:rFonts w:hint="eastAsia"/>
          <w:color w:val="auto"/>
          <w:lang w:val="en-US" w:eastAsia="zh-CN"/>
        </w:rPr>
        <w:drawing>
          <wp:inline distT="0" distB="0" distL="114300" distR="114300">
            <wp:extent cx="5271135" cy="8744585"/>
            <wp:effectExtent l="0" t="0" r="5715" b="18415"/>
            <wp:docPr id="56" name="图片 56" descr="09-198 高台县北部滩百万千瓦风电基地40万千瓦风电项目110kV升压站及送出线路工程竣工环境保护验收检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09-198 高台县北部滩百万千瓦风电基地40万千瓦风电项目110kV升压站及送出线路工程竣工环境保护验收检测_01"/>
                    <pic:cNvPicPr>
                      <a:picLocks noChangeAspect="1"/>
                    </pic:cNvPicPr>
                  </pic:nvPicPr>
                  <pic:blipFill>
                    <a:blip r:embed="rId48"/>
                    <a:stretch>
                      <a:fillRect/>
                    </a:stretch>
                  </pic:blipFill>
                  <pic:spPr>
                    <a:xfrm>
                      <a:off x="0" y="0"/>
                      <a:ext cx="5271135" cy="8744585"/>
                    </a:xfrm>
                    <a:prstGeom prst="rect">
                      <a:avLst/>
                    </a:prstGeom>
                  </pic:spPr>
                </pic:pic>
              </a:graphicData>
            </a:graphic>
          </wp:inline>
        </w:drawing>
      </w:r>
      <w:r>
        <w:rPr>
          <w:rFonts w:hint="eastAsia"/>
          <w:color w:val="auto"/>
          <w:lang w:val="en-US" w:eastAsia="zh-CN"/>
        </w:rPr>
        <w:drawing>
          <wp:inline distT="0" distB="0" distL="114300" distR="114300">
            <wp:extent cx="5271135" cy="8849360"/>
            <wp:effectExtent l="0" t="0" r="5715" b="8890"/>
            <wp:docPr id="55" name="图片 55" descr="09-198 高台县北部滩百万千瓦风电基地40万千瓦风电项目110kV升压站及送出线路工程竣工环境保护验收检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9-198 高台县北部滩百万千瓦风电基地40万千瓦风电项目110kV升压站及送出线路工程竣工环境保护验收检测_02"/>
                    <pic:cNvPicPr>
                      <a:picLocks noChangeAspect="1"/>
                    </pic:cNvPicPr>
                  </pic:nvPicPr>
                  <pic:blipFill>
                    <a:blip r:embed="rId49"/>
                    <a:stretch>
                      <a:fillRect/>
                    </a:stretch>
                  </pic:blipFill>
                  <pic:spPr>
                    <a:xfrm>
                      <a:off x="0" y="0"/>
                      <a:ext cx="5271135" cy="8849360"/>
                    </a:xfrm>
                    <a:prstGeom prst="rect">
                      <a:avLst/>
                    </a:prstGeom>
                  </pic:spPr>
                </pic:pic>
              </a:graphicData>
            </a:graphic>
          </wp:inline>
        </w:drawing>
      </w:r>
      <w:r>
        <w:rPr>
          <w:rFonts w:hint="eastAsia"/>
          <w:color w:val="auto"/>
          <w:lang w:val="en-US" w:eastAsia="zh-CN"/>
        </w:rPr>
        <w:drawing>
          <wp:inline distT="0" distB="0" distL="114300" distR="114300">
            <wp:extent cx="5271135" cy="8712835"/>
            <wp:effectExtent l="0" t="0" r="5715" b="12065"/>
            <wp:docPr id="54" name="图片 54" descr="09-198 高台县北部滩百万千瓦风电基地40万千瓦风电项目110kV升压站及送出线路工程竣工环境保护验收检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09-198 高台县北部滩百万千瓦风电基地40万千瓦风电项目110kV升压站及送出线路工程竣工环境保护验收检测_03"/>
                    <pic:cNvPicPr>
                      <a:picLocks noChangeAspect="1"/>
                    </pic:cNvPicPr>
                  </pic:nvPicPr>
                  <pic:blipFill>
                    <a:blip r:embed="rId50"/>
                    <a:stretch>
                      <a:fillRect/>
                    </a:stretch>
                  </pic:blipFill>
                  <pic:spPr>
                    <a:xfrm>
                      <a:off x="0" y="0"/>
                      <a:ext cx="5271135" cy="8712835"/>
                    </a:xfrm>
                    <a:prstGeom prst="rect">
                      <a:avLst/>
                    </a:prstGeom>
                  </pic:spPr>
                </pic:pic>
              </a:graphicData>
            </a:graphic>
          </wp:inline>
        </w:drawing>
      </w:r>
      <w:r>
        <w:rPr>
          <w:rFonts w:hint="eastAsia"/>
          <w:color w:val="auto"/>
          <w:lang w:val="en-US" w:eastAsia="zh-CN"/>
        </w:rPr>
        <w:drawing>
          <wp:inline distT="0" distB="0" distL="114300" distR="114300">
            <wp:extent cx="5271135" cy="8818245"/>
            <wp:effectExtent l="0" t="0" r="5715" b="1905"/>
            <wp:docPr id="53" name="图片 53" descr="09-198 高台县北部滩百万千瓦风电基地40万千瓦风电项目110kV升压站及送出线路工程竣工环境保护验收检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9-198 高台县北部滩百万千瓦风电基地40万千瓦风电项目110kV升压站及送出线路工程竣工环境保护验收检测_04"/>
                    <pic:cNvPicPr>
                      <a:picLocks noChangeAspect="1"/>
                    </pic:cNvPicPr>
                  </pic:nvPicPr>
                  <pic:blipFill>
                    <a:blip r:embed="rId51"/>
                    <a:stretch>
                      <a:fillRect/>
                    </a:stretch>
                  </pic:blipFill>
                  <pic:spPr>
                    <a:xfrm>
                      <a:off x="0" y="0"/>
                      <a:ext cx="5271135" cy="8818245"/>
                    </a:xfrm>
                    <a:prstGeom prst="rect">
                      <a:avLst/>
                    </a:prstGeom>
                  </pic:spPr>
                </pic:pic>
              </a:graphicData>
            </a:graphic>
          </wp:inline>
        </w:drawing>
      </w:r>
      <w:r>
        <w:rPr>
          <w:rFonts w:hint="eastAsia"/>
          <w:color w:val="auto"/>
          <w:lang w:val="en-US" w:eastAsia="zh-CN"/>
        </w:rPr>
        <w:drawing>
          <wp:inline distT="0" distB="0" distL="114300" distR="114300">
            <wp:extent cx="5271135" cy="8839835"/>
            <wp:effectExtent l="0" t="0" r="5715" b="18415"/>
            <wp:docPr id="52" name="图片 52" descr="09-198 高台县北部滩百万千瓦风电基地40万千瓦风电项目110kV升压站及送出线路工程竣工环境保护验收检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09-198 高台县北部滩百万千瓦风电基地40万千瓦风电项目110kV升压站及送出线路工程竣工环境保护验收检测_05"/>
                    <pic:cNvPicPr>
                      <a:picLocks noChangeAspect="1"/>
                    </pic:cNvPicPr>
                  </pic:nvPicPr>
                  <pic:blipFill>
                    <a:blip r:embed="rId52"/>
                    <a:stretch>
                      <a:fillRect/>
                    </a:stretch>
                  </pic:blipFill>
                  <pic:spPr>
                    <a:xfrm>
                      <a:off x="0" y="0"/>
                      <a:ext cx="5271135" cy="8839835"/>
                    </a:xfrm>
                    <a:prstGeom prst="rect">
                      <a:avLst/>
                    </a:prstGeom>
                  </pic:spPr>
                </pic:pic>
              </a:graphicData>
            </a:graphic>
          </wp:inline>
        </w:drawing>
      </w:r>
      <w:r>
        <w:rPr>
          <w:rFonts w:hint="eastAsia"/>
          <w:color w:val="auto"/>
          <w:lang w:val="en-US" w:eastAsia="zh-CN"/>
        </w:rPr>
        <w:drawing>
          <wp:inline distT="0" distB="0" distL="114300" distR="114300">
            <wp:extent cx="5271135" cy="8712835"/>
            <wp:effectExtent l="0" t="0" r="5715" b="12065"/>
            <wp:docPr id="51" name="图片 51" descr="09-198 高台县北部滩百万千瓦风电基地40万千瓦风电项目110kV升压站及送出线路工程竣工环境保护验收检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09-198 高台县北部滩百万千瓦风电基地40万千瓦风电项目110kV升压站及送出线路工程竣工环境保护验收检测_06"/>
                    <pic:cNvPicPr>
                      <a:picLocks noChangeAspect="1"/>
                    </pic:cNvPicPr>
                  </pic:nvPicPr>
                  <pic:blipFill>
                    <a:blip r:embed="rId53"/>
                    <a:stretch>
                      <a:fillRect/>
                    </a:stretch>
                  </pic:blipFill>
                  <pic:spPr>
                    <a:xfrm>
                      <a:off x="0" y="0"/>
                      <a:ext cx="5271135" cy="8712835"/>
                    </a:xfrm>
                    <a:prstGeom prst="rect">
                      <a:avLst/>
                    </a:prstGeom>
                  </pic:spPr>
                </pic:pic>
              </a:graphicData>
            </a:graphic>
          </wp:inline>
        </w:drawing>
      </w:r>
      <w:r>
        <w:rPr>
          <w:rFonts w:hint="eastAsia"/>
          <w:color w:val="auto"/>
          <w:lang w:val="en-US" w:eastAsia="zh-CN"/>
        </w:rPr>
        <w:drawing>
          <wp:inline distT="0" distB="0" distL="114300" distR="114300">
            <wp:extent cx="5271135" cy="8775065"/>
            <wp:effectExtent l="0" t="0" r="5715" b="6985"/>
            <wp:docPr id="50" name="图片 50" descr="09-198 高台县北部滩百万千瓦风电基地40万千瓦风电项目110kV升压站及送出线路工程竣工环境保护验收检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09-198 高台县北部滩百万千瓦风电基地40万千瓦风电项目110kV升压站及送出线路工程竣工环境保护验收检测_07"/>
                    <pic:cNvPicPr>
                      <a:picLocks noChangeAspect="1"/>
                    </pic:cNvPicPr>
                  </pic:nvPicPr>
                  <pic:blipFill>
                    <a:blip r:embed="rId54"/>
                    <a:stretch>
                      <a:fillRect/>
                    </a:stretch>
                  </pic:blipFill>
                  <pic:spPr>
                    <a:xfrm>
                      <a:off x="0" y="0"/>
                      <a:ext cx="5271135" cy="8775065"/>
                    </a:xfrm>
                    <a:prstGeom prst="rect">
                      <a:avLst/>
                    </a:prstGeom>
                  </pic:spPr>
                </pic:pic>
              </a:graphicData>
            </a:graphic>
          </wp:inline>
        </w:drawing>
      </w:r>
      <w:r>
        <w:rPr>
          <w:rFonts w:hint="eastAsia"/>
          <w:color w:val="auto"/>
          <w:lang w:val="en-US" w:eastAsia="zh-CN"/>
        </w:rPr>
        <w:drawing>
          <wp:inline distT="0" distB="0" distL="114300" distR="114300">
            <wp:extent cx="5271135" cy="8722995"/>
            <wp:effectExtent l="0" t="0" r="5715" b="1905"/>
            <wp:docPr id="49" name="图片 49" descr="09-198 高台县北部滩百万千瓦风电基地40万千瓦风电项目110kV升压站及送出线路工程竣工环境保护验收检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9-198 高台县北部滩百万千瓦风电基地40万千瓦风电项目110kV升压站及送出线路工程竣工环境保护验收检测_08"/>
                    <pic:cNvPicPr>
                      <a:picLocks noChangeAspect="1"/>
                    </pic:cNvPicPr>
                  </pic:nvPicPr>
                  <pic:blipFill>
                    <a:blip r:embed="rId55"/>
                    <a:stretch>
                      <a:fillRect/>
                    </a:stretch>
                  </pic:blipFill>
                  <pic:spPr>
                    <a:xfrm>
                      <a:off x="0" y="0"/>
                      <a:ext cx="5271135" cy="8722995"/>
                    </a:xfrm>
                    <a:prstGeom prst="rect">
                      <a:avLst/>
                    </a:prstGeom>
                  </pic:spPr>
                </pic:pic>
              </a:graphicData>
            </a:graphic>
          </wp:inline>
        </w:drawing>
      </w:r>
      <w:r>
        <w:rPr>
          <w:rFonts w:hint="eastAsia"/>
          <w:color w:val="auto"/>
          <w:lang w:val="en-US" w:eastAsia="zh-CN"/>
        </w:rPr>
        <w:drawing>
          <wp:inline distT="0" distB="0" distL="114300" distR="114300">
            <wp:extent cx="5271135" cy="8765540"/>
            <wp:effectExtent l="0" t="0" r="5715" b="16510"/>
            <wp:docPr id="48" name="图片 48" descr="09-198 高台县北部滩百万千瓦风电基地40万千瓦风电项目110kV升压站及送出线路工程竣工环境保护验收检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09-198 高台县北部滩百万千瓦风电基地40万千瓦风电项目110kV升压站及送出线路工程竣工环境保护验收检测_09"/>
                    <pic:cNvPicPr>
                      <a:picLocks noChangeAspect="1"/>
                    </pic:cNvPicPr>
                  </pic:nvPicPr>
                  <pic:blipFill>
                    <a:blip r:embed="rId56"/>
                    <a:stretch>
                      <a:fillRect/>
                    </a:stretch>
                  </pic:blipFill>
                  <pic:spPr>
                    <a:xfrm>
                      <a:off x="0" y="0"/>
                      <a:ext cx="5271135" cy="8765540"/>
                    </a:xfrm>
                    <a:prstGeom prst="rect">
                      <a:avLst/>
                    </a:prstGeom>
                  </pic:spPr>
                </pic:pic>
              </a:graphicData>
            </a:graphic>
          </wp:inline>
        </w:drawing>
      </w:r>
      <w:r>
        <w:rPr>
          <w:rFonts w:hint="eastAsia"/>
          <w:color w:val="auto"/>
          <w:lang w:val="en-US" w:eastAsia="zh-CN"/>
        </w:rPr>
        <w:drawing>
          <wp:inline distT="0" distB="0" distL="114300" distR="114300">
            <wp:extent cx="5271135" cy="8733790"/>
            <wp:effectExtent l="0" t="0" r="5715" b="10160"/>
            <wp:docPr id="47" name="图片 47" descr="09-198 高台县北部滩百万千瓦风电基地40万千瓦风电项目110kV升压站及送出线路工程竣工环境保护验收检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9-198 高台县北部滩百万千瓦风电基地40万千瓦风电项目110kV升压站及送出线路工程竣工环境保护验收检测_10"/>
                    <pic:cNvPicPr>
                      <a:picLocks noChangeAspect="1"/>
                    </pic:cNvPicPr>
                  </pic:nvPicPr>
                  <pic:blipFill>
                    <a:blip r:embed="rId57"/>
                    <a:stretch>
                      <a:fillRect/>
                    </a:stretch>
                  </pic:blipFill>
                  <pic:spPr>
                    <a:xfrm>
                      <a:off x="0" y="0"/>
                      <a:ext cx="5271135" cy="8733790"/>
                    </a:xfrm>
                    <a:prstGeom prst="rect">
                      <a:avLst/>
                    </a:prstGeom>
                  </pic:spPr>
                </pic:pic>
              </a:graphicData>
            </a:graphic>
          </wp:inline>
        </w:drawing>
      </w:r>
      <w:r>
        <w:rPr>
          <w:rFonts w:hint="eastAsia"/>
          <w:color w:val="auto"/>
          <w:lang w:val="en-US" w:eastAsia="zh-CN"/>
        </w:rPr>
        <w:drawing>
          <wp:inline distT="0" distB="0" distL="114300" distR="114300">
            <wp:extent cx="5271135" cy="8818880"/>
            <wp:effectExtent l="0" t="0" r="5715" b="1270"/>
            <wp:docPr id="46" name="图片 46" descr="09-198 高台县北部滩百万千瓦风电基地40万千瓦风电项目110kV升压站及送出线路工程竣工环境保护验收检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9-198 高台县北部滩百万千瓦风电基地40万千瓦风电项目110kV升压站及送出线路工程竣工环境保护验收检测_11"/>
                    <pic:cNvPicPr>
                      <a:picLocks noChangeAspect="1"/>
                    </pic:cNvPicPr>
                  </pic:nvPicPr>
                  <pic:blipFill>
                    <a:blip r:embed="rId58"/>
                    <a:stretch>
                      <a:fillRect/>
                    </a:stretch>
                  </pic:blipFill>
                  <pic:spPr>
                    <a:xfrm>
                      <a:off x="0" y="0"/>
                      <a:ext cx="5271135" cy="8818880"/>
                    </a:xfrm>
                    <a:prstGeom prst="rect">
                      <a:avLst/>
                    </a:prstGeom>
                  </pic:spPr>
                </pic:pic>
              </a:graphicData>
            </a:graphic>
          </wp:inline>
        </w:drawing>
      </w:r>
    </w:p>
    <w:p>
      <w:pPr>
        <w:rPr>
          <w:rFonts w:hint="eastAsia"/>
          <w:b/>
          <w:color w:val="auto"/>
          <w:sz w:val="32"/>
          <w:szCs w:val="32"/>
          <w:lang w:val="en-US" w:eastAsia="zh-CN"/>
        </w:rPr>
      </w:pPr>
      <w:r>
        <w:rPr>
          <w:rFonts w:hint="eastAsia"/>
          <w:b/>
          <w:color w:val="auto"/>
          <w:sz w:val="32"/>
          <w:szCs w:val="32"/>
          <w:lang w:val="en-US" w:eastAsia="zh-CN"/>
        </w:rPr>
        <w:t>附件八：应急预案备案表</w:t>
      </w:r>
    </w:p>
    <w:p>
      <w:pPr>
        <w:rPr>
          <w:rFonts w:ascii="Times New Roman" w:hAnsi="Times New Roman" w:eastAsia="宋体"/>
          <w:b/>
          <w:color w:val="auto"/>
          <w:sz w:val="32"/>
          <w:szCs w:val="32"/>
        </w:rPr>
      </w:pPr>
      <w:r>
        <w:rPr>
          <w:rFonts w:ascii="Times New Roman" w:hAnsi="Times New Roman" w:eastAsia="宋体"/>
          <w:b/>
          <w:color w:val="auto"/>
          <w:sz w:val="32"/>
          <w:szCs w:val="32"/>
        </w:rPr>
        <w:drawing>
          <wp:inline distT="0" distB="0" distL="114300" distR="114300">
            <wp:extent cx="5273040" cy="8331200"/>
            <wp:effectExtent l="0" t="0" r="3810" b="12700"/>
            <wp:docPr id="43" name="图片 43" descr="ec1f3e119df5f7debcc796cbdac3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ec1f3e119df5f7debcc796cbdac35af"/>
                    <pic:cNvPicPr>
                      <a:picLocks noChangeAspect="1"/>
                    </pic:cNvPicPr>
                  </pic:nvPicPr>
                  <pic:blipFill>
                    <a:blip r:embed="rId59"/>
                    <a:stretch>
                      <a:fillRect/>
                    </a:stretch>
                  </pic:blipFill>
                  <pic:spPr>
                    <a:xfrm>
                      <a:off x="0" y="0"/>
                      <a:ext cx="5273040" cy="8331200"/>
                    </a:xfrm>
                    <a:prstGeom prst="rect">
                      <a:avLst/>
                    </a:prstGeom>
                  </pic:spPr>
                </pic:pic>
              </a:graphicData>
            </a:graphic>
          </wp:inline>
        </w:drawing>
      </w:r>
      <w:r>
        <w:rPr>
          <w:rFonts w:ascii="Times New Roman" w:hAnsi="Times New Roman" w:eastAsia="宋体"/>
          <w:b/>
          <w:color w:val="auto"/>
          <w:sz w:val="32"/>
          <w:szCs w:val="32"/>
        </w:rPr>
        <w:br w:type="page"/>
      </w:r>
    </w:p>
    <w:p>
      <w:pPr>
        <w:pStyle w:val="3"/>
        <w:bidi w:val="0"/>
        <w:rPr>
          <w:rFonts w:hint="eastAsia" w:ascii="Times New Roman" w:hAnsi="Times New Roman" w:eastAsia="宋体"/>
          <w:b/>
          <w:color w:val="auto"/>
          <w:sz w:val="32"/>
          <w:szCs w:val="32"/>
          <w:lang w:val="en-US" w:eastAsia="zh-CN"/>
        </w:rPr>
      </w:pPr>
      <w:r>
        <w:rPr>
          <w:rFonts w:ascii="Times New Roman" w:hAnsi="Times New Roman" w:eastAsia="宋体"/>
          <w:b/>
          <w:color w:val="auto"/>
          <w:sz w:val="32"/>
          <w:szCs w:val="32"/>
        </w:rPr>
        <w:t>附件</w:t>
      </w:r>
      <w:r>
        <w:rPr>
          <w:rFonts w:hint="eastAsia"/>
          <w:b/>
          <w:color w:val="auto"/>
          <w:sz w:val="32"/>
          <w:szCs w:val="32"/>
          <w:lang w:val="en-US" w:eastAsia="zh-CN"/>
        </w:rPr>
        <w:t>九</w:t>
      </w:r>
      <w:r>
        <w:rPr>
          <w:rFonts w:hint="eastAsia" w:ascii="Times New Roman" w:hAnsi="Times New Roman" w:eastAsia="宋体"/>
          <w:b/>
          <w:color w:val="auto"/>
          <w:sz w:val="32"/>
          <w:szCs w:val="32"/>
          <w:lang w:eastAsia="zh-CN"/>
        </w:rPr>
        <w:t>：</w:t>
      </w:r>
      <w:r>
        <w:rPr>
          <w:rFonts w:hint="eastAsia" w:ascii="Times New Roman" w:hAnsi="Times New Roman" w:eastAsia="宋体"/>
          <w:b/>
          <w:color w:val="auto"/>
          <w:sz w:val="32"/>
          <w:szCs w:val="32"/>
          <w:lang w:val="en-US" w:eastAsia="zh-CN"/>
        </w:rPr>
        <w:t>验收意见</w:t>
      </w:r>
    </w:p>
    <w:p>
      <w:pPr>
        <w:rPr>
          <w:color w:val="auto"/>
        </w:rPr>
        <w:sectPr>
          <w:pgSz w:w="11906" w:h="16838"/>
          <w:pgMar w:top="1440" w:right="1800" w:bottom="1440" w:left="1800" w:header="851" w:footer="992" w:gutter="0"/>
          <w:pgNumType w:fmt="decimal"/>
          <w:cols w:space="425" w:num="1"/>
          <w:docGrid w:type="lines" w:linePitch="312" w:charSpace="0"/>
        </w:sectPr>
      </w:pPr>
    </w:p>
    <w:p>
      <w:pPr>
        <w:pStyle w:val="3"/>
        <w:bidi w:val="0"/>
        <w:rPr>
          <w:rFonts w:hint="eastAsia" w:ascii="Times New Roman" w:hAnsi="Times New Roman" w:eastAsia="宋体"/>
          <w:b/>
          <w:color w:val="auto"/>
          <w:sz w:val="32"/>
          <w:szCs w:val="32"/>
        </w:rPr>
      </w:pPr>
      <w:r>
        <w:rPr>
          <w:rFonts w:ascii="Times New Roman" w:hAnsi="Times New Roman" w:eastAsia="宋体"/>
          <w:b/>
          <w:color w:val="auto"/>
          <w:sz w:val="32"/>
          <w:szCs w:val="32"/>
        </w:rPr>
        <w:t>附</w:t>
      </w:r>
      <w:r>
        <w:rPr>
          <w:rFonts w:hint="eastAsia" w:ascii="Times New Roman" w:hAnsi="Times New Roman" w:eastAsia="宋体"/>
          <w:b/>
          <w:color w:val="auto"/>
          <w:sz w:val="32"/>
          <w:szCs w:val="32"/>
          <w:lang w:val="en-US" w:eastAsia="zh-CN"/>
        </w:rPr>
        <w:t>图一</w:t>
      </w:r>
      <w:r>
        <w:rPr>
          <w:rFonts w:hint="eastAsia" w:ascii="Times New Roman" w:hAnsi="Times New Roman" w:eastAsia="宋体"/>
          <w:b/>
          <w:color w:val="auto"/>
          <w:sz w:val="32"/>
          <w:szCs w:val="32"/>
          <w:lang w:eastAsia="zh-CN"/>
        </w:rPr>
        <w:t>：</w:t>
      </w:r>
      <w:r>
        <w:rPr>
          <w:rFonts w:hint="eastAsia" w:ascii="Times New Roman" w:hAnsi="Times New Roman" w:eastAsia="宋体"/>
          <w:b/>
          <w:color w:val="auto"/>
          <w:sz w:val="32"/>
          <w:szCs w:val="32"/>
          <w:lang w:val="en-US" w:eastAsia="zh-CN"/>
        </w:rPr>
        <w:t>地理位置及厂区相对位置</w:t>
      </w:r>
      <w:r>
        <w:rPr>
          <w:rFonts w:hint="eastAsia" w:ascii="Times New Roman" w:hAnsi="Times New Roman" w:eastAsia="宋体"/>
          <w:b/>
          <w:color w:val="auto"/>
          <w:sz w:val="32"/>
          <w:szCs w:val="32"/>
        </w:rPr>
        <w:t>图</w:t>
      </w:r>
    </w:p>
    <w:p>
      <w:pPr>
        <w:bidi w:val="0"/>
        <w:rPr>
          <w:rFonts w:hint="eastAsia"/>
          <w:color w:val="auto"/>
          <w:lang w:val="en-US" w:eastAsia="zh-CN"/>
        </w:rPr>
      </w:pPr>
      <w:r>
        <w:rPr>
          <w:color w:val="auto"/>
        </w:rPr>
        <w:drawing>
          <wp:inline distT="0" distB="0" distL="114300" distR="114300">
            <wp:extent cx="13287375" cy="7168515"/>
            <wp:effectExtent l="0" t="0" r="9525" b="1333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60"/>
                    <a:stretch>
                      <a:fillRect/>
                    </a:stretch>
                  </pic:blipFill>
                  <pic:spPr>
                    <a:xfrm>
                      <a:off x="0" y="0"/>
                      <a:ext cx="13287375" cy="7168515"/>
                    </a:xfrm>
                    <a:prstGeom prst="rect">
                      <a:avLst/>
                    </a:prstGeom>
                    <a:noFill/>
                    <a:ln>
                      <a:noFill/>
                    </a:ln>
                  </pic:spPr>
                </pic:pic>
              </a:graphicData>
            </a:graphic>
          </wp:inline>
        </w:drawing>
      </w:r>
    </w:p>
    <w:p>
      <w:pPr>
        <w:rPr>
          <w:rFonts w:ascii="Times New Roman" w:hAnsi="Times New Roman" w:eastAsia="宋体"/>
          <w:b/>
          <w:color w:val="auto"/>
          <w:sz w:val="32"/>
          <w:szCs w:val="32"/>
        </w:rPr>
      </w:pPr>
      <w:r>
        <w:rPr>
          <w:rFonts w:ascii="Times New Roman" w:hAnsi="Times New Roman" w:eastAsia="宋体"/>
          <w:b/>
          <w:color w:val="auto"/>
          <w:sz w:val="32"/>
          <w:szCs w:val="32"/>
        </w:rPr>
        <w:t>附</w:t>
      </w:r>
      <w:r>
        <w:rPr>
          <w:rFonts w:hint="eastAsia" w:ascii="Times New Roman" w:hAnsi="Times New Roman" w:eastAsia="宋体"/>
          <w:b/>
          <w:color w:val="auto"/>
          <w:sz w:val="32"/>
          <w:szCs w:val="32"/>
          <w:lang w:val="en-US" w:eastAsia="zh-CN"/>
        </w:rPr>
        <w:t>图二</w:t>
      </w:r>
      <w:r>
        <w:rPr>
          <w:rFonts w:hint="eastAsia" w:ascii="Times New Roman" w:hAnsi="Times New Roman" w:eastAsia="宋体"/>
          <w:b/>
          <w:color w:val="auto"/>
          <w:sz w:val="32"/>
          <w:szCs w:val="32"/>
          <w:lang w:eastAsia="zh-CN"/>
        </w:rPr>
        <w:t>：</w:t>
      </w:r>
      <w:r>
        <w:rPr>
          <w:rFonts w:ascii="Times New Roman" w:hAnsi="Times New Roman" w:eastAsia="宋体"/>
          <w:b/>
          <w:color w:val="auto"/>
          <w:sz w:val="32"/>
          <w:szCs w:val="32"/>
        </w:rPr>
        <w:t>项目</w:t>
      </w:r>
      <w:r>
        <w:rPr>
          <w:rFonts w:hint="eastAsia" w:ascii="Times New Roman" w:hAnsi="Times New Roman" w:eastAsia="宋体"/>
          <w:b/>
          <w:color w:val="auto"/>
          <w:sz w:val="32"/>
          <w:szCs w:val="32"/>
          <w:lang w:val="en-US" w:eastAsia="zh-CN"/>
        </w:rPr>
        <w:t>平面布置</w:t>
      </w:r>
      <w:r>
        <w:rPr>
          <w:rFonts w:ascii="Times New Roman" w:hAnsi="Times New Roman" w:eastAsia="宋体"/>
          <w:b/>
          <w:color w:val="auto"/>
          <w:sz w:val="32"/>
          <w:szCs w:val="32"/>
        </w:rPr>
        <w:t>图</w:t>
      </w:r>
    </w:p>
    <w:p>
      <w:pPr>
        <w:bidi w:val="0"/>
        <w:spacing w:line="240" w:lineRule="auto"/>
        <w:jc w:val="center"/>
        <w:rPr>
          <w:rFonts w:hint="eastAsia" w:eastAsia="宋体"/>
          <w:b/>
          <w:bCs/>
          <w:color w:val="auto"/>
          <w:lang w:eastAsia="zh-CN"/>
        </w:rPr>
      </w:pPr>
      <w:r>
        <w:rPr>
          <w:rFonts w:hint="eastAsia"/>
          <w:b/>
          <w:color w:val="auto"/>
          <w:sz w:val="32"/>
          <w:szCs w:val="32"/>
          <w:lang w:val="en-US" w:eastAsia="zh-CN"/>
        </w:rPr>
        <w:t>线路路径图</w:t>
      </w:r>
      <w:r>
        <w:drawing>
          <wp:inline distT="0" distB="0" distL="114300" distR="114300">
            <wp:extent cx="13201015" cy="7247890"/>
            <wp:effectExtent l="0" t="0" r="635" b="1016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61"/>
                    <a:stretch>
                      <a:fillRect/>
                    </a:stretch>
                  </pic:blipFill>
                  <pic:spPr>
                    <a:xfrm>
                      <a:off x="0" y="0"/>
                      <a:ext cx="13201015" cy="7247890"/>
                    </a:xfrm>
                    <a:prstGeom prst="rect">
                      <a:avLst/>
                    </a:prstGeom>
                    <a:noFill/>
                    <a:ln>
                      <a:noFill/>
                    </a:ln>
                  </pic:spPr>
                </pic:pic>
              </a:graphicData>
            </a:graphic>
          </wp:inline>
        </w:drawing>
      </w:r>
    </w:p>
    <w:p>
      <w:pPr>
        <w:bidi w:val="0"/>
        <w:spacing w:line="240" w:lineRule="auto"/>
        <w:jc w:val="center"/>
        <w:rPr>
          <w:rFonts w:ascii="Times New Roman" w:hAnsi="Times New Roman" w:eastAsia="宋体"/>
          <w:b/>
          <w:color w:val="auto"/>
          <w:sz w:val="32"/>
          <w:szCs w:val="32"/>
        </w:rPr>
      </w:pPr>
      <w:r>
        <w:rPr>
          <w:rFonts w:hint="eastAsia"/>
          <w:b/>
          <w:color w:val="auto"/>
          <w:sz w:val="32"/>
          <w:szCs w:val="32"/>
          <w:lang w:val="en-US" w:eastAsia="zh-CN"/>
        </w:rPr>
        <w:t>110kV 北部滩升压站平面布置图</w:t>
      </w:r>
      <w:r>
        <w:drawing>
          <wp:inline distT="0" distB="0" distL="114300" distR="114300">
            <wp:extent cx="13354050" cy="7638415"/>
            <wp:effectExtent l="0" t="0" r="0" b="63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62"/>
                    <a:stretch>
                      <a:fillRect/>
                    </a:stretch>
                  </pic:blipFill>
                  <pic:spPr>
                    <a:xfrm>
                      <a:off x="0" y="0"/>
                      <a:ext cx="13354050" cy="7638415"/>
                    </a:xfrm>
                    <a:prstGeom prst="rect">
                      <a:avLst/>
                    </a:prstGeom>
                    <a:noFill/>
                    <a:ln>
                      <a:noFill/>
                    </a:ln>
                  </pic:spPr>
                </pic:pic>
              </a:graphicData>
            </a:graphic>
          </wp:inline>
        </w:drawing>
      </w:r>
    </w:p>
    <w:p>
      <w:pPr>
        <w:spacing w:line="240" w:lineRule="auto"/>
        <w:jc w:val="center"/>
      </w:pPr>
      <w:r>
        <w:rPr>
          <w:rFonts w:hint="eastAsia"/>
          <w:b/>
          <w:color w:val="auto"/>
          <w:sz w:val="32"/>
          <w:szCs w:val="32"/>
          <w:lang w:val="en-US" w:eastAsia="zh-CN"/>
        </w:rPr>
        <w:t>集控中心</w:t>
      </w:r>
      <w:r>
        <w:rPr>
          <w:rFonts w:hint="eastAsia" w:ascii="Times New Roman" w:hAnsi="Times New Roman" w:eastAsia="宋体"/>
          <w:b/>
          <w:color w:val="auto"/>
          <w:sz w:val="32"/>
          <w:szCs w:val="32"/>
        </w:rPr>
        <w:t>总平面布置图</w:t>
      </w:r>
      <w:r>
        <w:drawing>
          <wp:inline distT="0" distB="0" distL="114300" distR="114300">
            <wp:extent cx="13325475" cy="7700645"/>
            <wp:effectExtent l="0" t="0" r="9525" b="1460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63"/>
                    <a:stretch>
                      <a:fillRect/>
                    </a:stretch>
                  </pic:blipFill>
                  <pic:spPr>
                    <a:xfrm>
                      <a:off x="0" y="0"/>
                      <a:ext cx="13325475" cy="7700645"/>
                    </a:xfrm>
                    <a:prstGeom prst="rect">
                      <a:avLst/>
                    </a:prstGeom>
                    <a:noFill/>
                    <a:ln>
                      <a:noFill/>
                    </a:ln>
                  </pic:spPr>
                </pic:pic>
              </a:graphicData>
            </a:graphic>
          </wp:inline>
        </w:drawing>
      </w:r>
    </w:p>
    <w:p>
      <w:r>
        <w:br w:type="page"/>
      </w:r>
    </w:p>
    <w:p>
      <w:pPr>
        <w:spacing w:line="240" w:lineRule="auto"/>
        <w:jc w:val="center"/>
      </w:pPr>
      <w:r>
        <w:rPr>
          <w:rFonts w:hint="eastAsia" w:ascii="Times New Roman" w:hAnsi="Times New Roman" w:eastAsia="宋体"/>
          <w:b/>
          <w:color w:val="auto"/>
          <w:sz w:val="32"/>
          <w:szCs w:val="32"/>
        </w:rPr>
        <w:t>330kV 罗城滩升压站 110kV 间隔进线示意图图</w:t>
      </w:r>
      <w:r>
        <w:drawing>
          <wp:inline distT="0" distB="0" distL="114300" distR="114300">
            <wp:extent cx="13228955" cy="7666990"/>
            <wp:effectExtent l="0" t="0" r="10795" b="1016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64"/>
                    <a:stretch>
                      <a:fillRect/>
                    </a:stretch>
                  </pic:blipFill>
                  <pic:spPr>
                    <a:xfrm>
                      <a:off x="0" y="0"/>
                      <a:ext cx="13228955" cy="7666990"/>
                    </a:xfrm>
                    <a:prstGeom prst="rect">
                      <a:avLst/>
                    </a:prstGeom>
                    <a:noFill/>
                    <a:ln>
                      <a:noFill/>
                    </a:ln>
                  </pic:spPr>
                </pic:pic>
              </a:graphicData>
            </a:graphic>
          </wp:inline>
        </w:drawing>
      </w:r>
    </w:p>
    <w:p>
      <w:r>
        <w:br w:type="page"/>
      </w:r>
    </w:p>
    <w:p>
      <w:pPr>
        <w:rPr>
          <w:rFonts w:ascii="Times New Roman" w:hAnsi="Times New Roman" w:eastAsia="宋体"/>
          <w:b/>
          <w:color w:val="auto"/>
          <w:sz w:val="32"/>
          <w:szCs w:val="32"/>
        </w:rPr>
        <w:sectPr>
          <w:pgSz w:w="23811" w:h="16838" w:orient="landscape"/>
          <w:pgMar w:top="1800" w:right="1440" w:bottom="2143" w:left="1440" w:header="851" w:footer="992" w:gutter="0"/>
          <w:pgNumType w:fmt="decimal"/>
          <w:cols w:space="425" w:num="1"/>
          <w:docGrid w:type="lines" w:linePitch="312" w:charSpace="0"/>
        </w:sectPr>
      </w:pPr>
    </w:p>
    <w:p>
      <w:pPr>
        <w:jc w:val="both"/>
        <w:rPr>
          <w:rFonts w:hint="eastAsia" w:ascii="Times New Roman" w:hAnsi="Times New Roman" w:eastAsia="宋体"/>
          <w:b/>
          <w:color w:val="auto"/>
          <w:sz w:val="32"/>
          <w:szCs w:val="32"/>
          <w:lang w:val="en-US" w:eastAsia="zh-CN"/>
        </w:rPr>
      </w:pPr>
      <w:r>
        <w:rPr>
          <w:rFonts w:ascii="Times New Roman" w:hAnsi="Times New Roman" w:eastAsia="宋体"/>
          <w:b/>
          <w:color w:val="auto"/>
          <w:sz w:val="32"/>
          <w:szCs w:val="32"/>
        </w:rPr>
        <w:t>附</w:t>
      </w:r>
      <w:r>
        <w:rPr>
          <w:rFonts w:hint="eastAsia" w:ascii="Times New Roman" w:hAnsi="Times New Roman" w:eastAsia="宋体"/>
          <w:b/>
          <w:color w:val="auto"/>
          <w:sz w:val="32"/>
          <w:szCs w:val="32"/>
          <w:lang w:val="en-US" w:eastAsia="zh-CN"/>
        </w:rPr>
        <w:t>图三：监测布点图</w:t>
      </w:r>
    </w:p>
    <w:p>
      <w:pPr>
        <w:jc w:val="both"/>
        <w:rPr>
          <w:rFonts w:hint="eastAsia"/>
          <w:color w:val="auto"/>
          <w:lang w:val="en-US" w:eastAsia="zh-CN"/>
        </w:rPr>
      </w:pPr>
      <w:r>
        <w:rPr>
          <w:rFonts w:hint="eastAsia"/>
          <w:color w:val="auto"/>
          <w:lang w:val="en-US" w:eastAsia="zh-CN"/>
        </w:rPr>
        <w:drawing>
          <wp:inline distT="0" distB="0" distL="114300" distR="114300">
            <wp:extent cx="5116195" cy="8269605"/>
            <wp:effectExtent l="0" t="0" r="8255" b="17145"/>
            <wp:docPr id="31" name="图片 31" descr="09-007高台县北部滩40万千瓦风电项目竣工环境保护验收监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9-007高台县北部滩40万千瓦风电项目竣工环境保护验收监测_08"/>
                    <pic:cNvPicPr>
                      <a:picLocks noChangeAspect="1"/>
                    </pic:cNvPicPr>
                  </pic:nvPicPr>
                  <pic:blipFill>
                    <a:blip r:embed="rId65"/>
                    <a:stretch>
                      <a:fillRect/>
                    </a:stretch>
                  </pic:blipFill>
                  <pic:spPr>
                    <a:xfrm>
                      <a:off x="0" y="0"/>
                      <a:ext cx="5116195" cy="8269605"/>
                    </a:xfrm>
                    <a:prstGeom prst="rect">
                      <a:avLst/>
                    </a:prstGeom>
                  </pic:spPr>
                </pic:pic>
              </a:graphicData>
            </a:graphic>
          </wp:inline>
        </w:drawing>
      </w:r>
    </w:p>
    <w:p>
      <w:pPr>
        <w:rPr>
          <w:rFonts w:hint="eastAsia"/>
          <w:color w:val="auto"/>
          <w:lang w:val="en-US" w:eastAsia="zh-CN"/>
        </w:rPr>
        <w:sectPr>
          <w:pgSz w:w="11906" w:h="16838"/>
          <w:pgMar w:top="1440" w:right="2143" w:bottom="1440" w:left="1800" w:header="851" w:footer="992" w:gutter="0"/>
          <w:pgNumType w:fmt="decimal"/>
          <w:cols w:space="425" w:num="1"/>
          <w:docGrid w:type="lines" w:linePitch="312" w:charSpace="0"/>
        </w:sectPr>
      </w:pPr>
      <w:r>
        <w:rPr>
          <w:rFonts w:hint="eastAsia"/>
          <w:color w:val="auto"/>
          <w:lang w:val="en-US" w:eastAsia="zh-CN"/>
        </w:rPr>
        <w:br w:type="page"/>
      </w:r>
    </w:p>
    <w:p>
      <w:pPr>
        <w:rPr>
          <w:rFonts w:hint="eastAsia" w:ascii="Times New Roman" w:hAnsi="Times New Roman" w:eastAsia="宋体"/>
          <w:b/>
          <w:color w:val="auto"/>
          <w:sz w:val="32"/>
          <w:szCs w:val="32"/>
          <w:lang w:val="en-US" w:eastAsia="zh-CN"/>
        </w:rPr>
      </w:pPr>
      <w:r>
        <w:rPr>
          <w:rFonts w:hint="eastAsia" w:ascii="Times New Roman" w:hAnsi="Times New Roman" w:eastAsia="宋体"/>
          <w:b/>
          <w:color w:val="auto"/>
          <w:sz w:val="32"/>
          <w:szCs w:val="32"/>
          <w:lang w:val="en-US" w:eastAsia="zh-CN"/>
        </w:rPr>
        <w:t>附图</w:t>
      </w:r>
      <w:r>
        <w:rPr>
          <w:rFonts w:hint="eastAsia"/>
          <w:b/>
          <w:color w:val="auto"/>
          <w:sz w:val="32"/>
          <w:szCs w:val="32"/>
          <w:lang w:val="en-US" w:eastAsia="zh-CN"/>
        </w:rPr>
        <w:t>四</w:t>
      </w:r>
      <w:r>
        <w:rPr>
          <w:rFonts w:hint="eastAsia" w:ascii="Times New Roman" w:hAnsi="Times New Roman" w:eastAsia="宋体"/>
          <w:b/>
          <w:color w:val="auto"/>
          <w:sz w:val="32"/>
          <w:szCs w:val="32"/>
          <w:lang w:val="en-US" w:eastAsia="zh-CN"/>
        </w:rPr>
        <w:t>：临时占地生态恢复情况照片</w:t>
      </w:r>
    </w:p>
    <w:p>
      <w:pPr>
        <w:jc w:val="both"/>
        <w:rPr>
          <w:rFonts w:hint="eastAsia" w:ascii="Times New Roman" w:hAnsi="Times New Roman" w:eastAsia="宋体"/>
          <w:b/>
          <w:color w:val="auto"/>
          <w:sz w:val="32"/>
          <w:szCs w:val="32"/>
          <w:lang w:val="en-US" w:eastAsia="zh-CN"/>
        </w:rPr>
      </w:pPr>
      <w:r>
        <w:rPr>
          <w:rFonts w:hint="eastAsia" w:ascii="Times New Roman" w:hAnsi="Times New Roman" w:eastAsia="宋体"/>
          <w:b/>
          <w:color w:val="auto"/>
          <w:sz w:val="32"/>
          <w:szCs w:val="32"/>
          <w:lang w:val="en-US" w:eastAsia="zh-CN"/>
        </w:rPr>
        <w:drawing>
          <wp:inline distT="0" distB="0" distL="114300" distR="114300">
            <wp:extent cx="8824595" cy="4543425"/>
            <wp:effectExtent l="0" t="0" r="14605" b="9525"/>
            <wp:docPr id="39" name="图片 39" descr="微信图片_2023103115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31031154320"/>
                    <pic:cNvPicPr>
                      <a:picLocks noChangeAspect="1"/>
                    </pic:cNvPicPr>
                  </pic:nvPicPr>
                  <pic:blipFill>
                    <a:blip r:embed="rId66"/>
                    <a:stretch>
                      <a:fillRect/>
                    </a:stretch>
                  </pic:blipFill>
                  <pic:spPr>
                    <a:xfrm>
                      <a:off x="0" y="0"/>
                      <a:ext cx="8824595" cy="4543425"/>
                    </a:xfrm>
                    <a:prstGeom prst="rect">
                      <a:avLst/>
                    </a:prstGeom>
                  </pic:spPr>
                </pic:pic>
              </a:graphicData>
            </a:graphic>
          </wp:inline>
        </w:drawing>
      </w:r>
    </w:p>
    <w:p>
      <w:pPr>
        <w:rPr>
          <w:rFonts w:hint="eastAsia" w:ascii="Times New Roman" w:hAnsi="Times New Roman" w:eastAsia="宋体"/>
          <w:b/>
          <w:color w:val="auto"/>
          <w:sz w:val="32"/>
          <w:szCs w:val="32"/>
          <w:lang w:val="en-US" w:eastAsia="zh-CN"/>
        </w:rPr>
      </w:pPr>
      <w:r>
        <w:rPr>
          <w:rFonts w:hint="eastAsia" w:ascii="Times New Roman" w:hAnsi="Times New Roman" w:eastAsia="宋体"/>
          <w:b/>
          <w:color w:val="auto"/>
          <w:sz w:val="32"/>
          <w:szCs w:val="32"/>
          <w:lang w:val="en-US" w:eastAsia="zh-CN"/>
        </w:rPr>
        <w:br w:type="page"/>
      </w:r>
    </w:p>
    <w:p>
      <w:pPr>
        <w:jc w:val="both"/>
        <w:rPr>
          <w:rFonts w:hint="eastAsia" w:ascii="Times New Roman" w:hAnsi="Times New Roman" w:eastAsia="宋体"/>
          <w:b/>
          <w:color w:val="auto"/>
          <w:sz w:val="32"/>
          <w:szCs w:val="32"/>
          <w:lang w:val="en-US" w:eastAsia="zh-CN"/>
        </w:rPr>
      </w:pPr>
      <w:r>
        <w:rPr>
          <w:rFonts w:hint="eastAsia" w:ascii="Times New Roman" w:hAnsi="Times New Roman" w:eastAsia="宋体"/>
          <w:b/>
          <w:color w:val="auto"/>
          <w:sz w:val="32"/>
          <w:szCs w:val="32"/>
          <w:lang w:val="en-US" w:eastAsia="zh-CN"/>
        </w:rPr>
        <w:drawing>
          <wp:inline distT="0" distB="0" distL="114300" distR="114300">
            <wp:extent cx="8856345" cy="5031105"/>
            <wp:effectExtent l="0" t="0" r="1905" b="17145"/>
            <wp:docPr id="40" name="图片 40" descr="微信图片_2023103115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231031154323"/>
                    <pic:cNvPicPr>
                      <a:picLocks noChangeAspect="1"/>
                    </pic:cNvPicPr>
                  </pic:nvPicPr>
                  <pic:blipFill>
                    <a:blip r:embed="rId67"/>
                    <a:stretch>
                      <a:fillRect/>
                    </a:stretch>
                  </pic:blipFill>
                  <pic:spPr>
                    <a:xfrm>
                      <a:off x="0" y="0"/>
                      <a:ext cx="8856345" cy="5031105"/>
                    </a:xfrm>
                    <a:prstGeom prst="rect">
                      <a:avLst/>
                    </a:prstGeom>
                  </pic:spPr>
                </pic:pic>
              </a:graphicData>
            </a:graphic>
          </wp:inline>
        </w:drawing>
      </w:r>
    </w:p>
    <w:p>
      <w:pPr>
        <w:rPr>
          <w:rFonts w:hint="eastAsia" w:ascii="Times New Roman" w:hAnsi="Times New Roman" w:eastAsia="宋体"/>
          <w:b/>
          <w:color w:val="auto"/>
          <w:sz w:val="32"/>
          <w:szCs w:val="32"/>
          <w:lang w:val="en-US" w:eastAsia="zh-CN"/>
        </w:rPr>
      </w:pPr>
      <w:r>
        <w:rPr>
          <w:rFonts w:hint="eastAsia" w:ascii="Times New Roman" w:hAnsi="Times New Roman" w:eastAsia="宋体"/>
          <w:b/>
          <w:color w:val="auto"/>
          <w:sz w:val="32"/>
          <w:szCs w:val="32"/>
          <w:lang w:val="en-US" w:eastAsia="zh-CN"/>
        </w:rPr>
        <w:t>附图</w:t>
      </w:r>
      <w:r>
        <w:rPr>
          <w:rFonts w:hint="eastAsia"/>
          <w:b/>
          <w:color w:val="auto"/>
          <w:sz w:val="32"/>
          <w:szCs w:val="32"/>
          <w:lang w:val="en-US" w:eastAsia="zh-CN"/>
        </w:rPr>
        <w:t>五</w:t>
      </w:r>
      <w:r>
        <w:rPr>
          <w:rFonts w:hint="eastAsia" w:ascii="Times New Roman" w:hAnsi="Times New Roman" w:eastAsia="宋体"/>
          <w:b/>
          <w:color w:val="auto"/>
          <w:sz w:val="32"/>
          <w:szCs w:val="32"/>
          <w:lang w:val="en-US" w:eastAsia="zh-CN"/>
        </w:rPr>
        <w:t>：</w:t>
      </w:r>
      <w:r>
        <w:rPr>
          <w:rFonts w:hint="eastAsia"/>
          <w:b/>
          <w:color w:val="auto"/>
          <w:sz w:val="32"/>
          <w:szCs w:val="32"/>
          <w:lang w:val="en-US" w:eastAsia="zh-CN"/>
        </w:rPr>
        <w:t>危废暂存间</w:t>
      </w:r>
      <w:r>
        <w:rPr>
          <w:rFonts w:hint="eastAsia" w:ascii="Times New Roman" w:hAnsi="Times New Roman" w:eastAsia="宋体"/>
          <w:b/>
          <w:color w:val="auto"/>
          <w:sz w:val="32"/>
          <w:szCs w:val="32"/>
          <w:lang w:val="en-US" w:eastAsia="zh-CN"/>
        </w:rPr>
        <w:t>照片</w:t>
      </w:r>
    </w:p>
    <w:p>
      <w:pPr>
        <w:rPr>
          <w:rFonts w:hint="eastAsia" w:ascii="Times New Roman" w:hAnsi="Times New Roman" w:eastAsia="宋体"/>
          <w:b/>
          <w:color w:val="auto"/>
          <w:sz w:val="32"/>
          <w:szCs w:val="32"/>
          <w:lang w:val="en-US" w:eastAsia="zh-CN"/>
        </w:rPr>
      </w:pPr>
      <w:r>
        <w:rPr>
          <w:rFonts w:hint="eastAsia" w:ascii="Times New Roman" w:hAnsi="Times New Roman" w:eastAsia="宋体"/>
          <w:b/>
          <w:color w:val="auto"/>
          <w:sz w:val="32"/>
          <w:szCs w:val="32"/>
          <w:lang w:val="en-US" w:eastAsia="zh-CN"/>
        </w:rPr>
        <w:drawing>
          <wp:inline distT="0" distB="0" distL="114300" distR="114300">
            <wp:extent cx="8844915" cy="4503420"/>
            <wp:effectExtent l="0" t="0" r="13335" b="11430"/>
            <wp:docPr id="41" name="图片 41" descr="微信图片_2023103116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231031160715"/>
                    <pic:cNvPicPr>
                      <a:picLocks noChangeAspect="1"/>
                    </pic:cNvPicPr>
                  </pic:nvPicPr>
                  <pic:blipFill>
                    <a:blip r:embed="rId68"/>
                    <a:stretch>
                      <a:fillRect/>
                    </a:stretch>
                  </pic:blipFill>
                  <pic:spPr>
                    <a:xfrm>
                      <a:off x="0" y="0"/>
                      <a:ext cx="8844915" cy="4503420"/>
                    </a:xfrm>
                    <a:prstGeom prst="rect">
                      <a:avLst/>
                    </a:prstGeom>
                  </pic:spPr>
                </pic:pic>
              </a:graphicData>
            </a:graphic>
          </wp:inline>
        </w:drawing>
      </w:r>
      <w:r>
        <w:rPr>
          <w:rFonts w:hint="eastAsia" w:ascii="Times New Roman" w:hAnsi="Times New Roman" w:eastAsia="宋体"/>
          <w:b/>
          <w:color w:val="auto"/>
          <w:sz w:val="32"/>
          <w:szCs w:val="32"/>
          <w:lang w:val="en-US" w:eastAsia="zh-CN"/>
        </w:rPr>
        <w:br w:type="page"/>
      </w:r>
    </w:p>
    <w:p>
      <w:pPr>
        <w:jc w:val="both"/>
        <w:rPr>
          <w:rFonts w:hint="eastAsia" w:ascii="Times New Roman" w:hAnsi="Times New Roman" w:eastAsia="宋体"/>
          <w:b/>
          <w:color w:val="auto"/>
          <w:sz w:val="32"/>
          <w:szCs w:val="32"/>
          <w:lang w:val="en-US" w:eastAsia="zh-CN"/>
        </w:rPr>
      </w:pPr>
      <w:r>
        <w:rPr>
          <w:rFonts w:hint="eastAsia" w:ascii="Times New Roman" w:hAnsi="Times New Roman" w:eastAsia="宋体"/>
          <w:b/>
          <w:color w:val="auto"/>
          <w:sz w:val="32"/>
          <w:szCs w:val="32"/>
          <w:lang w:val="en-US" w:eastAsia="zh-CN"/>
        </w:rPr>
        <w:drawing>
          <wp:inline distT="0" distB="0" distL="114300" distR="114300">
            <wp:extent cx="8851265" cy="4965700"/>
            <wp:effectExtent l="0" t="0" r="6985" b="6350"/>
            <wp:docPr id="42" name="图片 42" descr="微信图片_2023103116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图片_20231031160724"/>
                    <pic:cNvPicPr>
                      <a:picLocks noChangeAspect="1"/>
                    </pic:cNvPicPr>
                  </pic:nvPicPr>
                  <pic:blipFill>
                    <a:blip r:embed="rId69"/>
                    <a:stretch>
                      <a:fillRect/>
                    </a:stretch>
                  </pic:blipFill>
                  <pic:spPr>
                    <a:xfrm>
                      <a:off x="0" y="0"/>
                      <a:ext cx="8851265" cy="4965700"/>
                    </a:xfrm>
                    <a:prstGeom prst="rect">
                      <a:avLst/>
                    </a:prstGeom>
                  </pic:spPr>
                </pic:pic>
              </a:graphicData>
            </a:graphic>
          </wp:inline>
        </w:drawing>
      </w:r>
    </w:p>
    <w:p>
      <w:pPr>
        <w:rPr>
          <w:rFonts w:hint="eastAsia"/>
          <w:b/>
          <w:color w:val="auto"/>
          <w:sz w:val="32"/>
          <w:szCs w:val="32"/>
          <w:lang w:val="en-US" w:eastAsia="zh-CN"/>
        </w:rPr>
      </w:pPr>
      <w:r>
        <w:rPr>
          <w:rFonts w:hint="eastAsia"/>
          <w:b/>
          <w:color w:val="auto"/>
          <w:sz w:val="32"/>
          <w:szCs w:val="32"/>
          <w:lang w:val="en-US" w:eastAsia="zh-CN"/>
        </w:rPr>
        <w:t>附图六：项目与重要生态保护区位置关系图</w:t>
      </w:r>
    </w:p>
    <w:p>
      <w:pPr>
        <w:rPr>
          <w:rFonts w:hint="eastAsia" w:ascii="Times New Roman" w:hAnsi="Times New Roman" w:eastAsia="宋体"/>
          <w:b/>
          <w:color w:val="auto"/>
          <w:sz w:val="32"/>
          <w:szCs w:val="32"/>
          <w:lang w:val="en-US" w:eastAsia="zh-CN"/>
        </w:rPr>
      </w:pPr>
      <w:r>
        <w:rPr>
          <w:rFonts w:hint="eastAsia"/>
          <w:b/>
          <w:color w:val="auto"/>
          <w:sz w:val="32"/>
          <w:szCs w:val="32"/>
          <w:lang w:val="en-US" w:eastAsia="zh-CN"/>
        </w:rPr>
        <w:drawing>
          <wp:inline distT="0" distB="0" distL="114300" distR="114300">
            <wp:extent cx="8842375" cy="4534535"/>
            <wp:effectExtent l="0" t="0" r="15875" b="18415"/>
            <wp:docPr id="44" name="图片 44" descr="与生态保护区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与生态保护区关系图"/>
                    <pic:cNvPicPr>
                      <a:picLocks noChangeAspect="1"/>
                    </pic:cNvPicPr>
                  </pic:nvPicPr>
                  <pic:blipFill>
                    <a:blip r:embed="rId70"/>
                    <a:stretch>
                      <a:fillRect/>
                    </a:stretch>
                  </pic:blipFill>
                  <pic:spPr>
                    <a:xfrm>
                      <a:off x="0" y="0"/>
                      <a:ext cx="8842375" cy="4534535"/>
                    </a:xfrm>
                    <a:prstGeom prst="rect">
                      <a:avLst/>
                    </a:prstGeom>
                  </pic:spPr>
                </pic:pic>
              </a:graphicData>
            </a:graphic>
          </wp:inline>
        </w:drawing>
      </w:r>
      <w:r>
        <w:rPr>
          <w:rFonts w:hint="eastAsia" w:ascii="Times New Roman" w:hAnsi="Times New Roman" w:eastAsia="宋体"/>
          <w:b/>
          <w:color w:val="auto"/>
          <w:sz w:val="32"/>
          <w:szCs w:val="32"/>
          <w:lang w:val="en-US" w:eastAsia="zh-CN"/>
        </w:rPr>
        <w:br w:type="page"/>
      </w:r>
    </w:p>
    <w:p>
      <w:pPr>
        <w:spacing w:line="240" w:lineRule="auto"/>
        <w:jc w:val="left"/>
        <w:rPr>
          <w:rFonts w:hint="eastAsia"/>
          <w:b/>
          <w:color w:val="auto"/>
          <w:sz w:val="32"/>
          <w:szCs w:val="32"/>
          <w:lang w:val="en-US" w:eastAsia="zh-CN"/>
        </w:rPr>
      </w:pPr>
      <w:r>
        <w:rPr>
          <w:rFonts w:hint="eastAsia"/>
          <w:b/>
          <w:color w:val="auto"/>
          <w:sz w:val="32"/>
          <w:szCs w:val="32"/>
          <w:lang w:val="en-US" w:eastAsia="zh-CN"/>
        </w:rPr>
        <w:t>附图七：项目与甘肃省生态功能区划位置关系图</w:t>
      </w:r>
      <w:r>
        <w:drawing>
          <wp:inline distT="0" distB="0" distL="114300" distR="114300">
            <wp:extent cx="8901430" cy="4547870"/>
            <wp:effectExtent l="0" t="0" r="13970" b="508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71"/>
                    <a:stretch>
                      <a:fillRect/>
                    </a:stretch>
                  </pic:blipFill>
                  <pic:spPr>
                    <a:xfrm>
                      <a:off x="0" y="0"/>
                      <a:ext cx="8901430" cy="4547870"/>
                    </a:xfrm>
                    <a:prstGeom prst="rect">
                      <a:avLst/>
                    </a:prstGeom>
                    <a:noFill/>
                    <a:ln>
                      <a:noFill/>
                    </a:ln>
                  </pic:spPr>
                </pic:pic>
              </a:graphicData>
            </a:graphic>
          </wp:inline>
        </w:drawing>
      </w:r>
    </w:p>
    <w:p>
      <w:pPr>
        <w:rPr>
          <w:rFonts w:hint="eastAsia"/>
          <w:b/>
          <w:color w:val="auto"/>
          <w:sz w:val="32"/>
          <w:szCs w:val="32"/>
          <w:lang w:val="en-US" w:eastAsia="zh-CN"/>
        </w:rPr>
      </w:pPr>
      <w:r>
        <w:rPr>
          <w:rFonts w:hint="eastAsia"/>
          <w:b/>
          <w:color w:val="auto"/>
          <w:sz w:val="32"/>
          <w:szCs w:val="32"/>
          <w:lang w:val="en-US" w:eastAsia="zh-CN"/>
        </w:rPr>
        <w:br w:type="page"/>
      </w:r>
    </w:p>
    <w:p>
      <w:pPr>
        <w:spacing w:line="240" w:lineRule="auto"/>
        <w:jc w:val="left"/>
        <w:rPr>
          <w:rFonts w:hint="eastAsia"/>
          <w:b/>
          <w:color w:val="auto"/>
          <w:sz w:val="32"/>
          <w:szCs w:val="32"/>
          <w:lang w:val="en-US" w:eastAsia="zh-CN"/>
        </w:rPr>
      </w:pPr>
      <w:r>
        <w:rPr>
          <w:rFonts w:hint="eastAsia"/>
          <w:b/>
          <w:color w:val="auto"/>
          <w:sz w:val="32"/>
          <w:szCs w:val="32"/>
          <w:lang w:val="en-US" w:eastAsia="zh-CN"/>
        </w:rPr>
        <w:t>附图八：生态措施平面布置图</w:t>
      </w:r>
      <w:r>
        <w:drawing>
          <wp:inline distT="0" distB="0" distL="114300" distR="114300">
            <wp:extent cx="8861425" cy="4548505"/>
            <wp:effectExtent l="0" t="0" r="15875" b="444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72"/>
                    <a:stretch>
                      <a:fillRect/>
                    </a:stretch>
                  </pic:blipFill>
                  <pic:spPr>
                    <a:xfrm>
                      <a:off x="0" y="0"/>
                      <a:ext cx="8861425" cy="4548505"/>
                    </a:xfrm>
                    <a:prstGeom prst="rect">
                      <a:avLst/>
                    </a:prstGeom>
                    <a:noFill/>
                    <a:ln>
                      <a:noFill/>
                    </a:ln>
                  </pic:spPr>
                </pic:pic>
              </a:graphicData>
            </a:graphic>
          </wp:inline>
        </w:drawing>
      </w:r>
    </w:p>
    <w:p>
      <w:pPr>
        <w:spacing w:line="240" w:lineRule="auto"/>
        <w:jc w:val="left"/>
        <w:rPr>
          <w:rFonts w:hint="eastAsia"/>
          <w:b/>
          <w:color w:val="auto"/>
          <w:sz w:val="32"/>
          <w:szCs w:val="32"/>
          <w:lang w:val="en-US" w:eastAsia="zh-CN"/>
        </w:rPr>
      </w:pPr>
      <w:r>
        <w:rPr>
          <w:rFonts w:hint="eastAsia"/>
          <w:b/>
          <w:color w:val="auto"/>
          <w:sz w:val="32"/>
          <w:szCs w:val="32"/>
          <w:lang w:val="en-US" w:eastAsia="zh-CN"/>
        </w:rPr>
        <w:t>附图九：现场踏勘照片</w:t>
      </w:r>
      <w:r>
        <w:rPr>
          <w:rFonts w:hint="eastAsia"/>
          <w:lang w:val="en-US" w:eastAsia="zh-CN"/>
        </w:rPr>
        <w:drawing>
          <wp:inline distT="0" distB="0" distL="114300" distR="114300">
            <wp:extent cx="8779510" cy="4544695"/>
            <wp:effectExtent l="0" t="0" r="2540" b="8255"/>
            <wp:docPr id="32" name="图片 32" descr="微信图片_2023111010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微信图片_20231110104148"/>
                    <pic:cNvPicPr>
                      <a:picLocks noChangeAspect="1"/>
                    </pic:cNvPicPr>
                  </pic:nvPicPr>
                  <pic:blipFill>
                    <a:blip r:embed="rId73"/>
                    <a:stretch>
                      <a:fillRect/>
                    </a:stretch>
                  </pic:blipFill>
                  <pic:spPr>
                    <a:xfrm>
                      <a:off x="0" y="0"/>
                      <a:ext cx="8779510" cy="4544695"/>
                    </a:xfrm>
                    <a:prstGeom prst="rect">
                      <a:avLst/>
                    </a:prstGeom>
                  </pic:spPr>
                </pic:pic>
              </a:graphicData>
            </a:graphic>
          </wp:inline>
        </w:drawing>
      </w:r>
    </w:p>
    <w:p>
      <w:pPr>
        <w:pStyle w:val="2"/>
        <w:rPr>
          <w:rFonts w:hint="eastAsia"/>
          <w:lang w:val="en-US" w:eastAsia="zh-CN"/>
        </w:rPr>
      </w:pPr>
      <w:r>
        <w:rPr>
          <w:rFonts w:hint="eastAsia"/>
          <w:lang w:val="en-US" w:eastAsia="zh-CN"/>
        </w:rPr>
        <w:drawing>
          <wp:inline distT="0" distB="0" distL="114300" distR="114300">
            <wp:extent cx="8874125" cy="5055870"/>
            <wp:effectExtent l="0" t="0" r="3175" b="11430"/>
            <wp:docPr id="21" name="图片 21" descr="微信图片_2023111010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31110104204"/>
                    <pic:cNvPicPr>
                      <a:picLocks noChangeAspect="1"/>
                    </pic:cNvPicPr>
                  </pic:nvPicPr>
                  <pic:blipFill>
                    <a:blip r:embed="rId74"/>
                    <a:stretch>
                      <a:fillRect/>
                    </a:stretch>
                  </pic:blipFill>
                  <pic:spPr>
                    <a:xfrm>
                      <a:off x="0" y="0"/>
                      <a:ext cx="8874125" cy="5055870"/>
                    </a:xfrm>
                    <a:prstGeom prst="rect">
                      <a:avLst/>
                    </a:prstGeom>
                  </pic:spPr>
                </pic:pic>
              </a:graphicData>
            </a:graphic>
          </wp:inline>
        </w:drawing>
      </w:r>
    </w:p>
    <w:sectPr>
      <w:pgSz w:w="16838" w:h="11906" w:orient="landscape"/>
      <w:pgMar w:top="1800" w:right="1440" w:bottom="2143" w:left="144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Noto Sans CJK JP Black">
    <w:altName w:val="Segoe Print"/>
    <w:panose1 w:val="00000000000000000000"/>
    <w:charset w:val="00"/>
    <w:family w:val="swiss"/>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jc w:val="right"/>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- 38 -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- 38 -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- 2 -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- 2 -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jc w:val="right"/>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- 4 -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- 4 -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- 9 -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- 9 -</w:t>
                    </w:r>
                    <w:r>
                      <w:fldChar w:fldCharType="end"/>
                    </w:r>
                  </w:p>
                </w:txbxContent>
              </v:textbox>
            </v:shape>
          </w:pict>
        </mc:Fallback>
      </mc:AlternateContent>
    </w:r>
    <w:r>
      <w:rPr>
        <w:rFonts w:ascii="Times New Roman" w:hAnsi="Times New Roman" w:eastAsia="Times New Roman" w:cs="Times New Roman"/>
        <w:spacing w:val="-1"/>
        <w:sz w:val="18"/>
        <w:szCs w:val="18"/>
      </w:rPr>
      <w:t>22</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- 17 -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- 17 -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- 27 -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- 27 -</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jc w:val="right"/>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- 31 -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- 31 -</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- 36 -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- 36 -</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39" w:lineRule="exact"/>
      <w:rPr>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39" w:lineRule="exact"/>
      <w:rPr>
        <w:sz w:val="21"/>
        <w:szCs w:val="21"/>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39" w:lineRule="exact"/>
      <w:rPr>
        <w:sz w:val="21"/>
        <w:szCs w:val="21"/>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39" w:lineRule="exact"/>
      <w:rPr>
        <w:sz w:val="21"/>
        <w:szCs w:val="21"/>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39" w:lineRule="exact"/>
      <w:jc w:val="both"/>
      <w:rPr>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043DA4"/>
    <w:multiLevelType w:val="singleLevel"/>
    <w:tmpl w:val="A8043DA4"/>
    <w:lvl w:ilvl="0" w:tentative="0">
      <w:start w:val="2"/>
      <w:numFmt w:val="chineseCounting"/>
      <w:suff w:val="nothing"/>
      <w:lvlText w:val="%1、"/>
      <w:lvlJc w:val="left"/>
      <w:rPr>
        <w:rFonts w:hint="eastAsia"/>
      </w:rPr>
    </w:lvl>
  </w:abstractNum>
  <w:abstractNum w:abstractNumId="1">
    <w:nsid w:val="F89497E4"/>
    <w:multiLevelType w:val="singleLevel"/>
    <w:tmpl w:val="F89497E4"/>
    <w:lvl w:ilvl="0" w:tentative="0">
      <w:start w:val="6"/>
      <w:numFmt w:val="decimal"/>
      <w:suff w:val="nothing"/>
      <w:lvlText w:val="%1、"/>
      <w:lvlJc w:val="left"/>
    </w:lvl>
  </w:abstractNum>
  <w:abstractNum w:abstractNumId="2">
    <w:nsid w:val="FAC11045"/>
    <w:multiLevelType w:val="singleLevel"/>
    <w:tmpl w:val="FAC11045"/>
    <w:lvl w:ilvl="0" w:tentative="0">
      <w:start w:val="3"/>
      <w:numFmt w:val="decimal"/>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M4ZTA0YTIxZGE1YmFkODcxYTMzZGQyYzk0MzUwNjYifQ=="/>
  </w:docVars>
  <w:rsids>
    <w:rsidRoot w:val="022D7809"/>
    <w:rsid w:val="003B643A"/>
    <w:rsid w:val="00D348C5"/>
    <w:rsid w:val="01436784"/>
    <w:rsid w:val="022D7809"/>
    <w:rsid w:val="06F832D7"/>
    <w:rsid w:val="075B5D40"/>
    <w:rsid w:val="07A96C95"/>
    <w:rsid w:val="07FB05BA"/>
    <w:rsid w:val="086460C9"/>
    <w:rsid w:val="09A04E04"/>
    <w:rsid w:val="09DE4523"/>
    <w:rsid w:val="0AF344E1"/>
    <w:rsid w:val="0BAD4690"/>
    <w:rsid w:val="0BC167E4"/>
    <w:rsid w:val="0BC71368"/>
    <w:rsid w:val="0C9E047D"/>
    <w:rsid w:val="0D106986"/>
    <w:rsid w:val="0D49663A"/>
    <w:rsid w:val="0E1C2936"/>
    <w:rsid w:val="0E974791"/>
    <w:rsid w:val="0ED65CAC"/>
    <w:rsid w:val="0FC635D9"/>
    <w:rsid w:val="102B3F18"/>
    <w:rsid w:val="104D3DF0"/>
    <w:rsid w:val="11A448C7"/>
    <w:rsid w:val="11E3491C"/>
    <w:rsid w:val="12FC3238"/>
    <w:rsid w:val="13884674"/>
    <w:rsid w:val="15A7528C"/>
    <w:rsid w:val="166F7C3D"/>
    <w:rsid w:val="17170C88"/>
    <w:rsid w:val="17440211"/>
    <w:rsid w:val="17497381"/>
    <w:rsid w:val="17CA4155"/>
    <w:rsid w:val="18FC3673"/>
    <w:rsid w:val="1912211A"/>
    <w:rsid w:val="19365E0B"/>
    <w:rsid w:val="194723AF"/>
    <w:rsid w:val="1A134258"/>
    <w:rsid w:val="1A593F8C"/>
    <w:rsid w:val="1A803D0D"/>
    <w:rsid w:val="1AAE5305"/>
    <w:rsid w:val="1B222778"/>
    <w:rsid w:val="1E3F65B2"/>
    <w:rsid w:val="1EBF44DF"/>
    <w:rsid w:val="1F3D6E2A"/>
    <w:rsid w:val="204038CD"/>
    <w:rsid w:val="21A468EA"/>
    <w:rsid w:val="22BE5D03"/>
    <w:rsid w:val="237F6C74"/>
    <w:rsid w:val="248036D4"/>
    <w:rsid w:val="24D47D74"/>
    <w:rsid w:val="24D85F70"/>
    <w:rsid w:val="2500362B"/>
    <w:rsid w:val="2544160A"/>
    <w:rsid w:val="25B73093"/>
    <w:rsid w:val="26C04913"/>
    <w:rsid w:val="26CF6FBB"/>
    <w:rsid w:val="26EB3999"/>
    <w:rsid w:val="275E17B6"/>
    <w:rsid w:val="27E64D5A"/>
    <w:rsid w:val="289E5635"/>
    <w:rsid w:val="29C514FC"/>
    <w:rsid w:val="2A1F09F7"/>
    <w:rsid w:val="2A905CCB"/>
    <w:rsid w:val="2AC46B46"/>
    <w:rsid w:val="2AFB1FAF"/>
    <w:rsid w:val="2B3B53BD"/>
    <w:rsid w:val="2BC26019"/>
    <w:rsid w:val="2BED4162"/>
    <w:rsid w:val="2CF975E8"/>
    <w:rsid w:val="2D032C37"/>
    <w:rsid w:val="2DDC2106"/>
    <w:rsid w:val="2E482E0D"/>
    <w:rsid w:val="2E930FD1"/>
    <w:rsid w:val="2EC112D6"/>
    <w:rsid w:val="2F204A56"/>
    <w:rsid w:val="2F266384"/>
    <w:rsid w:val="2F453769"/>
    <w:rsid w:val="2FF635B8"/>
    <w:rsid w:val="31126BC0"/>
    <w:rsid w:val="31592B1D"/>
    <w:rsid w:val="31731E47"/>
    <w:rsid w:val="31A67788"/>
    <w:rsid w:val="31AE1456"/>
    <w:rsid w:val="32C739DA"/>
    <w:rsid w:val="32EB313F"/>
    <w:rsid w:val="334943EF"/>
    <w:rsid w:val="33664FA1"/>
    <w:rsid w:val="389609F4"/>
    <w:rsid w:val="39540759"/>
    <w:rsid w:val="3A4678DA"/>
    <w:rsid w:val="3B6953DE"/>
    <w:rsid w:val="3CF96AD3"/>
    <w:rsid w:val="3D587207"/>
    <w:rsid w:val="3D956E55"/>
    <w:rsid w:val="3DF00289"/>
    <w:rsid w:val="450862B9"/>
    <w:rsid w:val="450B7E80"/>
    <w:rsid w:val="45792FD7"/>
    <w:rsid w:val="45C278BD"/>
    <w:rsid w:val="46195EA3"/>
    <w:rsid w:val="4626013B"/>
    <w:rsid w:val="478E45A0"/>
    <w:rsid w:val="48D5496B"/>
    <w:rsid w:val="493A23C2"/>
    <w:rsid w:val="4A4154D9"/>
    <w:rsid w:val="4A78688A"/>
    <w:rsid w:val="4A9443BB"/>
    <w:rsid w:val="4ABF71B2"/>
    <w:rsid w:val="4B2C50E0"/>
    <w:rsid w:val="4CB8194E"/>
    <w:rsid w:val="4D090A1F"/>
    <w:rsid w:val="4D371A30"/>
    <w:rsid w:val="4D987FF5"/>
    <w:rsid w:val="4DA34B7F"/>
    <w:rsid w:val="4DE1374A"/>
    <w:rsid w:val="50DB55BF"/>
    <w:rsid w:val="510E57E5"/>
    <w:rsid w:val="52840CD7"/>
    <w:rsid w:val="53EB6539"/>
    <w:rsid w:val="55511BA6"/>
    <w:rsid w:val="565F40E9"/>
    <w:rsid w:val="56B23ED5"/>
    <w:rsid w:val="57211164"/>
    <w:rsid w:val="585B234B"/>
    <w:rsid w:val="58C62FF2"/>
    <w:rsid w:val="5946158C"/>
    <w:rsid w:val="59A42962"/>
    <w:rsid w:val="5A5D29CC"/>
    <w:rsid w:val="5A6B5E6C"/>
    <w:rsid w:val="5B437465"/>
    <w:rsid w:val="5BF33AC7"/>
    <w:rsid w:val="5CE24F20"/>
    <w:rsid w:val="5CF0204B"/>
    <w:rsid w:val="5DEB1D9A"/>
    <w:rsid w:val="6025484D"/>
    <w:rsid w:val="61B2747F"/>
    <w:rsid w:val="63175505"/>
    <w:rsid w:val="652455E8"/>
    <w:rsid w:val="662D5327"/>
    <w:rsid w:val="68484877"/>
    <w:rsid w:val="68630320"/>
    <w:rsid w:val="694C0422"/>
    <w:rsid w:val="69886D18"/>
    <w:rsid w:val="6C7C7008"/>
    <w:rsid w:val="6C860E3E"/>
    <w:rsid w:val="6D8343C6"/>
    <w:rsid w:val="6DAD2073"/>
    <w:rsid w:val="6DE9541A"/>
    <w:rsid w:val="6EC9104D"/>
    <w:rsid w:val="70263C2F"/>
    <w:rsid w:val="70333437"/>
    <w:rsid w:val="70457711"/>
    <w:rsid w:val="705A36F0"/>
    <w:rsid w:val="710F17AC"/>
    <w:rsid w:val="717209D9"/>
    <w:rsid w:val="72867712"/>
    <w:rsid w:val="743C1F3D"/>
    <w:rsid w:val="754C7BCD"/>
    <w:rsid w:val="755F2EF1"/>
    <w:rsid w:val="77055629"/>
    <w:rsid w:val="7A5F5678"/>
    <w:rsid w:val="7B831A74"/>
    <w:rsid w:val="7E7F71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heme="minorBidi"/>
      <w:kern w:val="2"/>
      <w:sz w:val="24"/>
      <w:szCs w:val="24"/>
      <w:lang w:val="en-US" w:eastAsia="zh-CN"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2">
    <w:name w:val="heading 2"/>
    <w:basedOn w:val="1"/>
    <w:next w:val="1"/>
    <w:qFormat/>
    <w:uiPriority w:val="0"/>
    <w:pPr>
      <w:keepNext/>
      <w:keepLines/>
      <w:spacing w:before="260" w:after="260" w:line="416" w:lineRule="auto"/>
      <w:outlineLvl w:val="1"/>
    </w:pPr>
    <w:rPr>
      <w:rFonts w:ascii="Arial" w:hAnsi="Arial"/>
      <w:b/>
      <w:bCs/>
      <w:sz w:val="28"/>
      <w:szCs w:val="32"/>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4">
    <w:name w:val="Normal Indent"/>
    <w:basedOn w:val="1"/>
    <w:next w:val="5"/>
    <w:qFormat/>
    <w:uiPriority w:val="0"/>
    <w:pPr>
      <w:ind w:firstLine="420"/>
    </w:pPr>
    <w:rPr>
      <w:szCs w:val="20"/>
    </w:rPr>
  </w:style>
  <w:style w:type="paragraph" w:styleId="5">
    <w:name w:val="Body Text First Indent 2"/>
    <w:basedOn w:val="6"/>
    <w:qFormat/>
    <w:uiPriority w:val="0"/>
    <w:pPr>
      <w:ind w:firstLine="420" w:firstLineChars="200"/>
    </w:pPr>
  </w:style>
  <w:style w:type="paragraph" w:styleId="6">
    <w:name w:val="Body Text Indent"/>
    <w:basedOn w:val="1"/>
    <w:qFormat/>
    <w:uiPriority w:val="0"/>
    <w:pPr>
      <w:spacing w:line="420" w:lineRule="auto"/>
      <w:ind w:firstLine="525"/>
    </w:pPr>
    <w:rPr>
      <w:sz w:val="28"/>
    </w:rPr>
  </w:style>
  <w:style w:type="paragraph" w:styleId="7">
    <w:name w:val="Body Text"/>
    <w:basedOn w:val="1"/>
    <w:semiHidden/>
    <w:qFormat/>
    <w:uiPriority w:val="0"/>
    <w:rPr>
      <w:rFonts w:ascii="黑体" w:hAnsi="黑体" w:eastAsia="黑体" w:cs="黑体"/>
      <w:sz w:val="28"/>
      <w:szCs w:val="28"/>
      <w:lang w:val="en-US" w:eastAsia="en-US" w:bidi="ar-SA"/>
    </w:rPr>
  </w:style>
  <w:style w:type="paragraph" w:styleId="8">
    <w:name w:val="footer"/>
    <w:basedOn w:val="1"/>
    <w:qFormat/>
    <w:uiPriority w:val="99"/>
    <w:pPr>
      <w:tabs>
        <w:tab w:val="center" w:pos="4153"/>
        <w:tab w:val="right" w:pos="8306"/>
      </w:tabs>
    </w:pPr>
    <w:rPr>
      <w:sz w:val="18"/>
      <w:szCs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qFormat/>
    <w:uiPriority w:val="0"/>
    <w:rPr>
      <w:color w:val="0000FF"/>
      <w:u w:val="single"/>
    </w:rPr>
  </w:style>
  <w:style w:type="paragraph" w:customStyle="1" w:styleId="14">
    <w:name w:val="Table Text"/>
    <w:basedOn w:val="1"/>
    <w:semiHidden/>
    <w:qFormat/>
    <w:uiPriority w:val="0"/>
    <w:rPr>
      <w:rFonts w:ascii="宋体" w:hAnsi="宋体" w:eastAsia="宋体" w:cs="宋体"/>
      <w:sz w:val="18"/>
      <w:szCs w:val="18"/>
      <w:lang w:val="en-US" w:eastAsia="en-US" w:bidi="ar-SA"/>
    </w:rPr>
  </w:style>
  <w:style w:type="table" w:customStyle="1" w:styleId="15">
    <w:name w:val="Table Normal"/>
    <w:semiHidden/>
    <w:unhideWhenUsed/>
    <w:qFormat/>
    <w:uiPriority w:val="0"/>
    <w:tblPr>
      <w:tblCellMar>
        <w:top w:w="0" w:type="dxa"/>
        <w:left w:w="0" w:type="dxa"/>
        <w:bottom w:w="0" w:type="dxa"/>
        <w:right w:w="0" w:type="dxa"/>
      </w:tblCellMar>
    </w:tblPr>
  </w:style>
  <w:style w:type="paragraph" w:customStyle="1" w:styleId="16">
    <w:name w:val="Default"/>
    <w:basedOn w:val="17"/>
    <w:next w:val="1"/>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17">
    <w:name w:val="纯文本1"/>
    <w:basedOn w:val="1"/>
    <w:qFormat/>
    <w:uiPriority w:val="0"/>
    <w:pPr>
      <w:adjustRightInd w:val="0"/>
      <w:spacing w:line="336" w:lineRule="auto"/>
      <w:ind w:firstLine="510"/>
      <w:textAlignment w:val="baseline"/>
    </w:pPr>
    <w:rPr>
      <w:rFonts w:ascii="宋体" w:hAnsi="Courier New"/>
      <w:szCs w:val="20"/>
    </w:rPr>
  </w:style>
  <w:style w:type="paragraph" w:customStyle="1" w:styleId="18">
    <w:name w:val="样式 正文缩进正文缩进2正文缩进 Char Char正文缩进 Char Char Char Char正文缩进 Char ..."/>
    <w:basedOn w:val="4"/>
    <w:qFormat/>
    <w:uiPriority w:val="0"/>
    <w:rPr>
      <w:rFonts w:cs="宋体"/>
    </w:rPr>
  </w:style>
  <w:style w:type="paragraph" w:customStyle="1" w:styleId="19">
    <w:name w:val="表格文字"/>
    <w:basedOn w:val="20"/>
    <w:next w:val="1"/>
    <w:qFormat/>
    <w:uiPriority w:val="0"/>
    <w:pPr>
      <w:adjustRightInd/>
      <w:spacing w:line="240" w:lineRule="auto"/>
      <w:jc w:val="center"/>
    </w:pPr>
    <w:rPr>
      <w:rFonts w:hAnsi="黑体"/>
      <w:kern w:val="44"/>
      <w:szCs w:val="20"/>
    </w:rPr>
  </w:style>
  <w:style w:type="paragraph" w:customStyle="1" w:styleId="20">
    <w:name w:val="正文1"/>
    <w:basedOn w:val="6"/>
    <w:next w:val="1"/>
    <w:qFormat/>
    <w:uiPriority w:val="0"/>
    <w:pPr>
      <w:adjustRightInd w:val="0"/>
      <w:spacing w:line="360" w:lineRule="atLeast"/>
      <w:textAlignment w:val="baseline"/>
    </w:pPr>
    <w:rPr>
      <w:rFonts w:ascii="宋体"/>
      <w:szCs w:val="22"/>
    </w:rPr>
  </w:style>
  <w:style w:type="paragraph" w:customStyle="1" w:styleId="21">
    <w:name w:val="Table Paragraph"/>
    <w:basedOn w:val="1"/>
    <w:qFormat/>
    <w:uiPriority w:val="1"/>
    <w:rPr>
      <w:rFonts w:ascii="Noto Sans CJK JP Black" w:hAnsi="Noto Sans CJK JP Black" w:eastAsia="Noto Sans CJK JP Black" w:cs="Noto Sans CJK JP Black"/>
      <w:lang w:val="en-US" w:eastAsia="zh-CN" w:bidi="ar-SA"/>
    </w:rPr>
  </w:style>
  <w:style w:type="paragraph" w:customStyle="1" w:styleId="22">
    <w:name w:val="表格五号"/>
    <w:basedOn w:val="1"/>
    <w:qFormat/>
    <w:uiPriority w:val="0"/>
    <w:pPr>
      <w:autoSpaceDE w:val="0"/>
      <w:autoSpaceDN w:val="0"/>
      <w:adjustRightInd w:val="0"/>
      <w:snapToGrid w:val="0"/>
      <w:jc w:val="center"/>
    </w:pPr>
    <w:rPr>
      <w:snapToGrid w:val="0"/>
      <w:kern w:val="0"/>
      <w:szCs w:val="21"/>
    </w:rPr>
  </w:style>
  <w:style w:type="paragraph" w:customStyle="1" w:styleId="23">
    <w:name w:val="Body text|1"/>
    <w:basedOn w:val="1"/>
    <w:qFormat/>
    <w:uiPriority w:val="0"/>
    <w:pPr>
      <w:widowControl w:val="0"/>
      <w:shd w:val="clear" w:color="auto" w:fill="auto"/>
      <w:spacing w:line="467" w:lineRule="exact"/>
      <w:ind w:firstLine="500"/>
    </w:pPr>
    <w:rPr>
      <w:rFonts w:ascii="宋体" w:hAnsi="宋体" w:eastAsia="宋体" w:cs="宋体"/>
      <w:u w:val="none"/>
      <w:shd w:val="clear" w:color="auto" w:fill="auto"/>
      <w:lang w:val="zh-TW" w:eastAsia="zh-TW" w:bidi="zh-TW"/>
    </w:rPr>
  </w:style>
  <w:style w:type="paragraph" w:customStyle="1" w:styleId="24">
    <w:name w:val="Body text|2"/>
    <w:basedOn w:val="1"/>
    <w:qFormat/>
    <w:uiPriority w:val="0"/>
    <w:pPr>
      <w:widowControl w:val="0"/>
      <w:shd w:val="clear" w:color="auto" w:fill="auto"/>
    </w:pPr>
    <w:rPr>
      <w:rFonts w:ascii="宋体" w:hAnsi="宋体" w:eastAsia="宋体" w:cs="宋体"/>
      <w:color w:val="6E656F"/>
      <w:sz w:val="20"/>
      <w:szCs w:val="20"/>
      <w:u w:val="none"/>
      <w:shd w:val="clear" w:color="auto" w:fill="auto"/>
      <w:lang w:val="zh-TW" w:eastAsia="zh-TW" w:bidi="zh-TW"/>
    </w:rPr>
  </w:style>
  <w:style w:type="paragraph" w:styleId="25">
    <w:name w:val="List Paragraph"/>
    <w:basedOn w:val="1"/>
    <w:qFormat/>
    <w:uiPriority w:val="1"/>
    <w:pPr>
      <w:adjustRightInd/>
      <w:snapToGrid/>
      <w:spacing w:line="240" w:lineRule="auto"/>
      <w:ind w:firstLine="200" w:firstLineChars="200"/>
    </w:pPr>
    <w:rPr>
      <w:rFonts w:ascii="Calibri" w:cs="Calibri"/>
      <w:sz w:val="21"/>
      <w:szCs w:val="21"/>
    </w:rPr>
  </w:style>
  <w:style w:type="paragraph" w:customStyle="1" w:styleId="26">
    <w:name w:val="样式2"/>
    <w:basedOn w:val="19"/>
    <w:qFormat/>
    <w:uiPriority w:val="0"/>
    <w:pPr>
      <w:autoSpaceDE w:val="0"/>
      <w:autoSpaceDN w:val="0"/>
      <w:adjustRightInd w:val="0"/>
      <w:spacing w:before="46" w:after="46" w:line="0" w:lineRule="atLeast"/>
      <w:ind w:firstLine="0" w:firstLineChars="0"/>
    </w:pPr>
    <w:rPr>
      <w:rFonts w:hAnsi="宋体"/>
      <w:szCs w:val="24"/>
    </w:rPr>
  </w:style>
  <w:style w:type="paragraph" w:customStyle="1" w:styleId="27">
    <w:name w:val="5-标题"/>
    <w:basedOn w:val="1"/>
    <w:qFormat/>
    <w:uiPriority w:val="0"/>
    <w:pPr>
      <w:overflowPunct w:val="0"/>
      <w:topLinePunct/>
      <w:ind w:firstLine="0" w:firstLineChars="0"/>
      <w:jc w:val="center"/>
    </w:pPr>
    <w:rPr>
      <w:b/>
    </w:rPr>
  </w:style>
  <w:style w:type="paragraph" w:customStyle="1" w:styleId="28">
    <w:name w:val="表格内容"/>
    <w:basedOn w:val="4"/>
    <w:next w:val="1"/>
    <w:qFormat/>
    <w:uiPriority w:val="0"/>
    <w:pPr>
      <w:overflowPunct w:val="0"/>
      <w:jc w:val="center"/>
      <w:textAlignment w:val="baseline"/>
    </w:pPr>
    <w:rPr>
      <w:kern w:val="0"/>
      <w:sz w:val="18"/>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footer" Target="footer3.xml"/><Relationship Id="rId77" Type="http://schemas.openxmlformats.org/officeDocument/2006/relationships/fontTable" Target="fontTable.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51.jpeg"/><Relationship Id="rId73" Type="http://schemas.openxmlformats.org/officeDocument/2006/relationships/image" Target="media/image50.jpe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jpeg"/><Relationship Id="rId7" Type="http://schemas.openxmlformats.org/officeDocument/2006/relationships/header" Target="header1.xml"/><Relationship Id="rId69" Type="http://schemas.openxmlformats.org/officeDocument/2006/relationships/image" Target="media/image46.jpeg"/><Relationship Id="rId68" Type="http://schemas.openxmlformats.org/officeDocument/2006/relationships/image" Target="media/image45.jpeg"/><Relationship Id="rId67" Type="http://schemas.openxmlformats.org/officeDocument/2006/relationships/image" Target="media/image44.jpeg"/><Relationship Id="rId66" Type="http://schemas.openxmlformats.org/officeDocument/2006/relationships/image" Target="media/image43.jpeg"/><Relationship Id="rId65" Type="http://schemas.openxmlformats.org/officeDocument/2006/relationships/image" Target="media/image42.jpe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footer" Target="footer2.xml"/><Relationship Id="rId59" Type="http://schemas.openxmlformats.org/officeDocument/2006/relationships/image" Target="media/image36.jpeg"/><Relationship Id="rId58" Type="http://schemas.openxmlformats.org/officeDocument/2006/relationships/image" Target="media/image35.jpeg"/><Relationship Id="rId57" Type="http://schemas.openxmlformats.org/officeDocument/2006/relationships/image" Target="media/image34.jpeg"/><Relationship Id="rId56" Type="http://schemas.openxmlformats.org/officeDocument/2006/relationships/image" Target="media/image33.jpeg"/><Relationship Id="rId55" Type="http://schemas.openxmlformats.org/officeDocument/2006/relationships/image" Target="media/image32.jpeg"/><Relationship Id="rId54" Type="http://schemas.openxmlformats.org/officeDocument/2006/relationships/image" Target="media/image31.jpeg"/><Relationship Id="rId53" Type="http://schemas.openxmlformats.org/officeDocument/2006/relationships/image" Target="media/image30.jpeg"/><Relationship Id="rId52" Type="http://schemas.openxmlformats.org/officeDocument/2006/relationships/image" Target="media/image29.jpeg"/><Relationship Id="rId51" Type="http://schemas.openxmlformats.org/officeDocument/2006/relationships/image" Target="media/image28.jpeg"/><Relationship Id="rId50" Type="http://schemas.openxmlformats.org/officeDocument/2006/relationships/image" Target="media/image27.jpeg"/><Relationship Id="rId5" Type="http://schemas.openxmlformats.org/officeDocument/2006/relationships/footer" Target="footer1.xml"/><Relationship Id="rId49" Type="http://schemas.openxmlformats.org/officeDocument/2006/relationships/image" Target="media/image26.jpeg"/><Relationship Id="rId48" Type="http://schemas.openxmlformats.org/officeDocument/2006/relationships/image" Target="media/image25.jpeg"/><Relationship Id="rId47" Type="http://schemas.openxmlformats.org/officeDocument/2006/relationships/image" Target="media/image24.jpeg"/><Relationship Id="rId46" Type="http://schemas.openxmlformats.org/officeDocument/2006/relationships/image" Target="media/image23.jpeg"/><Relationship Id="rId45" Type="http://schemas.openxmlformats.org/officeDocument/2006/relationships/image" Target="media/image22.jpeg"/><Relationship Id="rId44" Type="http://schemas.openxmlformats.org/officeDocument/2006/relationships/image" Target="media/image21.jpeg"/><Relationship Id="rId43" Type="http://schemas.openxmlformats.org/officeDocument/2006/relationships/image" Target="media/image20.jpeg"/><Relationship Id="rId42" Type="http://schemas.openxmlformats.org/officeDocument/2006/relationships/image" Target="media/image19.jpeg"/><Relationship Id="rId41" Type="http://schemas.openxmlformats.org/officeDocument/2006/relationships/image" Target="media/image18.jpeg"/><Relationship Id="rId40" Type="http://schemas.openxmlformats.org/officeDocument/2006/relationships/image" Target="media/image17.jpeg"/><Relationship Id="rId4" Type="http://schemas.openxmlformats.org/officeDocument/2006/relationships/endnotes" Target="endnotes.xml"/><Relationship Id="rId39" Type="http://schemas.openxmlformats.org/officeDocument/2006/relationships/image" Target="media/image16.jpeg"/><Relationship Id="rId38" Type="http://schemas.openxmlformats.org/officeDocument/2006/relationships/image" Target="media/image15.jpeg"/><Relationship Id="rId37" Type="http://schemas.openxmlformats.org/officeDocument/2006/relationships/image" Target="media/image14.jpeg"/><Relationship Id="rId36" Type="http://schemas.openxmlformats.org/officeDocument/2006/relationships/image" Target="media/image13.jpeg"/><Relationship Id="rId35" Type="http://schemas.openxmlformats.org/officeDocument/2006/relationships/image" Target="media/image12.jpeg"/><Relationship Id="rId34" Type="http://schemas.openxmlformats.org/officeDocument/2006/relationships/image" Target="media/image11.jpeg"/><Relationship Id="rId33" Type="http://schemas.openxmlformats.org/officeDocument/2006/relationships/image" Target="media/image10.jpeg"/><Relationship Id="rId32" Type="http://schemas.openxmlformats.org/officeDocument/2006/relationships/image" Target="media/image9.jpeg"/><Relationship Id="rId31" Type="http://schemas.openxmlformats.org/officeDocument/2006/relationships/image" Target="media/image8.jpeg"/><Relationship Id="rId30" Type="http://schemas.openxmlformats.org/officeDocument/2006/relationships/image" Target="media/image7.jpeg"/><Relationship Id="rId3" Type="http://schemas.openxmlformats.org/officeDocument/2006/relationships/footnotes" Target="footnotes.xml"/><Relationship Id="rId29" Type="http://schemas.openxmlformats.org/officeDocument/2006/relationships/image" Target="media/image6.jpeg"/><Relationship Id="rId28" Type="http://schemas.openxmlformats.org/officeDocument/2006/relationships/image" Target="media/image5.jpeg"/><Relationship Id="rId27" Type="http://schemas.openxmlformats.org/officeDocument/2006/relationships/image" Target="media/image4.jpeg"/><Relationship Id="rId26" Type="http://schemas.openxmlformats.org/officeDocument/2006/relationships/image" Target="media/image3.jpeg"/><Relationship Id="rId25" Type="http://schemas.openxmlformats.org/officeDocument/2006/relationships/image" Target="media/image2.jpeg"/><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footer" Target="footer10.xml"/><Relationship Id="rId21" Type="http://schemas.openxmlformats.org/officeDocument/2006/relationships/header" Target="header8.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footer" Target="footer6.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125</Pages>
  <Words>48551</Words>
  <Characters>55783</Characters>
  <Lines>0</Lines>
  <Paragraphs>0</Paragraphs>
  <TotalTime>2</TotalTime>
  <ScaleCrop>false</ScaleCrop>
  <LinksUpToDate>false</LinksUpToDate>
  <CharactersWithSpaces>56338</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2023-09-18T02:38:00Z</dcterms:created>
  <dc:creator>qzuser</dc:creator>
  <cp:lastModifiedBy>qzuser</cp:lastModifiedBy>
  <dcterms:modified xsi:type="dcterms:W3CDTF">2023-11-11T01:26:59Z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6AC0FD7C4BDC4F5882FEF6BC13270949_13</vt:lpwstr>
  </property>
</Properties>
</file>