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40" w:line="266" w:lineRule="auto"/>
        <w:ind w:right="88" w:rightChars="0"/>
        <w:jc w:val="center"/>
        <w:outlineLvl w:val="9"/>
        <w:rPr>
          <w:rFonts w:hint="eastAsia" w:ascii="方正小标宋简体" w:hAnsi="方正小标宋简体" w:eastAsia="方正小标宋简体" w:cs="方正小标宋简体"/>
          <w:color w:val="auto"/>
          <w:spacing w:val="9"/>
          <w:sz w:val="47"/>
          <w:szCs w:val="47"/>
          <w:lang w:val="en-US" w:eastAsia="zh-CN"/>
        </w:rPr>
      </w:pPr>
      <w:r>
        <w:rPr>
          <w:rFonts w:hint="eastAsia" w:ascii="方正小标宋简体" w:hAnsi="方正小标宋简体" w:eastAsia="方正小标宋简体" w:cs="方正小标宋简体"/>
          <w:color w:val="auto"/>
          <w:spacing w:val="9"/>
          <w:sz w:val="44"/>
          <w:szCs w:val="44"/>
          <w:lang w:val="en-US" w:eastAsia="zh-CN"/>
        </w:rPr>
        <w:t>高台县2026—2028年</w:t>
      </w:r>
      <w:r>
        <w:rPr>
          <w:rFonts w:ascii="方正小标宋简体" w:hAnsi="方正小标宋简体" w:eastAsia="方正小标宋简体" w:cs="方正小标宋简体"/>
          <w:color w:val="auto"/>
          <w:spacing w:val="9"/>
          <w:sz w:val="44"/>
          <w:szCs w:val="44"/>
        </w:rPr>
        <w:t>生态环境问题诊断及质量改善提升对策研究报告</w:t>
      </w: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bookmarkStart w:id="67" w:name="_GoBack"/>
      <w:bookmarkEnd w:id="67"/>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2" w:lineRule="auto"/>
        <w:rPr>
          <w:color w:val="auto"/>
        </w:rPr>
      </w:pPr>
    </w:p>
    <w:p>
      <w:pPr>
        <w:spacing w:before="101" w:line="225" w:lineRule="auto"/>
        <w:ind w:left="3261"/>
        <w:rPr>
          <w:rFonts w:ascii="宋体" w:hAnsi="宋体" w:eastAsia="宋体" w:cs="宋体"/>
          <w:color w:val="auto"/>
          <w:sz w:val="31"/>
          <w:szCs w:val="31"/>
        </w:rPr>
        <w:sectPr>
          <w:pgSz w:w="11906" w:h="16839"/>
          <w:pgMar w:top="2098" w:right="1474" w:bottom="1984" w:left="1587" w:header="0" w:footer="1417" w:gutter="0"/>
          <w:pgNumType w:fmt="decimal" w:start="0"/>
          <w:cols w:space="0" w:num="1"/>
          <w:rtlGutter w:val="0"/>
          <w:docGrid w:linePitch="0" w:charSpace="0"/>
        </w:sectPr>
      </w:pPr>
      <w:r>
        <w:rPr>
          <w:rFonts w:hint="eastAsia" w:ascii="仿宋_GB2312" w:hAnsi="仿宋_GB2312" w:eastAsia="仿宋_GB2312" w:cs="仿宋_GB2312"/>
          <w:b/>
          <w:bCs/>
          <w:color w:val="auto"/>
          <w:spacing w:val="-4"/>
          <w:sz w:val="31"/>
          <w:szCs w:val="31"/>
        </w:rPr>
        <w:t>202</w:t>
      </w:r>
      <w:r>
        <w:rPr>
          <w:rFonts w:hint="eastAsia" w:ascii="仿宋_GB2312" w:hAnsi="仿宋_GB2312" w:eastAsia="仿宋_GB2312" w:cs="仿宋_GB2312"/>
          <w:b/>
          <w:bCs/>
          <w:color w:val="auto"/>
          <w:spacing w:val="-4"/>
          <w:sz w:val="31"/>
          <w:szCs w:val="31"/>
          <w:lang w:val="en-US" w:eastAsia="zh-CN"/>
        </w:rPr>
        <w:t>6</w:t>
      </w:r>
      <w:r>
        <w:rPr>
          <w:rFonts w:ascii="宋体" w:hAnsi="宋体" w:eastAsia="宋体" w:cs="宋体"/>
          <w:b/>
          <w:bCs/>
          <w:color w:val="auto"/>
          <w:spacing w:val="-4"/>
          <w:sz w:val="31"/>
          <w:szCs w:val="31"/>
        </w:rPr>
        <w:t>年</w:t>
      </w:r>
      <w:r>
        <w:rPr>
          <w:rFonts w:hint="eastAsia" w:ascii="宋体" w:hAnsi="宋体" w:eastAsia="宋体" w:cs="宋体"/>
          <w:b/>
          <w:bCs/>
          <w:color w:val="auto"/>
          <w:spacing w:val="-4"/>
          <w:sz w:val="31"/>
          <w:szCs w:val="31"/>
          <w:lang w:val="en-US" w:eastAsia="zh-CN"/>
        </w:rPr>
        <w:t>5</w:t>
      </w:r>
      <w:r>
        <w:rPr>
          <w:rFonts w:ascii="Times New Roman" w:hAnsi="Times New Roman" w:eastAsia="Times New Roman" w:cs="Times New Roman"/>
          <w:b/>
          <w:bCs/>
          <w:color w:val="auto"/>
          <w:spacing w:val="-4"/>
          <w:sz w:val="31"/>
          <w:szCs w:val="31"/>
        </w:rPr>
        <w:t>月</w:t>
      </w:r>
    </w:p>
    <w:p>
      <w:pPr>
        <w:spacing w:before="193" w:line="222" w:lineRule="auto"/>
        <w:rPr>
          <w:rFonts w:ascii="宋体" w:hAnsi="宋体" w:eastAsia="宋体" w:cs="宋体"/>
          <w:color w:val="auto"/>
          <w:sz w:val="28"/>
          <w:szCs w:val="28"/>
        </w:rPr>
      </w:pPr>
    </w:p>
    <w:sdt>
      <w:sdtPr>
        <w:rPr>
          <w:rFonts w:hint="eastAsia" w:ascii="新宋体" w:hAnsi="新宋体" w:eastAsia="新宋体" w:cs="新宋体"/>
          <w:snapToGrid w:val="0"/>
          <w:color w:val="auto"/>
          <w:kern w:val="0"/>
          <w:sz w:val="32"/>
          <w:szCs w:val="32"/>
          <w:lang w:val="en-US" w:eastAsia="en-US" w:bidi="ar-SA"/>
        </w:rPr>
        <w:id w:val="147469604"/>
        <w15:color w:val="DBDBDB"/>
        <w:docPartObj>
          <w:docPartGallery w:val="Table of Contents"/>
          <w:docPartUnique/>
        </w:docPartObj>
      </w:sdtPr>
      <w:sdtEndPr>
        <w:rPr>
          <w:rFonts w:hint="eastAsia" w:ascii="Arial" w:hAnsi="Arial" w:eastAsia="Arial" w:cs="Arial"/>
          <w:snapToGrid w:val="0"/>
          <w:color w:val="auto"/>
          <w:kern w:val="0"/>
          <w:sz w:val="21"/>
          <w:szCs w:val="21"/>
          <w:lang w:val="en-US" w:eastAsia="en-US" w:bidi="ar-SA"/>
        </w:rPr>
      </w:sdtEndPr>
      <w:sdtContent>
        <w:p>
          <w:pPr>
            <w:spacing w:before="0" w:beforeLines="0" w:after="0" w:afterLines="0" w:line="240" w:lineRule="auto"/>
            <w:ind w:left="0" w:leftChars="0" w:right="0" w:rightChars="0" w:firstLine="0" w:firstLineChars="0"/>
            <w:jc w:val="center"/>
            <w:rPr>
              <w:rFonts w:hint="eastAsia" w:ascii="新宋体" w:hAnsi="新宋体" w:eastAsia="新宋体" w:cs="新宋体"/>
              <w:color w:val="auto"/>
              <w:sz w:val="32"/>
              <w:szCs w:val="32"/>
            </w:rPr>
          </w:pPr>
          <w:r>
            <w:rPr>
              <w:rFonts w:hint="eastAsia" w:ascii="新宋体" w:hAnsi="新宋体" w:eastAsia="新宋体" w:cs="新宋体"/>
              <w:color w:val="auto"/>
              <w:sz w:val="32"/>
              <w:szCs w:val="32"/>
            </w:rPr>
            <w:t>目录</w:t>
          </w:r>
        </w:p>
        <w:p>
          <w:pPr>
            <w:pStyle w:val="8"/>
            <w:tabs>
              <w:tab w:val="right" w:leader="dot" w:pos="8845"/>
            </w:tabs>
            <w:rPr>
              <w:color w:val="auto"/>
            </w:rPr>
          </w:pPr>
          <w:r>
            <w:rPr>
              <w:rFonts w:hint="eastAsia" w:eastAsia="宋体" w:cs="Arial"/>
              <w:snapToGrid w:val="0"/>
              <w:color w:val="auto"/>
              <w:kern w:val="0"/>
              <w:sz w:val="21"/>
              <w:szCs w:val="21"/>
              <w:lang w:val="en-US" w:eastAsia="zh-CN" w:bidi="ar-SA"/>
            </w:rPr>
            <w:t>一、</w:t>
          </w:r>
          <w:r>
            <w:rPr>
              <w:rFonts w:ascii="Arial" w:hAnsi="Arial" w:eastAsia="Arial" w:cs="Arial"/>
              <w:snapToGrid w:val="0"/>
              <w:color w:val="auto"/>
              <w:kern w:val="0"/>
              <w:sz w:val="21"/>
              <w:szCs w:val="21"/>
              <w:lang w:val="en-US" w:eastAsia="en-US" w:bidi="ar-SA"/>
            </w:rPr>
            <w:fldChar w:fldCharType="begin"/>
          </w:r>
          <w:r>
            <w:rPr>
              <w:rFonts w:ascii="Arial" w:hAnsi="Arial" w:eastAsia="Arial" w:cs="Arial"/>
              <w:snapToGrid w:val="0"/>
              <w:color w:val="auto"/>
              <w:kern w:val="0"/>
              <w:sz w:val="21"/>
              <w:szCs w:val="21"/>
              <w:lang w:val="en-US" w:eastAsia="en-US" w:bidi="ar-SA"/>
            </w:rPr>
            <w:instrText xml:space="preserve">TOC \o "1-9" \h \u </w:instrText>
          </w:r>
          <w:r>
            <w:rPr>
              <w:rFonts w:ascii="Arial" w:hAnsi="Arial" w:eastAsia="Arial" w:cs="Arial"/>
              <w:snapToGrid w:val="0"/>
              <w:color w:val="auto"/>
              <w:kern w:val="0"/>
              <w:sz w:val="21"/>
              <w:szCs w:val="21"/>
              <w:lang w:val="en-US" w:eastAsia="en-US" w:bidi="ar-SA"/>
            </w:rPr>
            <w:fldChar w:fldCharType="separate"/>
          </w: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_Toc29487 </w:instrText>
          </w:r>
          <w:r>
            <w:rPr>
              <w:rFonts w:ascii="Arial" w:hAnsi="Arial" w:eastAsia="Arial" w:cs="Arial"/>
              <w:snapToGrid w:val="0"/>
              <w:color w:val="auto"/>
              <w:kern w:val="0"/>
              <w:szCs w:val="21"/>
              <w:lang w:val="en-US" w:eastAsia="en-US" w:bidi="ar-SA"/>
            </w:rPr>
            <w:fldChar w:fldCharType="separate"/>
          </w:r>
          <w:r>
            <w:rPr>
              <w:rFonts w:hint="eastAsia" w:ascii="黑体" w:hAnsi="黑体" w:eastAsia="黑体" w:cs="黑体"/>
              <w:bCs w:val="0"/>
              <w:color w:val="auto"/>
              <w:spacing w:val="-14"/>
              <w:szCs w:val="32"/>
              <w:lang w:val="en-US" w:eastAsia="zh-CN"/>
            </w:rPr>
            <w:t>总论</w:t>
          </w:r>
          <w:r>
            <w:rPr>
              <w:color w:val="auto"/>
            </w:rPr>
            <w:tab/>
          </w:r>
          <w:r>
            <w:rPr>
              <w:color w:val="auto"/>
            </w:rPr>
            <w:fldChar w:fldCharType="begin"/>
          </w:r>
          <w:r>
            <w:rPr>
              <w:color w:val="auto"/>
            </w:rPr>
            <w:instrText xml:space="preserve"> PAGEREF _Toc29487 \h </w:instrText>
          </w:r>
          <w:r>
            <w:rPr>
              <w:color w:val="auto"/>
            </w:rPr>
            <w:fldChar w:fldCharType="separate"/>
          </w:r>
          <w:r>
            <w:rPr>
              <w:color w:val="auto"/>
            </w:rPr>
            <w:t>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_Toc18310 </w:instrText>
          </w:r>
          <w:r>
            <w:rPr>
              <w:rFonts w:ascii="Arial" w:hAnsi="Arial" w:eastAsia="Arial" w:cs="Arial"/>
              <w:snapToGrid w:val="0"/>
              <w:color w:val="auto"/>
              <w:kern w:val="0"/>
              <w:szCs w:val="21"/>
              <w:lang w:val="en-US" w:eastAsia="en-US" w:bidi="ar-SA"/>
            </w:rPr>
            <w:fldChar w:fldCharType="separate"/>
          </w:r>
          <w:r>
            <w:rPr>
              <w:rFonts w:hint="eastAsia" w:ascii="黑体" w:hAnsi="黑体" w:eastAsia="黑体" w:cs="黑体"/>
              <w:bCs/>
              <w:color w:val="auto"/>
              <w:spacing w:val="0"/>
              <w:w w:val="100"/>
              <w:position w:val="0"/>
              <w:szCs w:val="28"/>
            </w:rPr>
            <w:t>1.1</w:t>
          </w:r>
          <w:r>
            <w:rPr>
              <w:rFonts w:hint="eastAsia" w:ascii="黑体" w:hAnsi="黑体" w:eastAsia="黑体" w:cs="黑体"/>
              <w:bCs/>
              <w:color w:val="auto"/>
              <w:spacing w:val="0"/>
              <w:w w:val="100"/>
              <w:position w:val="0"/>
              <w:szCs w:val="28"/>
              <w:lang w:val="en-US" w:eastAsia="zh-CN"/>
            </w:rPr>
            <w:t xml:space="preserve">  </w:t>
          </w:r>
          <w:r>
            <w:rPr>
              <w:rFonts w:hint="eastAsia" w:ascii="黑体" w:hAnsi="黑体" w:eastAsia="黑体" w:cs="黑体"/>
              <w:bCs/>
              <w:color w:val="auto"/>
              <w:spacing w:val="0"/>
              <w:w w:val="100"/>
              <w:position w:val="0"/>
              <w:szCs w:val="28"/>
            </w:rPr>
            <w:t>项目背景</w:t>
          </w:r>
          <w:r>
            <w:rPr>
              <w:color w:val="auto"/>
            </w:rPr>
            <w:tab/>
          </w:r>
          <w:r>
            <w:rPr>
              <w:color w:val="auto"/>
            </w:rPr>
            <w:fldChar w:fldCharType="begin"/>
          </w:r>
          <w:r>
            <w:rPr>
              <w:color w:val="auto"/>
            </w:rPr>
            <w:instrText xml:space="preserve"> PAGEREF _Toc18310 \h </w:instrText>
          </w:r>
          <w:r>
            <w:rPr>
              <w:color w:val="auto"/>
            </w:rPr>
            <w:fldChar w:fldCharType="separate"/>
          </w:r>
          <w:r>
            <w:rPr>
              <w:color w:val="auto"/>
            </w:rPr>
            <w:t>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_Toc20230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0"/>
              <w:w w:val="100"/>
              <w:position w:val="0"/>
              <w:szCs w:val="32"/>
            </w:rPr>
            <w:t>1.2</w:t>
          </w:r>
          <w:r>
            <w:rPr>
              <w:rFonts w:hint="eastAsia" w:ascii="仿宋_GB2312" w:hAnsi="仿宋_GB2312" w:eastAsia="仿宋_GB2312" w:cs="仿宋_GB2312"/>
              <w:bCs/>
              <w:color w:val="auto"/>
              <w:spacing w:val="0"/>
              <w:w w:val="100"/>
              <w:position w:val="0"/>
              <w:szCs w:val="32"/>
              <w:lang w:val="en-US" w:eastAsia="zh-CN"/>
            </w:rPr>
            <w:t xml:space="preserve">  </w:t>
          </w:r>
          <w:r>
            <w:rPr>
              <w:rFonts w:hint="eastAsia" w:ascii="仿宋_GB2312" w:hAnsi="仿宋_GB2312" w:eastAsia="仿宋_GB2312" w:cs="仿宋_GB2312"/>
              <w:bCs/>
              <w:color w:val="auto"/>
              <w:spacing w:val="0"/>
              <w:w w:val="100"/>
              <w:position w:val="0"/>
              <w:szCs w:val="32"/>
            </w:rPr>
            <w:t>研究内容</w:t>
          </w:r>
          <w:r>
            <w:rPr>
              <w:color w:val="auto"/>
            </w:rPr>
            <w:tab/>
          </w:r>
          <w:r>
            <w:rPr>
              <w:color w:val="auto"/>
            </w:rPr>
            <w:fldChar w:fldCharType="begin"/>
          </w:r>
          <w:r>
            <w:rPr>
              <w:color w:val="auto"/>
            </w:rPr>
            <w:instrText xml:space="preserve"> PAGEREF _Toc20230 \h </w:instrText>
          </w:r>
          <w:r>
            <w:rPr>
              <w:color w:val="auto"/>
            </w:rPr>
            <w:fldChar w:fldCharType="separate"/>
          </w:r>
          <w:r>
            <w:rPr>
              <w:color w:val="auto"/>
            </w:rPr>
            <w:t>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_Toc11756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0"/>
              <w:w w:val="100"/>
              <w:position w:val="0"/>
              <w:szCs w:val="32"/>
            </w:rPr>
            <w:t>1.3  研究目标</w:t>
          </w:r>
          <w:r>
            <w:rPr>
              <w:color w:val="auto"/>
            </w:rPr>
            <w:tab/>
          </w:r>
          <w:r>
            <w:rPr>
              <w:color w:val="auto"/>
            </w:rPr>
            <w:fldChar w:fldCharType="begin"/>
          </w:r>
          <w:r>
            <w:rPr>
              <w:color w:val="auto"/>
            </w:rPr>
            <w:instrText xml:space="preserve"> PAGEREF _Toc11756 \h </w:instrText>
          </w:r>
          <w:r>
            <w:rPr>
              <w:color w:val="auto"/>
            </w:rPr>
            <w:fldChar w:fldCharType="separate"/>
          </w:r>
          <w:r>
            <w:rPr>
              <w:color w:val="auto"/>
            </w:rPr>
            <w:t>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_Toc26684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0"/>
              <w:w w:val="100"/>
              <w:position w:val="0"/>
              <w:szCs w:val="32"/>
            </w:rPr>
            <w:t>1.</w:t>
          </w:r>
          <w:r>
            <w:rPr>
              <w:rFonts w:hint="eastAsia" w:ascii="仿宋_GB2312" w:hAnsi="仿宋_GB2312" w:eastAsia="仿宋_GB2312" w:cs="仿宋_GB2312"/>
              <w:bCs/>
              <w:color w:val="auto"/>
              <w:spacing w:val="0"/>
              <w:w w:val="100"/>
              <w:position w:val="0"/>
              <w:szCs w:val="32"/>
              <w:lang w:val="en-US" w:eastAsia="zh-CN"/>
            </w:rPr>
            <w:t>4</w:t>
          </w:r>
          <w:r>
            <w:rPr>
              <w:rFonts w:hint="eastAsia" w:ascii="仿宋_GB2312" w:hAnsi="仿宋_GB2312" w:eastAsia="仿宋_GB2312" w:cs="仿宋_GB2312"/>
              <w:bCs/>
              <w:color w:val="auto"/>
              <w:spacing w:val="0"/>
              <w:w w:val="100"/>
              <w:position w:val="0"/>
              <w:szCs w:val="32"/>
            </w:rPr>
            <w:t xml:space="preserve">  研究范围与时限</w:t>
          </w:r>
          <w:r>
            <w:rPr>
              <w:color w:val="auto"/>
            </w:rPr>
            <w:tab/>
          </w:r>
          <w:r>
            <w:rPr>
              <w:color w:val="auto"/>
            </w:rPr>
            <w:fldChar w:fldCharType="begin"/>
          </w:r>
          <w:r>
            <w:rPr>
              <w:color w:val="auto"/>
            </w:rPr>
            <w:instrText xml:space="preserve"> PAGEREF _Toc26684 \h </w:instrText>
          </w:r>
          <w:r>
            <w:rPr>
              <w:color w:val="auto"/>
            </w:rPr>
            <w:fldChar w:fldCharType="separate"/>
          </w:r>
          <w:r>
            <w:rPr>
              <w:color w:val="auto"/>
            </w:rPr>
            <w:t>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_Toc20146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0"/>
              <w:w w:val="100"/>
              <w:position w:val="0"/>
              <w:szCs w:val="32"/>
            </w:rPr>
            <w:t>1.</w:t>
          </w:r>
          <w:r>
            <w:rPr>
              <w:rFonts w:hint="eastAsia" w:ascii="仿宋_GB2312" w:hAnsi="仿宋_GB2312" w:eastAsia="仿宋_GB2312" w:cs="仿宋_GB2312"/>
              <w:bCs/>
              <w:color w:val="auto"/>
              <w:spacing w:val="0"/>
              <w:w w:val="100"/>
              <w:position w:val="0"/>
              <w:szCs w:val="32"/>
              <w:lang w:val="en-US" w:eastAsia="zh-CN"/>
            </w:rPr>
            <w:t xml:space="preserve">5  </w:t>
          </w:r>
          <w:r>
            <w:rPr>
              <w:rFonts w:hint="eastAsia" w:ascii="仿宋_GB2312" w:hAnsi="仿宋_GB2312" w:eastAsia="仿宋_GB2312" w:cs="仿宋_GB2312"/>
              <w:bCs/>
              <w:color w:val="auto"/>
              <w:spacing w:val="0"/>
              <w:w w:val="100"/>
              <w:position w:val="0"/>
              <w:szCs w:val="32"/>
            </w:rPr>
            <w:t>生态环境改善目标</w:t>
          </w:r>
          <w:r>
            <w:rPr>
              <w:color w:val="auto"/>
            </w:rPr>
            <w:tab/>
          </w:r>
          <w:r>
            <w:rPr>
              <w:color w:val="auto"/>
            </w:rPr>
            <w:fldChar w:fldCharType="begin"/>
          </w:r>
          <w:r>
            <w:rPr>
              <w:color w:val="auto"/>
            </w:rPr>
            <w:instrText xml:space="preserve"> PAGEREF _Toc20146 \h </w:instrText>
          </w:r>
          <w:r>
            <w:rPr>
              <w:color w:val="auto"/>
            </w:rPr>
            <w:fldChar w:fldCharType="separate"/>
          </w:r>
          <w:r>
            <w:rPr>
              <w:color w:val="auto"/>
            </w:rPr>
            <w:t>3</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8"/>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_Toc19410 </w:instrText>
          </w:r>
          <w:r>
            <w:rPr>
              <w:rFonts w:ascii="Arial" w:hAnsi="Arial" w:eastAsia="Arial" w:cs="Arial"/>
              <w:snapToGrid w:val="0"/>
              <w:color w:val="auto"/>
              <w:kern w:val="0"/>
              <w:szCs w:val="21"/>
              <w:lang w:val="en-US" w:eastAsia="en-US" w:bidi="ar-SA"/>
            </w:rPr>
            <w:fldChar w:fldCharType="separate"/>
          </w:r>
          <w:r>
            <w:rPr>
              <w:rFonts w:hint="eastAsia" w:ascii="黑体" w:hAnsi="黑体" w:eastAsia="黑体" w:cs="黑体"/>
              <w:color w:val="auto"/>
              <w:szCs w:val="32"/>
              <w:lang w:eastAsia="zh-CN"/>
            </w:rPr>
            <w:t>二、</w:t>
          </w:r>
          <w:r>
            <w:rPr>
              <w:rFonts w:hint="eastAsia" w:ascii="黑体" w:hAnsi="黑体" w:eastAsia="黑体" w:cs="黑体"/>
              <w:color w:val="auto"/>
              <w:spacing w:val="7"/>
              <w:szCs w:val="32"/>
              <w:lang w:val="en-US" w:eastAsia="zh-CN"/>
            </w:rPr>
            <w:t>生态环境质量</w:t>
          </w:r>
          <w:r>
            <w:rPr>
              <w:rFonts w:hint="eastAsia" w:ascii="黑体" w:hAnsi="黑体" w:eastAsia="黑体" w:cs="黑体"/>
              <w:color w:val="auto"/>
              <w:spacing w:val="7"/>
              <w:szCs w:val="32"/>
            </w:rPr>
            <w:t>现状分析</w:t>
          </w:r>
          <w:r>
            <w:rPr>
              <w:rFonts w:hint="eastAsia" w:ascii="黑体" w:hAnsi="黑体" w:eastAsia="黑体" w:cs="黑体"/>
              <w:color w:val="auto"/>
              <w:spacing w:val="-51"/>
              <w:szCs w:val="32"/>
            </w:rPr>
            <w:t xml:space="preserve"> </w:t>
          </w:r>
          <w:r>
            <w:rPr>
              <w:color w:val="auto"/>
            </w:rPr>
            <w:tab/>
          </w:r>
          <w:r>
            <w:rPr>
              <w:color w:val="auto"/>
            </w:rPr>
            <w:fldChar w:fldCharType="begin"/>
          </w:r>
          <w:r>
            <w:rPr>
              <w:color w:val="auto"/>
            </w:rPr>
            <w:instrText xml:space="preserve"> PAGEREF _Toc19410 \h </w:instrText>
          </w:r>
          <w:r>
            <w:rPr>
              <w:color w:val="auto"/>
            </w:rPr>
            <w:fldChar w:fldCharType="separate"/>
          </w:r>
          <w:r>
            <w:rPr>
              <w:color w:val="auto"/>
            </w:rPr>
            <w:t>4</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_Toc12507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2.</w:t>
          </w:r>
          <w:r>
            <w:rPr>
              <w:rFonts w:hint="eastAsia" w:ascii="仿宋_GB2312" w:hAnsi="仿宋_GB2312" w:eastAsia="仿宋_GB2312" w:cs="仿宋_GB2312"/>
              <w:bCs/>
              <w:i w:val="0"/>
              <w:iCs w:val="0"/>
              <w:caps w:val="0"/>
              <w:color w:val="auto"/>
              <w:spacing w:val="0"/>
              <w:szCs w:val="32"/>
            </w:rPr>
            <w:t xml:space="preserve">1 </w:t>
          </w:r>
          <w:r>
            <w:rPr>
              <w:rFonts w:hint="eastAsia" w:ascii="仿宋_GB2312" w:hAnsi="仿宋_GB2312" w:eastAsia="仿宋_GB2312" w:cs="仿宋_GB2312"/>
              <w:bCs/>
              <w:i w:val="0"/>
              <w:iCs w:val="0"/>
              <w:caps w:val="0"/>
              <w:color w:val="auto"/>
              <w:spacing w:val="0"/>
              <w:szCs w:val="32"/>
              <w:lang w:eastAsia="zh-CN"/>
            </w:rPr>
            <w:t>环境空气质量</w:t>
          </w:r>
          <w:r>
            <w:rPr>
              <w:color w:val="auto"/>
            </w:rPr>
            <w:tab/>
          </w:r>
          <w:r>
            <w:rPr>
              <w:color w:val="auto"/>
            </w:rPr>
            <w:fldChar w:fldCharType="begin"/>
          </w:r>
          <w:r>
            <w:rPr>
              <w:color w:val="auto"/>
            </w:rPr>
            <w:instrText xml:space="preserve"> PAGEREF _Toc12507 \h </w:instrText>
          </w:r>
          <w:r>
            <w:rPr>
              <w:color w:val="auto"/>
            </w:rPr>
            <w:fldChar w:fldCharType="separate"/>
          </w:r>
          <w:r>
            <w:rPr>
              <w:color w:val="auto"/>
            </w:rPr>
            <w:t>4</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_Toc25272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2.1.1</w:t>
          </w:r>
          <w:r>
            <w:rPr>
              <w:rFonts w:hint="eastAsia" w:ascii="仿宋_GB2312" w:hAnsi="仿宋_GB2312" w:eastAsia="仿宋_GB2312" w:cs="仿宋_GB2312"/>
              <w:bCs/>
              <w:i w:val="0"/>
              <w:iCs w:val="0"/>
              <w:caps w:val="0"/>
              <w:color w:val="auto"/>
              <w:spacing w:val="0"/>
              <w:szCs w:val="32"/>
            </w:rPr>
            <w:t>主要污染物监测结果</w:t>
          </w:r>
          <w:r>
            <w:rPr>
              <w:color w:val="auto"/>
            </w:rPr>
            <w:tab/>
          </w:r>
          <w:r>
            <w:rPr>
              <w:color w:val="auto"/>
            </w:rPr>
            <w:fldChar w:fldCharType="begin"/>
          </w:r>
          <w:r>
            <w:rPr>
              <w:color w:val="auto"/>
            </w:rPr>
            <w:instrText xml:space="preserve"> PAGEREF _Toc25272 \h </w:instrText>
          </w:r>
          <w:r>
            <w:rPr>
              <w:color w:val="auto"/>
            </w:rPr>
            <w:fldChar w:fldCharType="separate"/>
          </w:r>
          <w:r>
            <w:rPr>
              <w:color w:val="auto"/>
            </w:rPr>
            <w:t>5</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_Toc1960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0"/>
              <w:lang w:val="en-US" w:eastAsia="zh-CN"/>
            </w:rPr>
            <w:t>2.1.2</w:t>
          </w:r>
          <w:r>
            <w:rPr>
              <w:rFonts w:hint="eastAsia" w:ascii="仿宋_GB2312" w:hAnsi="仿宋_GB2312" w:eastAsia="仿宋_GB2312" w:cs="仿宋_GB2312"/>
              <w:bCs/>
              <w:i w:val="0"/>
              <w:iCs w:val="0"/>
              <w:caps w:val="0"/>
              <w:color w:val="auto"/>
              <w:spacing w:val="0"/>
              <w:szCs w:val="30"/>
            </w:rPr>
            <w:t>数据</w:t>
          </w:r>
          <w:r>
            <w:rPr>
              <w:rFonts w:hint="eastAsia" w:ascii="仿宋_GB2312" w:hAnsi="仿宋_GB2312" w:eastAsia="仿宋_GB2312" w:cs="仿宋_GB2312"/>
              <w:bCs/>
              <w:i w:val="0"/>
              <w:iCs w:val="0"/>
              <w:caps w:val="0"/>
              <w:color w:val="auto"/>
              <w:spacing w:val="0"/>
              <w:szCs w:val="30"/>
              <w:lang w:eastAsia="zh-CN"/>
            </w:rPr>
            <w:t>分析</w:t>
          </w:r>
          <w:r>
            <w:rPr>
              <w:color w:val="auto"/>
            </w:rPr>
            <w:tab/>
          </w:r>
          <w:r>
            <w:rPr>
              <w:color w:val="auto"/>
            </w:rPr>
            <w:fldChar w:fldCharType="begin"/>
          </w:r>
          <w:r>
            <w:rPr>
              <w:color w:val="auto"/>
            </w:rPr>
            <w:instrText xml:space="preserve"> PAGEREF _Toc1960 \h </w:instrText>
          </w:r>
          <w:r>
            <w:rPr>
              <w:color w:val="auto"/>
            </w:rPr>
            <w:fldChar w:fldCharType="separate"/>
          </w:r>
          <w:r>
            <w:rPr>
              <w:color w:val="auto"/>
            </w:rPr>
            <w:t>6</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_Toc4341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2.1.3</w:t>
          </w:r>
          <w:r>
            <w:rPr>
              <w:rFonts w:hint="eastAsia" w:ascii="仿宋_GB2312" w:hAnsi="仿宋_GB2312" w:eastAsia="仿宋_GB2312" w:cs="仿宋_GB2312"/>
              <w:bCs/>
              <w:i w:val="0"/>
              <w:iCs w:val="0"/>
              <w:caps w:val="0"/>
              <w:color w:val="auto"/>
              <w:spacing w:val="0"/>
              <w:szCs w:val="32"/>
            </w:rPr>
            <w:t>变化原因分析</w:t>
          </w:r>
          <w:r>
            <w:rPr>
              <w:color w:val="auto"/>
            </w:rPr>
            <w:tab/>
          </w:r>
          <w:r>
            <w:rPr>
              <w:color w:val="auto"/>
            </w:rPr>
            <w:fldChar w:fldCharType="begin"/>
          </w:r>
          <w:r>
            <w:rPr>
              <w:color w:val="auto"/>
            </w:rPr>
            <w:instrText xml:space="preserve"> PAGEREF _Toc4341 \h </w:instrText>
          </w:r>
          <w:r>
            <w:rPr>
              <w:color w:val="auto"/>
            </w:rPr>
            <w:fldChar w:fldCharType="separate"/>
          </w:r>
          <w:r>
            <w:rPr>
              <w:color w:val="auto"/>
            </w:rPr>
            <w:t>7</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_Toc21925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2.2沙尘天气</w:t>
          </w:r>
          <w:r>
            <w:rPr>
              <w:color w:val="auto"/>
            </w:rPr>
            <w:tab/>
          </w:r>
          <w:r>
            <w:rPr>
              <w:color w:val="auto"/>
            </w:rPr>
            <w:fldChar w:fldCharType="begin"/>
          </w:r>
          <w:r>
            <w:rPr>
              <w:color w:val="auto"/>
            </w:rPr>
            <w:instrText xml:space="preserve"> PAGEREF _Toc21925 \h </w:instrText>
          </w:r>
          <w:r>
            <w:rPr>
              <w:color w:val="auto"/>
            </w:rPr>
            <w:fldChar w:fldCharType="separate"/>
          </w:r>
          <w:r>
            <w:rPr>
              <w:color w:val="auto"/>
            </w:rPr>
            <w:t>9</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_Toc19199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2.2.1</w:t>
          </w:r>
          <w:r>
            <w:rPr>
              <w:rFonts w:hint="eastAsia" w:ascii="仿宋_GB2312" w:hAnsi="仿宋_GB2312" w:eastAsia="仿宋_GB2312" w:cs="仿宋_GB2312"/>
              <w:bCs/>
              <w:i w:val="0"/>
              <w:iCs w:val="0"/>
              <w:caps w:val="0"/>
              <w:color w:val="auto"/>
              <w:spacing w:val="0"/>
              <w:szCs w:val="32"/>
            </w:rPr>
            <w:t>监测概况</w:t>
          </w:r>
          <w:r>
            <w:rPr>
              <w:color w:val="auto"/>
            </w:rPr>
            <w:tab/>
          </w:r>
          <w:r>
            <w:rPr>
              <w:color w:val="auto"/>
            </w:rPr>
            <w:fldChar w:fldCharType="begin"/>
          </w:r>
          <w:r>
            <w:rPr>
              <w:color w:val="auto"/>
            </w:rPr>
            <w:instrText xml:space="preserve"> PAGEREF _Toc19199 \h </w:instrText>
          </w:r>
          <w:r>
            <w:rPr>
              <w:color w:val="auto"/>
            </w:rPr>
            <w:fldChar w:fldCharType="separate"/>
          </w:r>
          <w:r>
            <w:rPr>
              <w:color w:val="auto"/>
            </w:rPr>
            <w:t>9</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_Toc12580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2.2.2监测结果</w:t>
          </w:r>
          <w:r>
            <w:rPr>
              <w:color w:val="auto"/>
            </w:rPr>
            <w:tab/>
          </w:r>
          <w:r>
            <w:rPr>
              <w:color w:val="auto"/>
            </w:rPr>
            <w:fldChar w:fldCharType="begin"/>
          </w:r>
          <w:r>
            <w:rPr>
              <w:color w:val="auto"/>
            </w:rPr>
            <w:instrText xml:space="preserve"> PAGEREF _Toc12580 \h </w:instrText>
          </w:r>
          <w:r>
            <w:rPr>
              <w:color w:val="auto"/>
            </w:rPr>
            <w:fldChar w:fldCharType="separate"/>
          </w:r>
          <w:r>
            <w:rPr>
              <w:color w:val="auto"/>
            </w:rPr>
            <w:t>9</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_Toc15049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zCs w:val="32"/>
              <w:lang w:val="en-US" w:eastAsia="zh-CN"/>
            </w:rPr>
            <w:t>2.</w:t>
          </w:r>
          <w:r>
            <w:rPr>
              <w:rFonts w:hint="eastAsia" w:ascii="仿宋_GB2312" w:hAnsi="仿宋_GB2312" w:eastAsia="仿宋_GB2312" w:cs="仿宋_GB2312"/>
              <w:bCs/>
              <w:color w:val="auto"/>
              <w:spacing w:val="6"/>
              <w:szCs w:val="32"/>
              <w:lang w:val="en-US" w:eastAsia="zh-CN"/>
            </w:rPr>
            <w:t>3</w:t>
          </w:r>
          <w:r>
            <w:rPr>
              <w:rFonts w:hint="eastAsia" w:ascii="仿宋_GB2312" w:hAnsi="仿宋_GB2312" w:eastAsia="仿宋_GB2312" w:cs="仿宋_GB2312"/>
              <w:bCs/>
              <w:color w:val="auto"/>
              <w:spacing w:val="6"/>
              <w:szCs w:val="32"/>
            </w:rPr>
            <w:t>水环境质量</w:t>
          </w:r>
          <w:r>
            <w:rPr>
              <w:rFonts w:hint="eastAsia" w:ascii="仿宋_GB2312" w:hAnsi="仿宋_GB2312" w:eastAsia="仿宋_GB2312" w:cs="仿宋_GB2312"/>
              <w:bCs/>
              <w:color w:val="auto"/>
              <w:spacing w:val="-50"/>
              <w:szCs w:val="32"/>
            </w:rPr>
            <w:t xml:space="preserve"> </w:t>
          </w:r>
          <w:r>
            <w:rPr>
              <w:color w:val="auto"/>
            </w:rPr>
            <w:tab/>
          </w:r>
          <w:r>
            <w:rPr>
              <w:color w:val="auto"/>
            </w:rPr>
            <w:fldChar w:fldCharType="begin"/>
          </w:r>
          <w:r>
            <w:rPr>
              <w:color w:val="auto"/>
            </w:rPr>
            <w:instrText xml:space="preserve"> PAGEREF _Toc15049 \h </w:instrText>
          </w:r>
          <w:r>
            <w:rPr>
              <w:color w:val="auto"/>
            </w:rPr>
            <w:fldChar w:fldCharType="separate"/>
          </w:r>
          <w:r>
            <w:rPr>
              <w:color w:val="auto"/>
            </w:rPr>
            <w:t>11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_Toc32142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zCs w:val="32"/>
              <w:lang w:val="en-US" w:eastAsia="zh-CN"/>
            </w:rPr>
            <w:t>2.</w:t>
          </w:r>
          <w:r>
            <w:rPr>
              <w:rFonts w:hint="eastAsia" w:ascii="仿宋_GB2312" w:hAnsi="仿宋_GB2312" w:eastAsia="仿宋_GB2312" w:cs="仿宋_GB2312"/>
              <w:bCs/>
              <w:color w:val="auto"/>
              <w:spacing w:val="2"/>
              <w:szCs w:val="32"/>
              <w:lang w:val="en-US" w:eastAsia="zh-CN"/>
            </w:rPr>
            <w:t>3</w:t>
          </w:r>
          <w:r>
            <w:rPr>
              <w:rFonts w:hint="eastAsia" w:ascii="仿宋_GB2312" w:hAnsi="仿宋_GB2312" w:eastAsia="仿宋_GB2312" w:cs="仿宋_GB2312"/>
              <w:bCs/>
              <w:color w:val="auto"/>
              <w:spacing w:val="2"/>
              <w:szCs w:val="32"/>
            </w:rPr>
            <w:t>.1</w:t>
          </w:r>
          <w:r>
            <w:rPr>
              <w:rFonts w:hint="eastAsia" w:ascii="仿宋_GB2312" w:hAnsi="仿宋_GB2312" w:eastAsia="仿宋_GB2312" w:cs="仿宋_GB2312"/>
              <w:bCs/>
              <w:color w:val="auto"/>
              <w:spacing w:val="2"/>
              <w:szCs w:val="32"/>
              <w:lang w:eastAsia="zh-CN"/>
            </w:rPr>
            <w:t>地表水</w:t>
          </w:r>
          <w:r>
            <w:rPr>
              <w:rFonts w:hint="eastAsia" w:ascii="仿宋_GB2312" w:hAnsi="仿宋_GB2312" w:eastAsia="仿宋_GB2312" w:cs="仿宋_GB2312"/>
              <w:bCs/>
              <w:color w:val="auto"/>
              <w:spacing w:val="-56"/>
              <w:szCs w:val="32"/>
            </w:rPr>
            <w:t xml:space="preserve"> </w:t>
          </w:r>
          <w:r>
            <w:rPr>
              <w:rFonts w:hint="eastAsia" w:ascii="仿宋_GB2312" w:hAnsi="仿宋_GB2312" w:eastAsia="仿宋_GB2312" w:cs="仿宋_GB2312"/>
              <w:bCs/>
              <w:color w:val="auto"/>
              <w:spacing w:val="-48"/>
              <w:szCs w:val="32"/>
            </w:rPr>
            <w:t xml:space="preserve"> </w:t>
          </w:r>
          <w:r>
            <w:rPr>
              <w:color w:val="auto"/>
            </w:rPr>
            <w:tab/>
          </w:r>
          <w:r>
            <w:rPr>
              <w:color w:val="auto"/>
            </w:rPr>
            <w:fldChar w:fldCharType="begin"/>
          </w:r>
          <w:r>
            <w:rPr>
              <w:color w:val="auto"/>
            </w:rPr>
            <w:instrText xml:space="preserve"> PAGEREF _Toc32142 \h </w:instrText>
          </w:r>
          <w:r>
            <w:rPr>
              <w:color w:val="auto"/>
            </w:rPr>
            <w:fldChar w:fldCharType="separate"/>
          </w:r>
          <w:r>
            <w:rPr>
              <w:color w:val="auto"/>
            </w:rPr>
            <w:t>11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_Toc6742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highlight w:val="none"/>
              <w:lang w:val="en-US" w:eastAsia="zh-CN"/>
            </w:rPr>
            <w:t>2.3.2地下水</w:t>
          </w:r>
          <w:r>
            <w:rPr>
              <w:color w:val="auto"/>
            </w:rPr>
            <w:tab/>
          </w:r>
          <w:r>
            <w:rPr>
              <w:color w:val="auto"/>
            </w:rPr>
            <w:fldChar w:fldCharType="begin"/>
          </w:r>
          <w:r>
            <w:rPr>
              <w:color w:val="auto"/>
            </w:rPr>
            <w:instrText xml:space="preserve"> PAGEREF _Toc6742 \h </w:instrText>
          </w:r>
          <w:r>
            <w:rPr>
              <w:color w:val="auto"/>
            </w:rPr>
            <w:fldChar w:fldCharType="separate"/>
          </w:r>
          <w:r>
            <w:rPr>
              <w:color w:val="auto"/>
            </w:rPr>
            <w:t>12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_Toc18475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highlight w:val="none"/>
              <w:lang w:val="en-US" w:eastAsia="zh-CN"/>
            </w:rPr>
            <w:t>2.3.3饮用水</w:t>
          </w:r>
          <w:r>
            <w:rPr>
              <w:color w:val="auto"/>
            </w:rPr>
            <w:tab/>
          </w:r>
          <w:r>
            <w:rPr>
              <w:color w:val="auto"/>
            </w:rPr>
            <w:fldChar w:fldCharType="begin"/>
          </w:r>
          <w:r>
            <w:rPr>
              <w:color w:val="auto"/>
            </w:rPr>
            <w:instrText xml:space="preserve"> PAGEREF _Toc18475 \h </w:instrText>
          </w:r>
          <w:r>
            <w:rPr>
              <w:color w:val="auto"/>
            </w:rPr>
            <w:fldChar w:fldCharType="separate"/>
          </w:r>
          <w:r>
            <w:rPr>
              <w:color w:val="auto"/>
            </w:rPr>
            <w:t>13</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_Toc22481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color w:val="auto"/>
              <w:spacing w:val="-2"/>
              <w:szCs w:val="32"/>
              <w:lang w:val="en-US" w:eastAsia="zh-CN"/>
            </w:rPr>
            <w:t>2.</w:t>
          </w:r>
          <w:r>
            <w:rPr>
              <w:rFonts w:hint="eastAsia" w:ascii="仿宋_GB2312" w:hAnsi="仿宋_GB2312" w:eastAsia="仿宋_GB2312" w:cs="仿宋_GB2312"/>
              <w:bCs/>
              <w:i w:val="0"/>
              <w:iCs w:val="0"/>
              <w:caps w:val="0"/>
              <w:color w:val="auto"/>
              <w:spacing w:val="0"/>
              <w:szCs w:val="32"/>
              <w:lang w:val="en-US" w:eastAsia="zh-CN"/>
            </w:rPr>
            <w:t xml:space="preserve">4声环境质量状况 </w:t>
          </w:r>
          <w:r>
            <w:rPr>
              <w:color w:val="auto"/>
            </w:rPr>
            <w:tab/>
          </w:r>
          <w:r>
            <w:rPr>
              <w:color w:val="auto"/>
            </w:rPr>
            <w:fldChar w:fldCharType="begin"/>
          </w:r>
          <w:r>
            <w:rPr>
              <w:color w:val="auto"/>
            </w:rPr>
            <w:instrText xml:space="preserve"> PAGEREF _Toc22481 \h </w:instrText>
          </w:r>
          <w:r>
            <w:rPr>
              <w:color w:val="auto"/>
            </w:rPr>
            <w:fldChar w:fldCharType="separate"/>
          </w:r>
          <w:r>
            <w:rPr>
              <w:color w:val="auto"/>
            </w:rPr>
            <w:t>14</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_Toc11355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kern w:val="2"/>
              <w:szCs w:val="32"/>
              <w:lang w:val="en-US" w:eastAsia="zh-CN" w:bidi="ar"/>
            </w:rPr>
            <w:t>2.4.1区域环境噪声</w:t>
          </w:r>
          <w:r>
            <w:rPr>
              <w:color w:val="auto"/>
            </w:rPr>
            <w:tab/>
          </w:r>
          <w:r>
            <w:rPr>
              <w:color w:val="auto"/>
            </w:rPr>
            <w:fldChar w:fldCharType="begin"/>
          </w:r>
          <w:r>
            <w:rPr>
              <w:color w:val="auto"/>
            </w:rPr>
            <w:instrText xml:space="preserve"> PAGEREF _Toc11355 \h </w:instrText>
          </w:r>
          <w:r>
            <w:rPr>
              <w:color w:val="auto"/>
            </w:rPr>
            <w:fldChar w:fldCharType="separate"/>
          </w:r>
          <w:r>
            <w:rPr>
              <w:color w:val="auto"/>
            </w:rPr>
            <w:t>14</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_Toc30588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kern w:val="2"/>
              <w:szCs w:val="32"/>
              <w:lang w:val="en-US" w:eastAsia="zh-CN" w:bidi="ar"/>
            </w:rPr>
            <w:t>2.4.2城市道路交通噪声质量状况</w:t>
          </w:r>
          <w:r>
            <w:rPr>
              <w:color w:val="auto"/>
            </w:rPr>
            <w:tab/>
          </w:r>
          <w:r>
            <w:rPr>
              <w:color w:val="auto"/>
            </w:rPr>
            <w:fldChar w:fldCharType="begin"/>
          </w:r>
          <w:r>
            <w:rPr>
              <w:color w:val="auto"/>
            </w:rPr>
            <w:instrText xml:space="preserve"> PAGEREF _Toc30588 \h </w:instrText>
          </w:r>
          <w:r>
            <w:rPr>
              <w:color w:val="auto"/>
            </w:rPr>
            <w:fldChar w:fldCharType="separate"/>
          </w:r>
          <w:r>
            <w:rPr>
              <w:color w:val="auto"/>
            </w:rPr>
            <w:t>15</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5"/>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_Toc589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kern w:val="2"/>
              <w:szCs w:val="32"/>
              <w:lang w:val="en-US" w:eastAsia="zh-CN" w:bidi="ar"/>
            </w:rPr>
            <w:t>2.4.3功能区噪声</w:t>
          </w:r>
          <w:r>
            <w:rPr>
              <w:color w:val="auto"/>
            </w:rPr>
            <w:tab/>
          </w:r>
          <w:r>
            <w:rPr>
              <w:color w:val="auto"/>
            </w:rPr>
            <w:fldChar w:fldCharType="begin"/>
          </w:r>
          <w:r>
            <w:rPr>
              <w:color w:val="auto"/>
            </w:rPr>
            <w:instrText xml:space="preserve"> PAGEREF _Toc589 \h </w:instrText>
          </w:r>
          <w:r>
            <w:rPr>
              <w:color w:val="auto"/>
            </w:rPr>
            <w:fldChar w:fldCharType="separate"/>
          </w:r>
          <w:r>
            <w:rPr>
              <w:color w:val="auto"/>
            </w:rPr>
            <w:t>15</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_Toc2543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zCs w:val="32"/>
              <w:lang w:val="en-US" w:eastAsia="zh-CN"/>
            </w:rPr>
            <w:t>2.</w:t>
          </w:r>
          <w:r>
            <w:rPr>
              <w:rFonts w:hint="eastAsia" w:ascii="仿宋_GB2312" w:hAnsi="仿宋_GB2312" w:eastAsia="仿宋_GB2312" w:cs="仿宋_GB2312"/>
              <w:bCs/>
              <w:color w:val="auto"/>
              <w:spacing w:val="6"/>
              <w:szCs w:val="32"/>
              <w:lang w:val="en-US" w:eastAsia="zh-CN"/>
            </w:rPr>
            <w:t>5核与辐射环境状况</w:t>
          </w:r>
          <w:r>
            <w:rPr>
              <w:color w:val="auto"/>
            </w:rPr>
            <w:tab/>
          </w:r>
          <w:r>
            <w:rPr>
              <w:color w:val="auto"/>
            </w:rPr>
            <w:fldChar w:fldCharType="begin"/>
          </w:r>
          <w:r>
            <w:rPr>
              <w:color w:val="auto"/>
            </w:rPr>
            <w:instrText xml:space="preserve"> PAGEREF _Toc2543 \h </w:instrText>
          </w:r>
          <w:r>
            <w:rPr>
              <w:color w:val="auto"/>
            </w:rPr>
            <w:fldChar w:fldCharType="separate"/>
          </w:r>
          <w:r>
            <w:rPr>
              <w:color w:val="auto"/>
            </w:rPr>
            <w:t>16</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_Toc29879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zCs w:val="32"/>
              <w:lang w:val="en-US" w:eastAsia="zh-CN"/>
            </w:rPr>
            <w:t>2.6</w:t>
          </w:r>
          <w:r>
            <w:rPr>
              <w:rFonts w:hint="eastAsia" w:ascii="仿宋_GB2312" w:hAnsi="仿宋_GB2312" w:eastAsia="仿宋_GB2312" w:cs="仿宋_GB2312"/>
              <w:bCs/>
              <w:color w:val="auto"/>
              <w:spacing w:val="8"/>
              <w:szCs w:val="32"/>
              <w:highlight w:val="none"/>
              <w:lang w:val="en-US" w:eastAsia="zh-CN"/>
            </w:rPr>
            <w:t>农村环境质量状况</w:t>
          </w:r>
          <w:r>
            <w:rPr>
              <w:color w:val="auto"/>
            </w:rPr>
            <w:tab/>
          </w:r>
          <w:r>
            <w:rPr>
              <w:color w:val="auto"/>
            </w:rPr>
            <w:fldChar w:fldCharType="begin"/>
          </w:r>
          <w:r>
            <w:rPr>
              <w:color w:val="auto"/>
            </w:rPr>
            <w:instrText xml:space="preserve"> PAGEREF _Toc29879 \h </w:instrText>
          </w:r>
          <w:r>
            <w:rPr>
              <w:color w:val="auto"/>
            </w:rPr>
            <w:fldChar w:fldCharType="separate"/>
          </w:r>
          <w:r>
            <w:rPr>
              <w:color w:val="auto"/>
            </w:rPr>
            <w:t>16</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_Toc386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8"/>
              <w:szCs w:val="32"/>
              <w:lang w:val="en-US" w:eastAsia="zh-CN"/>
            </w:rPr>
            <w:t>2.7固体废物及危废（医疗废物）管理情况</w:t>
          </w:r>
          <w:r>
            <w:rPr>
              <w:color w:val="auto"/>
            </w:rPr>
            <w:tab/>
          </w:r>
          <w:r>
            <w:rPr>
              <w:color w:val="auto"/>
            </w:rPr>
            <w:fldChar w:fldCharType="begin"/>
          </w:r>
          <w:r>
            <w:rPr>
              <w:color w:val="auto"/>
            </w:rPr>
            <w:instrText xml:space="preserve"> PAGEREF _Toc386 \h </w:instrText>
          </w:r>
          <w:r>
            <w:rPr>
              <w:color w:val="auto"/>
            </w:rPr>
            <w:fldChar w:fldCharType="separate"/>
          </w:r>
          <w:r>
            <w:rPr>
              <w:color w:val="auto"/>
            </w:rPr>
            <w:t>17</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_Toc15656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8"/>
              <w:szCs w:val="32"/>
              <w:highlight w:val="none"/>
              <w:lang w:val="en-US" w:eastAsia="zh-CN"/>
            </w:rPr>
            <w:t>2.8</w:t>
          </w:r>
          <w:r>
            <w:rPr>
              <w:rFonts w:hint="eastAsia" w:ascii="仿宋_GB2312" w:hAnsi="仿宋_GB2312" w:eastAsia="仿宋_GB2312" w:cs="仿宋_GB2312"/>
              <w:bCs/>
              <w:color w:val="auto"/>
              <w:spacing w:val="6"/>
              <w:szCs w:val="32"/>
            </w:rPr>
            <w:t>主要污染物</w:t>
          </w:r>
          <w:r>
            <w:rPr>
              <w:rFonts w:hint="eastAsia" w:ascii="仿宋_GB2312" w:hAnsi="仿宋_GB2312" w:eastAsia="仿宋_GB2312" w:cs="仿宋_GB2312"/>
              <w:bCs/>
              <w:color w:val="auto"/>
              <w:spacing w:val="6"/>
              <w:szCs w:val="32"/>
              <w:lang w:val="en-US" w:eastAsia="zh-CN"/>
            </w:rPr>
            <w:t>总量减排及污染控制</w:t>
          </w:r>
          <w:r>
            <w:rPr>
              <w:rFonts w:hint="eastAsia" w:ascii="仿宋_GB2312" w:hAnsi="仿宋_GB2312" w:eastAsia="仿宋_GB2312" w:cs="仿宋_GB2312"/>
              <w:bCs/>
              <w:color w:val="auto"/>
              <w:spacing w:val="-50"/>
              <w:szCs w:val="32"/>
            </w:rPr>
            <w:t xml:space="preserve"> </w:t>
          </w:r>
          <w:r>
            <w:rPr>
              <w:color w:val="auto"/>
            </w:rPr>
            <w:tab/>
          </w:r>
          <w:r>
            <w:rPr>
              <w:color w:val="auto"/>
            </w:rPr>
            <w:fldChar w:fldCharType="begin"/>
          </w:r>
          <w:r>
            <w:rPr>
              <w:color w:val="auto"/>
            </w:rPr>
            <w:instrText xml:space="preserve"> PAGEREF _Toc15656 \h </w:instrText>
          </w:r>
          <w:r>
            <w:rPr>
              <w:color w:val="auto"/>
            </w:rPr>
            <w:fldChar w:fldCharType="separate"/>
          </w:r>
          <w:r>
            <w:rPr>
              <w:color w:val="auto"/>
            </w:rPr>
            <w:t>19</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_Toc18391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1"/>
              <w:szCs w:val="32"/>
              <w:highlight w:val="none"/>
              <w:lang w:val="en-US" w:eastAsia="zh-CN"/>
            </w:rPr>
            <w:t>2.9黑河湿地及祁连山自然保护区监管情况</w:t>
          </w:r>
          <w:r>
            <w:rPr>
              <w:color w:val="auto"/>
            </w:rPr>
            <w:tab/>
          </w:r>
          <w:r>
            <w:rPr>
              <w:color w:val="auto"/>
            </w:rPr>
            <w:fldChar w:fldCharType="begin"/>
          </w:r>
          <w:r>
            <w:rPr>
              <w:color w:val="auto"/>
            </w:rPr>
            <w:instrText xml:space="preserve"> PAGEREF _Toc18391 \h </w:instrText>
          </w:r>
          <w:r>
            <w:rPr>
              <w:color w:val="auto"/>
            </w:rPr>
            <w:fldChar w:fldCharType="separate"/>
          </w:r>
          <w:r>
            <w:rPr>
              <w:color w:val="auto"/>
            </w:rPr>
            <w:t>19</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8"/>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_Toc983 </w:instrText>
          </w:r>
          <w:r>
            <w:rPr>
              <w:rFonts w:ascii="Arial" w:hAnsi="Arial" w:eastAsia="Arial" w:cs="Arial"/>
              <w:snapToGrid w:val="0"/>
              <w:color w:val="auto"/>
              <w:kern w:val="0"/>
              <w:szCs w:val="21"/>
              <w:lang w:val="en-US" w:eastAsia="en-US" w:bidi="ar-SA"/>
            </w:rPr>
            <w:fldChar w:fldCharType="separate"/>
          </w:r>
          <w:r>
            <w:rPr>
              <w:rFonts w:hint="eastAsia" w:ascii="黑体" w:hAnsi="黑体" w:eastAsia="黑体" w:cs="黑体"/>
              <w:color w:val="auto"/>
              <w:szCs w:val="32"/>
              <w:lang w:eastAsia="zh-CN"/>
            </w:rPr>
            <w:t>三、</w:t>
          </w:r>
          <w:r>
            <w:rPr>
              <w:rFonts w:hint="eastAsia" w:ascii="黑体" w:hAnsi="黑体" w:eastAsia="黑体" w:cs="黑体"/>
              <w:color w:val="auto"/>
              <w:spacing w:val="7"/>
              <w:szCs w:val="32"/>
              <w:lang w:val="en-US" w:eastAsia="zh-CN"/>
            </w:rPr>
            <w:t>生态环境问题诊断</w:t>
          </w:r>
          <w:r>
            <w:rPr>
              <w:color w:val="auto"/>
            </w:rPr>
            <w:tab/>
          </w:r>
          <w:r>
            <w:rPr>
              <w:color w:val="auto"/>
            </w:rPr>
            <w:fldChar w:fldCharType="begin"/>
          </w:r>
          <w:r>
            <w:rPr>
              <w:color w:val="auto"/>
            </w:rPr>
            <w:instrText xml:space="preserve"> PAGEREF _Toc983 \h </w:instrText>
          </w:r>
          <w:r>
            <w:rPr>
              <w:color w:val="auto"/>
            </w:rPr>
            <w:fldChar w:fldCharType="separate"/>
          </w:r>
          <w:r>
            <w:rPr>
              <w:color w:val="auto"/>
            </w:rPr>
            <w:t>21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_Toc15581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3.1生态环境质量明显改善，但稳中向好基础尚未稳固。</w:t>
          </w:r>
          <w:r>
            <w:rPr>
              <w:color w:val="auto"/>
            </w:rPr>
            <w:tab/>
          </w:r>
          <w:r>
            <w:rPr>
              <w:color w:val="auto"/>
            </w:rPr>
            <w:fldChar w:fldCharType="begin"/>
          </w:r>
          <w:r>
            <w:rPr>
              <w:color w:val="auto"/>
            </w:rPr>
            <w:instrText xml:space="preserve"> PAGEREF _Toc15581 \h </w:instrText>
          </w:r>
          <w:r>
            <w:rPr>
              <w:color w:val="auto"/>
            </w:rPr>
            <w:fldChar w:fldCharType="separate"/>
          </w:r>
          <w:r>
            <w:rPr>
              <w:color w:val="auto"/>
            </w:rPr>
            <w:t>21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_Toc1837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3.2水资源供需矛盾突出，地下水超采治理难度大。</w:t>
          </w:r>
          <w:r>
            <w:rPr>
              <w:color w:val="auto"/>
            </w:rPr>
            <w:tab/>
          </w:r>
          <w:r>
            <w:rPr>
              <w:color w:val="auto"/>
            </w:rPr>
            <w:fldChar w:fldCharType="begin"/>
          </w:r>
          <w:r>
            <w:rPr>
              <w:color w:val="auto"/>
            </w:rPr>
            <w:instrText xml:space="preserve"> PAGEREF _Toc1837 \h </w:instrText>
          </w:r>
          <w:r>
            <w:rPr>
              <w:color w:val="auto"/>
            </w:rPr>
            <w:fldChar w:fldCharType="separate"/>
          </w:r>
          <w:r>
            <w:rPr>
              <w:color w:val="auto"/>
            </w:rPr>
            <w:t>21</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_Toc21188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3.3是环境监管现代化水平不足，难以支撑治理体系高效运转。</w:t>
          </w:r>
          <w:r>
            <w:rPr>
              <w:color w:val="auto"/>
            </w:rPr>
            <w:tab/>
          </w:r>
          <w:r>
            <w:rPr>
              <w:color w:val="auto"/>
            </w:rPr>
            <w:fldChar w:fldCharType="begin"/>
          </w:r>
          <w:r>
            <w:rPr>
              <w:color w:val="auto"/>
            </w:rPr>
            <w:instrText xml:space="preserve"> PAGEREF _Toc21188 \h </w:instrText>
          </w:r>
          <w:r>
            <w:rPr>
              <w:color w:val="auto"/>
            </w:rPr>
            <w:fldChar w:fldCharType="separate"/>
          </w:r>
          <w:r>
            <w:rPr>
              <w:color w:val="auto"/>
            </w:rPr>
            <w:t>22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8"/>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_Toc4186 </w:instrText>
          </w:r>
          <w:r>
            <w:rPr>
              <w:rFonts w:ascii="Arial" w:hAnsi="Arial" w:eastAsia="Arial" w:cs="Arial"/>
              <w:snapToGrid w:val="0"/>
              <w:color w:val="auto"/>
              <w:kern w:val="0"/>
              <w:szCs w:val="21"/>
              <w:lang w:val="en-US" w:eastAsia="en-US" w:bidi="ar-SA"/>
            </w:rPr>
            <w:fldChar w:fldCharType="separate"/>
          </w:r>
          <w:r>
            <w:rPr>
              <w:rFonts w:hint="eastAsia" w:ascii="黑体" w:hAnsi="黑体" w:eastAsia="黑体" w:cs="黑体"/>
              <w:color w:val="auto"/>
              <w:szCs w:val="32"/>
              <w:lang w:eastAsia="zh-CN"/>
            </w:rPr>
            <w:t>四、</w:t>
          </w:r>
          <w:r>
            <w:rPr>
              <w:rFonts w:hint="eastAsia" w:ascii="黑体" w:hAnsi="黑体" w:eastAsia="黑体" w:cs="黑体"/>
              <w:color w:val="auto"/>
              <w:spacing w:val="7"/>
              <w:szCs w:val="32"/>
              <w:lang w:val="en-US" w:eastAsia="zh-CN"/>
            </w:rPr>
            <w:t>生态环境质量改善提升对策措施</w:t>
          </w:r>
          <w:r>
            <w:rPr>
              <w:color w:val="auto"/>
            </w:rPr>
            <w:tab/>
          </w:r>
          <w:r>
            <w:rPr>
              <w:color w:val="auto"/>
            </w:rPr>
            <w:fldChar w:fldCharType="begin"/>
          </w:r>
          <w:r>
            <w:rPr>
              <w:color w:val="auto"/>
            </w:rPr>
            <w:instrText xml:space="preserve"> PAGEREF _Toc4186 \h </w:instrText>
          </w:r>
          <w:r>
            <w:rPr>
              <w:color w:val="auto"/>
            </w:rPr>
            <w:fldChar w:fldCharType="separate"/>
          </w:r>
          <w:r>
            <w:rPr>
              <w:color w:val="auto"/>
            </w:rPr>
            <w:t>22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_Toc22202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4.1持续深化污染防治攻坚，夯实环境质量向好基础。</w:t>
          </w:r>
          <w:r>
            <w:rPr>
              <w:color w:val="auto"/>
            </w:rPr>
            <w:tab/>
          </w:r>
          <w:r>
            <w:rPr>
              <w:color w:val="auto"/>
            </w:rPr>
            <w:fldChar w:fldCharType="begin"/>
          </w:r>
          <w:r>
            <w:rPr>
              <w:color w:val="auto"/>
            </w:rPr>
            <w:instrText xml:space="preserve"> PAGEREF _Toc22202 \h </w:instrText>
          </w:r>
          <w:r>
            <w:rPr>
              <w:color w:val="auto"/>
            </w:rPr>
            <w:fldChar w:fldCharType="separate"/>
          </w:r>
          <w:r>
            <w:rPr>
              <w:color w:val="auto"/>
            </w:rPr>
            <w:t>22</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_Toc9639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4.2提升环境监管现代化水平，筑牢环境安全底线。</w:t>
          </w:r>
          <w:r>
            <w:rPr>
              <w:color w:val="auto"/>
            </w:rPr>
            <w:tab/>
          </w:r>
          <w:r>
            <w:rPr>
              <w:color w:val="auto"/>
            </w:rPr>
            <w:fldChar w:fldCharType="begin"/>
          </w:r>
          <w:r>
            <w:rPr>
              <w:color w:val="auto"/>
            </w:rPr>
            <w:instrText xml:space="preserve"> PAGEREF _Toc9639 \h </w:instrText>
          </w:r>
          <w:r>
            <w:rPr>
              <w:color w:val="auto"/>
            </w:rPr>
            <w:fldChar w:fldCharType="separate"/>
          </w:r>
          <w:r>
            <w:rPr>
              <w:color w:val="auto"/>
            </w:rPr>
            <w:t>24</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_Toc13418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4.3加强生态保护修复，提升生态系统稳定性。</w:t>
          </w:r>
          <w:r>
            <w:rPr>
              <w:color w:val="auto"/>
            </w:rPr>
            <w:tab/>
          </w:r>
          <w:r>
            <w:rPr>
              <w:color w:val="auto"/>
            </w:rPr>
            <w:fldChar w:fldCharType="begin"/>
          </w:r>
          <w:r>
            <w:rPr>
              <w:color w:val="auto"/>
            </w:rPr>
            <w:instrText xml:space="preserve"> PAGEREF _Toc13418 \h </w:instrText>
          </w:r>
          <w:r>
            <w:rPr>
              <w:color w:val="auto"/>
            </w:rPr>
            <w:fldChar w:fldCharType="separate"/>
          </w:r>
          <w:r>
            <w:rPr>
              <w:color w:val="auto"/>
            </w:rPr>
            <w:t>26</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_Toc12403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color w:val="auto"/>
              <w:spacing w:val="0"/>
              <w:szCs w:val="32"/>
              <w:lang w:val="en-US" w:eastAsia="zh-CN"/>
            </w:rPr>
            <w:t>4.4聚焦水资源管理，提升水资源保障能力</w:t>
          </w:r>
          <w:r>
            <w:rPr>
              <w:color w:val="auto"/>
            </w:rPr>
            <w:tab/>
          </w:r>
          <w:r>
            <w:rPr>
              <w:color w:val="auto"/>
            </w:rPr>
            <w:fldChar w:fldCharType="begin"/>
          </w:r>
          <w:r>
            <w:rPr>
              <w:color w:val="auto"/>
            </w:rPr>
            <w:instrText xml:space="preserve"> PAGEREF _Toc12403 \h </w:instrText>
          </w:r>
          <w:r>
            <w:rPr>
              <w:color w:val="auto"/>
            </w:rPr>
            <w:fldChar w:fldCharType="separate"/>
          </w:r>
          <w:r>
            <w:rPr>
              <w:color w:val="auto"/>
            </w:rPr>
            <w:t>28</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9"/>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_Toc12945 </w:instrText>
          </w:r>
          <w:r>
            <w:rPr>
              <w:rFonts w:ascii="Arial" w:hAnsi="Arial" w:eastAsia="Arial" w:cs="Arial"/>
              <w:snapToGrid w:val="0"/>
              <w:color w:val="auto"/>
              <w:kern w:val="0"/>
              <w:szCs w:val="21"/>
              <w:lang w:val="en-US" w:eastAsia="en-US" w:bidi="ar-SA"/>
            </w:rPr>
            <w:fldChar w:fldCharType="separate"/>
          </w:r>
          <w:r>
            <w:rPr>
              <w:rFonts w:hint="eastAsia" w:ascii="仿宋_GB2312" w:hAnsi="仿宋_GB2312" w:eastAsia="仿宋_GB2312" w:cs="仿宋_GB2312"/>
              <w:bCs/>
              <w:i w:val="0"/>
              <w:iCs w:val="0"/>
              <w:caps w:val="0"/>
              <w:color w:val="auto"/>
              <w:spacing w:val="0"/>
              <w:szCs w:val="32"/>
              <w:lang w:val="en-US" w:eastAsia="zh-CN"/>
            </w:rPr>
            <w:t>4.5健全现代环境治理体系，推动常态长效管护。</w:t>
          </w:r>
          <w:r>
            <w:rPr>
              <w:color w:val="auto"/>
            </w:rPr>
            <w:tab/>
          </w:r>
          <w:r>
            <w:rPr>
              <w:color w:val="auto"/>
            </w:rPr>
            <w:fldChar w:fldCharType="begin"/>
          </w:r>
          <w:r>
            <w:rPr>
              <w:color w:val="auto"/>
            </w:rPr>
            <w:instrText xml:space="preserve"> PAGEREF _Toc12945 \h </w:instrText>
          </w:r>
          <w:r>
            <w:rPr>
              <w:color w:val="auto"/>
            </w:rPr>
            <w:fldChar w:fldCharType="separate"/>
          </w:r>
          <w:r>
            <w:rPr>
              <w:color w:val="auto"/>
            </w:rPr>
            <w:t>28</w:t>
          </w:r>
          <w:r>
            <w:rPr>
              <w:color w:val="auto"/>
            </w:rPr>
            <w:fldChar w:fldCharType="end"/>
          </w:r>
          <w:r>
            <w:rPr>
              <w:rFonts w:ascii="Arial" w:hAnsi="Arial" w:eastAsia="Arial" w:cs="Arial"/>
              <w:snapToGrid w:val="0"/>
              <w:color w:val="auto"/>
              <w:kern w:val="0"/>
              <w:szCs w:val="21"/>
              <w:lang w:val="en-US" w:eastAsia="en-US" w:bidi="ar-SA"/>
            </w:rPr>
            <w:fldChar w:fldCharType="end"/>
          </w:r>
        </w:p>
        <w:p>
          <w:pPr>
            <w:pStyle w:val="8"/>
            <w:tabs>
              <w:tab w:val="right" w:leader="dot" w:pos="8845"/>
            </w:tabs>
            <w:rPr>
              <w:color w:val="auto"/>
            </w:rPr>
          </w:pPr>
          <w:r>
            <w:rPr>
              <w:rFonts w:ascii="Arial" w:hAnsi="Arial" w:eastAsia="Arial" w:cs="Arial"/>
              <w:snapToGrid w:val="0"/>
              <w:color w:val="auto"/>
              <w:kern w:val="0"/>
              <w:szCs w:val="21"/>
              <w:lang w:val="en-US" w:eastAsia="en-US" w:bidi="ar-SA"/>
            </w:rPr>
            <w:fldChar w:fldCharType="begin"/>
          </w:r>
          <w:r>
            <w:rPr>
              <w:rFonts w:ascii="Arial" w:hAnsi="Arial" w:eastAsia="Arial" w:cs="Arial"/>
              <w:snapToGrid w:val="0"/>
              <w:color w:val="auto"/>
              <w:kern w:val="0"/>
              <w:szCs w:val="21"/>
              <w:lang w:val="en-US" w:eastAsia="en-US" w:bidi="ar-SA"/>
            </w:rPr>
            <w:instrText xml:space="preserve"> HYPERLINK \l _Toc15352 </w:instrText>
          </w:r>
          <w:r>
            <w:rPr>
              <w:rFonts w:ascii="Arial" w:hAnsi="Arial" w:eastAsia="Arial" w:cs="Arial"/>
              <w:snapToGrid w:val="0"/>
              <w:color w:val="auto"/>
              <w:kern w:val="0"/>
              <w:szCs w:val="21"/>
              <w:lang w:val="en-US" w:eastAsia="en-US" w:bidi="ar-SA"/>
            </w:rPr>
            <w:fldChar w:fldCharType="separate"/>
          </w:r>
          <w:r>
            <w:rPr>
              <w:rFonts w:hint="eastAsia" w:ascii="黑体" w:hAnsi="黑体" w:eastAsia="黑体" w:cs="黑体"/>
              <w:color w:val="auto"/>
              <w:szCs w:val="32"/>
              <w:lang w:eastAsia="zh-CN"/>
            </w:rPr>
            <w:t>五、</w:t>
          </w:r>
          <w:r>
            <w:rPr>
              <w:rFonts w:hint="eastAsia" w:ascii="黑体" w:hAnsi="黑体" w:eastAsia="黑体" w:cs="黑体"/>
              <w:color w:val="auto"/>
              <w:spacing w:val="7"/>
              <w:szCs w:val="32"/>
              <w:lang w:val="en-US" w:eastAsia="zh-CN"/>
            </w:rPr>
            <w:t>保障措施</w:t>
          </w:r>
          <w:r>
            <w:rPr>
              <w:rFonts w:hint="eastAsia" w:ascii="黑体" w:hAnsi="黑体" w:eastAsia="黑体" w:cs="黑体"/>
              <w:color w:val="auto"/>
              <w:spacing w:val="-51"/>
              <w:szCs w:val="32"/>
            </w:rPr>
            <w:t xml:space="preserve"> </w:t>
          </w:r>
          <w:r>
            <w:rPr>
              <w:color w:val="auto"/>
            </w:rPr>
            <w:tab/>
          </w:r>
          <w:r>
            <w:rPr>
              <w:color w:val="auto"/>
            </w:rPr>
            <w:fldChar w:fldCharType="begin"/>
          </w:r>
          <w:r>
            <w:rPr>
              <w:color w:val="auto"/>
            </w:rPr>
            <w:instrText xml:space="preserve"> PAGEREF _Toc15352 \h </w:instrText>
          </w:r>
          <w:r>
            <w:rPr>
              <w:color w:val="auto"/>
            </w:rPr>
            <w:fldChar w:fldCharType="separate"/>
          </w:r>
          <w:r>
            <w:rPr>
              <w:color w:val="auto"/>
            </w:rPr>
            <w:t>29</w:t>
          </w:r>
          <w:r>
            <w:rPr>
              <w:color w:val="auto"/>
            </w:rPr>
            <w:fldChar w:fldCharType="end"/>
          </w:r>
          <w:r>
            <w:rPr>
              <w:rFonts w:ascii="Arial" w:hAnsi="Arial" w:eastAsia="Arial" w:cs="Arial"/>
              <w:snapToGrid w:val="0"/>
              <w:color w:val="auto"/>
              <w:kern w:val="0"/>
              <w:szCs w:val="21"/>
              <w:lang w:val="en-US" w:eastAsia="en-US" w:bidi="ar-SA"/>
            </w:rPr>
            <w:fldChar w:fldCharType="end"/>
          </w:r>
        </w:p>
        <w:p>
          <w:pPr>
            <w:keepNext w:val="0"/>
            <w:keepLines w:val="0"/>
            <w:pageBreakBefore w:val="0"/>
            <w:widowControl/>
            <w:tabs>
              <w:tab w:val="left" w:leader="middleDot" w:pos="7980"/>
              <w:tab w:val="right" w:leader="dot" w:pos="8314"/>
            </w:tabs>
            <w:kinsoku w:val="0"/>
            <w:wordWrap/>
            <w:overflowPunct/>
            <w:topLinePunct w:val="0"/>
            <w:autoSpaceDE w:val="0"/>
            <w:autoSpaceDN w:val="0"/>
            <w:bidi w:val="0"/>
            <w:adjustRightInd w:val="0"/>
            <w:snapToGrid w:val="0"/>
            <w:spacing w:before="271" w:line="235" w:lineRule="auto"/>
            <w:ind w:left="36"/>
            <w:textAlignment w:val="baseline"/>
            <w:rPr>
              <w:rFonts w:ascii="Arial" w:hAnsi="Arial" w:eastAsia="Arial" w:cs="Arial"/>
              <w:snapToGrid w:val="0"/>
              <w:color w:val="auto"/>
              <w:kern w:val="0"/>
              <w:sz w:val="21"/>
              <w:szCs w:val="21"/>
              <w:lang w:val="en-US" w:eastAsia="en-US" w:bidi="ar-SA"/>
            </w:rPr>
          </w:pPr>
          <w:r>
            <w:rPr>
              <w:rFonts w:ascii="Arial" w:hAnsi="Arial" w:eastAsia="Arial" w:cs="Arial"/>
              <w:snapToGrid w:val="0"/>
              <w:color w:val="auto"/>
              <w:kern w:val="0"/>
              <w:szCs w:val="21"/>
              <w:lang w:val="en-US" w:eastAsia="en-US" w:bidi="ar-SA"/>
            </w:rPr>
            <w:fldChar w:fldCharType="end"/>
          </w:r>
        </w:p>
      </w:sdtContent>
    </w:sdt>
    <w:p>
      <w:pPr>
        <w:keepNext w:val="0"/>
        <w:keepLines w:val="0"/>
        <w:pageBreakBefore w:val="0"/>
        <w:widowControl/>
        <w:tabs>
          <w:tab w:val="left" w:leader="middleDot" w:pos="7980"/>
          <w:tab w:val="right" w:leader="dot" w:pos="8314"/>
        </w:tabs>
        <w:kinsoku w:val="0"/>
        <w:wordWrap/>
        <w:overflowPunct/>
        <w:topLinePunct w:val="0"/>
        <w:autoSpaceDE w:val="0"/>
        <w:autoSpaceDN w:val="0"/>
        <w:bidi w:val="0"/>
        <w:adjustRightInd w:val="0"/>
        <w:snapToGrid w:val="0"/>
        <w:spacing w:before="271" w:line="235" w:lineRule="auto"/>
        <w:ind w:left="36"/>
        <w:textAlignment w:val="baseline"/>
        <w:rPr>
          <w:rFonts w:ascii="Arial" w:hAnsi="Arial" w:eastAsia="Arial" w:cs="Arial"/>
          <w:snapToGrid w:val="0"/>
          <w:color w:val="auto"/>
          <w:kern w:val="0"/>
          <w:sz w:val="21"/>
          <w:szCs w:val="21"/>
          <w:lang w:val="en-US" w:eastAsia="en-US" w:bidi="ar-SA"/>
        </w:rPr>
      </w:pPr>
    </w:p>
    <w:p>
      <w:pPr>
        <w:spacing w:line="225" w:lineRule="auto"/>
        <w:rPr>
          <w:rFonts w:ascii="宋体" w:hAnsi="宋体" w:eastAsia="宋体" w:cs="宋体"/>
          <w:color w:val="auto"/>
          <w:sz w:val="31"/>
          <w:szCs w:val="31"/>
        </w:rPr>
        <w:sectPr>
          <w:footerReference r:id="rId5" w:type="default"/>
          <w:pgSz w:w="11906" w:h="16839"/>
          <w:pgMar w:top="2098" w:right="1474" w:bottom="1984" w:left="1587" w:header="0" w:footer="1417" w:gutter="0"/>
          <w:pgNumType w:fmt="decimal" w:start="1"/>
          <w:cols w:space="0" w:num="1"/>
          <w:rtlGutter w:val="0"/>
          <w:docGrid w:linePitch="0" w:charSpace="0"/>
        </w:sectPr>
      </w:pPr>
      <w:bookmarkStart w:id="0" w:name="bookmark26"/>
      <w:bookmarkEnd w:id="0"/>
      <w:bookmarkStart w:id="1" w:name="bookmark11"/>
      <w:bookmarkEnd w:id="1"/>
    </w:p>
    <w:p>
      <w:pPr>
        <w:keepNext w:val="0"/>
        <w:keepLines w:val="0"/>
        <w:pageBreakBefore w:val="0"/>
        <w:widowControl w:val="0"/>
        <w:wordWrap/>
        <w:overflowPunct/>
        <w:topLinePunct w:val="0"/>
        <w:autoSpaceDE w:val="0"/>
        <w:autoSpaceDN w:val="0"/>
        <w:bidi w:val="0"/>
        <w:adjustRightInd/>
        <w:snapToGrid/>
        <w:spacing w:line="240" w:lineRule="auto"/>
        <w:ind w:left="0"/>
        <w:jc w:val="center"/>
        <w:outlineLvl w:val="0"/>
        <w:rPr>
          <w:rFonts w:hint="eastAsia" w:ascii="黑体" w:hAnsi="黑体" w:eastAsia="黑体" w:cs="黑体"/>
          <w:b w:val="0"/>
          <w:bCs w:val="0"/>
          <w:color w:val="auto"/>
          <w:spacing w:val="-14"/>
          <w:sz w:val="32"/>
          <w:szCs w:val="32"/>
          <w:lang w:val="en-US" w:eastAsia="zh-CN"/>
        </w:rPr>
      </w:pPr>
      <w:bookmarkStart w:id="2" w:name="_Toc29487"/>
      <w:r>
        <w:rPr>
          <w:rFonts w:hint="eastAsia" w:ascii="黑体" w:hAnsi="黑体" w:eastAsia="黑体" w:cs="黑体"/>
          <w:b w:val="0"/>
          <w:bCs w:val="0"/>
          <w:color w:val="auto"/>
          <w:spacing w:val="-14"/>
          <w:sz w:val="32"/>
          <w:szCs w:val="32"/>
          <w:lang w:val="en-US" w:eastAsia="zh-CN"/>
        </w:rPr>
        <w:t>一、</w:t>
      </w:r>
      <w:r>
        <w:rPr>
          <w:rFonts w:hint="eastAsia" w:ascii="黑体" w:hAnsi="黑体" w:eastAsia="黑体" w:cs="黑体"/>
          <w:b w:val="0"/>
          <w:bCs w:val="0"/>
          <w:color w:val="auto"/>
          <w:spacing w:val="-14"/>
          <w:sz w:val="32"/>
          <w:szCs w:val="32"/>
          <w:lang w:val="en-US" w:eastAsia="zh-CN"/>
        </w:rPr>
        <w:fldChar w:fldCharType="begin"/>
      </w:r>
      <w:r>
        <w:rPr>
          <w:rFonts w:hint="eastAsia" w:ascii="黑体" w:hAnsi="黑体" w:eastAsia="黑体" w:cs="黑体"/>
          <w:b w:val="0"/>
          <w:bCs w:val="0"/>
          <w:color w:val="auto"/>
          <w:spacing w:val="-14"/>
          <w:sz w:val="32"/>
          <w:szCs w:val="32"/>
          <w:lang w:val="en-US" w:eastAsia="zh-CN"/>
        </w:rPr>
        <w:instrText xml:space="preserve"> HYPERLINK \l "bookmark2" </w:instrText>
      </w:r>
      <w:r>
        <w:rPr>
          <w:rFonts w:hint="eastAsia" w:ascii="黑体" w:hAnsi="黑体" w:eastAsia="黑体" w:cs="黑体"/>
          <w:b w:val="0"/>
          <w:bCs w:val="0"/>
          <w:color w:val="auto"/>
          <w:spacing w:val="-14"/>
          <w:sz w:val="32"/>
          <w:szCs w:val="32"/>
          <w:lang w:val="en-US" w:eastAsia="zh-CN"/>
        </w:rPr>
        <w:fldChar w:fldCharType="separate"/>
      </w:r>
      <w:r>
        <w:rPr>
          <w:rFonts w:hint="eastAsia" w:ascii="黑体" w:hAnsi="黑体" w:eastAsia="黑体" w:cs="黑体"/>
          <w:b w:val="0"/>
          <w:bCs w:val="0"/>
          <w:color w:val="auto"/>
          <w:spacing w:val="-14"/>
          <w:sz w:val="32"/>
          <w:szCs w:val="32"/>
          <w:lang w:val="en-US" w:eastAsia="zh-CN"/>
        </w:rPr>
        <w:t>总论</w:t>
      </w:r>
      <w:r>
        <w:rPr>
          <w:rFonts w:hint="eastAsia" w:ascii="黑体" w:hAnsi="黑体" w:eastAsia="黑体" w:cs="黑体"/>
          <w:b w:val="0"/>
          <w:bCs w:val="0"/>
          <w:color w:val="auto"/>
          <w:spacing w:val="-14"/>
          <w:sz w:val="32"/>
          <w:szCs w:val="32"/>
          <w:lang w:val="en-US" w:eastAsia="zh-CN"/>
        </w:rPr>
        <w:fldChar w:fldCharType="end"/>
      </w:r>
      <w:bookmarkEnd w:id="2"/>
      <w:bookmarkStart w:id="3" w:name="bookmark3"/>
      <w:bookmarkEnd w:id="3"/>
    </w:p>
    <w:p>
      <w:pPr>
        <w:pStyle w:val="3"/>
        <w:keepNext w:val="0"/>
        <w:keepLines w:val="0"/>
        <w:pageBreakBefore w:val="0"/>
        <w:widowControl w:val="0"/>
        <w:wordWrap/>
        <w:overflowPunct/>
        <w:topLinePunct w:val="0"/>
        <w:autoSpaceDE w:val="0"/>
        <w:autoSpaceDN w:val="0"/>
        <w:bidi w:val="0"/>
        <w:adjustRightInd/>
        <w:snapToGrid/>
        <w:spacing w:line="240" w:lineRule="auto"/>
        <w:ind w:left="0"/>
        <w:rPr>
          <w:color w:val="auto"/>
        </w:rPr>
      </w:pPr>
    </w:p>
    <w:p>
      <w:pPr>
        <w:keepNext w:val="0"/>
        <w:keepLines w:val="0"/>
        <w:pageBreakBefore w:val="0"/>
        <w:widowControl w:val="0"/>
        <w:kinsoku/>
        <w:wordWrap/>
        <w:overflowPunct/>
        <w:topLinePunct w:val="0"/>
        <w:autoSpaceDE w:val="0"/>
        <w:autoSpaceDN w:val="0"/>
        <w:bidi w:val="0"/>
        <w:adjustRightInd/>
        <w:snapToGrid/>
        <w:spacing w:line="240" w:lineRule="auto"/>
        <w:ind w:left="0" w:firstLine="562" w:firstLineChars="200"/>
        <w:jc w:val="both"/>
        <w:textAlignment w:val="baseline"/>
        <w:outlineLvl w:val="1"/>
        <w:rPr>
          <w:rFonts w:hint="eastAsia" w:ascii="黑体" w:hAnsi="黑体" w:eastAsia="黑体" w:cs="黑体"/>
          <w:b w:val="0"/>
          <w:bCs w:val="0"/>
          <w:color w:val="auto"/>
          <w:spacing w:val="-14"/>
          <w:sz w:val="32"/>
          <w:szCs w:val="32"/>
          <w:lang w:val="en-US" w:eastAsia="zh-CN"/>
        </w:rPr>
      </w:pPr>
      <w:bookmarkStart w:id="4" w:name="_Toc18310"/>
      <w:r>
        <w:rPr>
          <w:rFonts w:hint="eastAsia" w:ascii="黑体" w:hAnsi="黑体" w:eastAsia="黑体" w:cs="黑体"/>
          <w:b/>
          <w:bCs/>
          <w:color w:val="auto"/>
          <w:spacing w:val="0"/>
          <w:w w:val="100"/>
          <w:position w:val="0"/>
          <w:sz w:val="28"/>
          <w:szCs w:val="28"/>
        </w:rPr>
        <w:t>1.1</w:t>
      </w:r>
      <w:r>
        <w:rPr>
          <w:rFonts w:hint="eastAsia" w:ascii="黑体" w:hAnsi="黑体" w:eastAsia="黑体" w:cs="黑体"/>
          <w:b/>
          <w:bCs/>
          <w:color w:val="auto"/>
          <w:spacing w:val="0"/>
          <w:w w:val="100"/>
          <w:position w:val="0"/>
          <w:sz w:val="28"/>
          <w:szCs w:val="28"/>
          <w:lang w:val="en-US" w:eastAsia="zh-CN"/>
        </w:rPr>
        <w:t xml:space="preserve">  </w:t>
      </w:r>
      <w:r>
        <w:rPr>
          <w:rFonts w:hint="eastAsia" w:ascii="黑体" w:hAnsi="黑体" w:eastAsia="黑体" w:cs="黑体"/>
          <w:b/>
          <w:bCs/>
          <w:color w:val="auto"/>
          <w:spacing w:val="0"/>
          <w:w w:val="100"/>
          <w:position w:val="0"/>
          <w:sz w:val="28"/>
          <w:szCs w:val="28"/>
        </w:rPr>
        <w:t>项目背景</w:t>
      </w:r>
      <w:bookmarkEnd w:id="4"/>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rPr>
          <w:rFonts w:hint="eastAsia" w:ascii="仿宋_GB2312" w:hAnsi="仿宋_GB2312" w:eastAsia="仿宋_GB2312" w:cs="仿宋_GB2312"/>
          <w:color w:val="auto"/>
          <w:spacing w:val="0"/>
          <w:w w:val="100"/>
          <w:position w:val="0"/>
          <w:sz w:val="32"/>
          <w:szCs w:val="32"/>
        </w:rPr>
      </w:pPr>
      <w:r>
        <w:rPr>
          <w:rFonts w:hint="eastAsia" w:ascii="仿宋_GB2312" w:hAnsi="仿宋_GB2312" w:eastAsia="仿宋_GB2312" w:cs="仿宋_GB2312"/>
          <w:color w:val="auto"/>
          <w:spacing w:val="0"/>
          <w:w w:val="100"/>
          <w:position w:val="0"/>
          <w:sz w:val="32"/>
          <w:szCs w:val="32"/>
          <w:lang w:val="en-US" w:eastAsia="zh-CN"/>
        </w:rPr>
        <w:t>2026年是“十五五”开局之年，</w:t>
      </w:r>
      <w:r>
        <w:rPr>
          <w:rFonts w:hint="eastAsia" w:ascii="仿宋_GB2312" w:hAnsi="仿宋_GB2312" w:eastAsia="仿宋_GB2312" w:cs="仿宋_GB2312"/>
          <w:color w:val="auto"/>
          <w:spacing w:val="0"/>
          <w:w w:val="100"/>
          <w:position w:val="0"/>
          <w:sz w:val="32"/>
          <w:szCs w:val="32"/>
        </w:rPr>
        <w:t>“十五五”时期在基本实现社会主义现代化进程中具有承前启后的重要地位，是夯实基础、全面发力的关键时期，国家、省</w:t>
      </w:r>
      <w:r>
        <w:rPr>
          <w:rFonts w:hint="eastAsia" w:ascii="仿宋_GB2312" w:hAnsi="仿宋_GB2312" w:eastAsia="仿宋_GB2312" w:cs="仿宋_GB2312"/>
          <w:color w:val="auto"/>
          <w:spacing w:val="0"/>
          <w:w w:val="100"/>
          <w:position w:val="0"/>
          <w:sz w:val="32"/>
          <w:szCs w:val="32"/>
          <w:lang w:val="en-US" w:eastAsia="zh-CN"/>
        </w:rPr>
        <w:t>市对</w:t>
      </w:r>
      <w:r>
        <w:rPr>
          <w:rFonts w:hint="eastAsia" w:ascii="仿宋_GB2312" w:hAnsi="仿宋_GB2312" w:eastAsia="仿宋_GB2312" w:cs="仿宋_GB2312"/>
          <w:color w:val="auto"/>
          <w:spacing w:val="0"/>
          <w:w w:val="100"/>
          <w:position w:val="0"/>
          <w:sz w:val="32"/>
          <w:szCs w:val="32"/>
        </w:rPr>
        <w:t>新时期生态保护</w:t>
      </w:r>
      <w:r>
        <w:rPr>
          <w:rFonts w:hint="eastAsia" w:ascii="仿宋_GB2312" w:hAnsi="仿宋_GB2312" w:eastAsia="仿宋_GB2312" w:cs="仿宋_GB2312"/>
          <w:color w:val="auto"/>
          <w:spacing w:val="0"/>
          <w:w w:val="100"/>
          <w:position w:val="0"/>
          <w:sz w:val="32"/>
          <w:szCs w:val="32"/>
          <w:lang w:eastAsia="zh-CN"/>
        </w:rPr>
        <w:t>工作</w:t>
      </w:r>
      <w:r>
        <w:rPr>
          <w:rFonts w:hint="eastAsia" w:ascii="仿宋_GB2312" w:hAnsi="仿宋_GB2312" w:eastAsia="仿宋_GB2312" w:cs="仿宋_GB2312"/>
          <w:color w:val="auto"/>
          <w:spacing w:val="0"/>
          <w:w w:val="100"/>
          <w:position w:val="0"/>
          <w:sz w:val="32"/>
          <w:szCs w:val="32"/>
        </w:rPr>
        <w:t>提出了更高的要求。《中华人民共和国国民经济和社会发展第十五个五年规划纲要》提出牢固树立和践行绿水青山就是金山银山的理念，以碳达峰碳中和为牵引，以健全生态文明制度体系为保障，协同推进降碳、减污、扩绿、增长，改善生态环境质量，筑牢生态安全屏障，增强绿色发展动能。</w:t>
      </w:r>
      <w:r>
        <w:rPr>
          <w:rFonts w:hint="eastAsia" w:ascii="仿宋_GB2312" w:hAnsi="仿宋_GB2312" w:eastAsia="仿宋_GB2312" w:cs="仿宋_GB2312"/>
          <w:color w:val="auto"/>
          <w:spacing w:val="0"/>
          <w:w w:val="100"/>
          <w:position w:val="0"/>
          <w:sz w:val="32"/>
          <w:szCs w:val="32"/>
          <w:lang w:eastAsia="zh-CN"/>
        </w:rPr>
        <w:t>我们必须</w:t>
      </w:r>
      <w:r>
        <w:rPr>
          <w:rFonts w:hint="eastAsia" w:ascii="仿宋_GB2312" w:hAnsi="仿宋_GB2312" w:eastAsia="仿宋_GB2312" w:cs="仿宋_GB2312"/>
          <w:color w:val="auto"/>
          <w:spacing w:val="0"/>
          <w:w w:val="100"/>
          <w:position w:val="0"/>
          <w:sz w:val="32"/>
          <w:szCs w:val="32"/>
        </w:rPr>
        <w:t>始终把生态环保放在经济社会发展的首位</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深入践行“两山”理论，树牢保护生态环境就是保护生产力、改善生态环境就是发展生产力的理念，保持战略定力，强化红线意识，</w:t>
      </w:r>
      <w:r>
        <w:rPr>
          <w:rFonts w:hint="eastAsia" w:ascii="仿宋_GB2312" w:hAnsi="仿宋_GB2312" w:eastAsia="仿宋_GB2312" w:cs="仿宋_GB2312"/>
          <w:color w:val="auto"/>
          <w:spacing w:val="0"/>
          <w:w w:val="100"/>
          <w:position w:val="0"/>
          <w:sz w:val="32"/>
          <w:szCs w:val="32"/>
          <w:lang w:eastAsia="zh-CN"/>
        </w:rPr>
        <w:t>坚持底线思维</w:t>
      </w:r>
      <w:r>
        <w:rPr>
          <w:rFonts w:hint="eastAsia" w:ascii="仿宋_GB2312" w:hAnsi="仿宋_GB2312" w:eastAsia="仿宋_GB2312" w:cs="仿宋_GB2312"/>
          <w:color w:val="auto"/>
          <w:spacing w:val="0"/>
          <w:w w:val="100"/>
          <w:position w:val="0"/>
          <w:sz w:val="32"/>
          <w:szCs w:val="32"/>
        </w:rPr>
        <w:t>，大力推进生态文明建设，促进人与自然和谐共生，走好高质量发展之路。</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rPr>
          <w:rFonts w:hint="eastAsia" w:ascii="仿宋_GB2312" w:hAnsi="仿宋_GB2312" w:eastAsia="仿宋_GB2312" w:cs="仿宋_GB2312"/>
          <w:color w:val="auto"/>
          <w:spacing w:val="0"/>
          <w:w w:val="100"/>
          <w:position w:val="0"/>
          <w:sz w:val="32"/>
          <w:szCs w:val="32"/>
          <w:lang w:eastAsia="zh-CN"/>
        </w:rPr>
      </w:pPr>
      <w:r>
        <w:rPr>
          <w:rFonts w:hint="eastAsia" w:ascii="仿宋_GB2312" w:hAnsi="仿宋_GB2312" w:eastAsia="仿宋_GB2312" w:cs="仿宋_GB2312"/>
          <w:color w:val="auto"/>
          <w:spacing w:val="0"/>
          <w:w w:val="100"/>
          <w:position w:val="0"/>
          <w:sz w:val="32"/>
          <w:szCs w:val="32"/>
        </w:rPr>
        <w:t>高台坐落在祁连山和黑河湿地两个国家级自然保护区之上，境内森林、草原</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湿地、沙漠、戈壁、湖泊等多种生态系统交融交汇，是国家“两屏三带”生态安全战略格局重点区域、全省“四屏一廊”生态布局重要组成部分和全市</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lang w:val="en-US" w:eastAsia="zh-CN"/>
        </w:rPr>
        <w:t>一</w:t>
      </w:r>
      <w:r>
        <w:rPr>
          <w:rFonts w:hint="eastAsia" w:ascii="仿宋_GB2312" w:hAnsi="仿宋_GB2312" w:eastAsia="仿宋_GB2312" w:cs="仿宋_GB2312"/>
          <w:color w:val="auto"/>
          <w:spacing w:val="0"/>
          <w:w w:val="100"/>
          <w:position w:val="0"/>
          <w:sz w:val="32"/>
          <w:szCs w:val="32"/>
        </w:rPr>
        <w:t>屏</w:t>
      </w:r>
      <w:r>
        <w:rPr>
          <w:rFonts w:hint="eastAsia" w:ascii="仿宋_GB2312" w:hAnsi="仿宋_GB2312" w:eastAsia="仿宋_GB2312" w:cs="仿宋_GB2312"/>
          <w:color w:val="auto"/>
          <w:spacing w:val="0"/>
          <w:w w:val="100"/>
          <w:position w:val="0"/>
          <w:sz w:val="32"/>
          <w:szCs w:val="32"/>
          <w:lang w:val="en-US" w:eastAsia="zh-CN"/>
        </w:rPr>
        <w:t>三地</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重要责任主体，是国家西部重要的生态安全屏障。近年来，</w:t>
      </w:r>
      <w:r>
        <w:rPr>
          <w:rFonts w:hint="eastAsia" w:ascii="仿宋_GB2312" w:hAnsi="仿宋_GB2312" w:eastAsia="仿宋_GB2312" w:cs="仿宋_GB2312"/>
          <w:color w:val="auto"/>
          <w:spacing w:val="0"/>
          <w:w w:val="100"/>
          <w:position w:val="0"/>
          <w:sz w:val="32"/>
          <w:szCs w:val="32"/>
          <w:lang w:val="en-US" w:eastAsia="zh-CN"/>
        </w:rPr>
        <w:t>高台县</w:t>
      </w:r>
      <w:r>
        <w:rPr>
          <w:rFonts w:hint="eastAsia" w:ascii="仿宋_GB2312" w:hAnsi="仿宋_GB2312" w:eastAsia="仿宋_GB2312" w:cs="仿宋_GB2312"/>
          <w:color w:val="auto"/>
          <w:spacing w:val="0"/>
          <w:w w:val="100"/>
          <w:position w:val="0"/>
          <w:sz w:val="32"/>
          <w:szCs w:val="32"/>
        </w:rPr>
        <w:t>委、</w:t>
      </w:r>
      <w:r>
        <w:rPr>
          <w:rFonts w:hint="eastAsia" w:ascii="仿宋_GB2312" w:hAnsi="仿宋_GB2312" w:eastAsia="仿宋_GB2312" w:cs="仿宋_GB2312"/>
          <w:color w:val="auto"/>
          <w:spacing w:val="0"/>
          <w:w w:val="100"/>
          <w:position w:val="0"/>
          <w:sz w:val="32"/>
          <w:szCs w:val="32"/>
          <w:lang w:val="en-US" w:eastAsia="zh-CN"/>
        </w:rPr>
        <w:t>县</w:t>
      </w:r>
      <w:r>
        <w:rPr>
          <w:rFonts w:hint="eastAsia" w:ascii="仿宋_GB2312" w:hAnsi="仿宋_GB2312" w:eastAsia="仿宋_GB2312" w:cs="仿宋_GB2312"/>
          <w:color w:val="auto"/>
          <w:spacing w:val="0"/>
          <w:w w:val="100"/>
          <w:position w:val="0"/>
          <w:sz w:val="32"/>
          <w:szCs w:val="32"/>
        </w:rPr>
        <w:t>政府以国家重点生态功能区建设为引领，努力践行习近平生态文明思想，牢固树立绿水青山就是金山银山理念，加强对生态环境保护重大问题的统筹协调，黑河生态功能持续提升，污染防治攻坚战纵深推进，城乡人居环境全面改善，生态环境治理体系和治理能力现代化水平大幅提升，呈现出生态环境质量根本好转、绿色发展支撑不断强化、生态文明建设步伐加快的良好态势。为持续积极响应国家重点生态功能区县域考核要求，争取中央更大力度财政转移支付，持续推进国家重点生态功能区建设，提升生态环境质量，实现高质量发展、高水平保护，</w:t>
      </w:r>
      <w:r>
        <w:rPr>
          <w:rFonts w:hint="eastAsia" w:ascii="仿宋_GB2312" w:hAnsi="仿宋_GB2312" w:eastAsia="仿宋_GB2312" w:cs="仿宋_GB2312"/>
          <w:color w:val="auto"/>
          <w:spacing w:val="0"/>
          <w:w w:val="100"/>
          <w:position w:val="0"/>
          <w:sz w:val="32"/>
          <w:szCs w:val="32"/>
          <w:lang w:val="en-US" w:eastAsia="zh-CN"/>
        </w:rPr>
        <w:t>高台县</w:t>
      </w:r>
      <w:r>
        <w:rPr>
          <w:rFonts w:hint="eastAsia" w:ascii="仿宋_GB2312" w:hAnsi="仿宋_GB2312" w:eastAsia="仿宋_GB2312" w:cs="仿宋_GB2312"/>
          <w:color w:val="auto"/>
          <w:spacing w:val="0"/>
          <w:w w:val="100"/>
          <w:position w:val="0"/>
          <w:sz w:val="32"/>
          <w:szCs w:val="32"/>
        </w:rPr>
        <w:t>有必要立足新发展阶段形势要求，针对区域社会经济发展及生态环境状况实际，重点从生态环境问题诊断及质量改善提升方面开展研究，进一步强化污染防治工作，不断改善县域生态环境质量，构建完善的生态环境治理体系</w:t>
      </w:r>
      <w:r>
        <w:rPr>
          <w:rFonts w:hint="eastAsia" w:ascii="仿宋_GB2312" w:hAnsi="仿宋_GB2312" w:eastAsia="仿宋_GB2312" w:cs="仿宋_GB2312"/>
          <w:color w:val="auto"/>
          <w:spacing w:val="0"/>
          <w:w w:val="100"/>
          <w:positio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2" w:firstLineChars="200"/>
        <w:jc w:val="both"/>
        <w:outlineLvl w:val="1"/>
        <w:rPr>
          <w:rFonts w:hint="eastAsia" w:ascii="仿宋_GB2312" w:hAnsi="仿宋_GB2312" w:eastAsia="仿宋_GB2312" w:cs="仿宋_GB2312"/>
          <w:b/>
          <w:bCs/>
          <w:color w:val="auto"/>
          <w:spacing w:val="0"/>
          <w:w w:val="100"/>
          <w:position w:val="0"/>
          <w:sz w:val="32"/>
          <w:szCs w:val="32"/>
        </w:rPr>
      </w:pPr>
      <w:bookmarkStart w:id="5" w:name="bookmark4"/>
      <w:bookmarkEnd w:id="5"/>
      <w:bookmarkStart w:id="6" w:name="_Toc20230"/>
      <w:r>
        <w:rPr>
          <w:rFonts w:hint="eastAsia" w:ascii="仿宋_GB2312" w:hAnsi="仿宋_GB2312" w:eastAsia="仿宋_GB2312" w:cs="仿宋_GB2312"/>
          <w:b/>
          <w:bCs/>
          <w:color w:val="auto"/>
          <w:spacing w:val="0"/>
          <w:w w:val="100"/>
          <w:position w:val="0"/>
          <w:sz w:val="32"/>
          <w:szCs w:val="32"/>
        </w:rPr>
        <w:t>1.2</w:t>
      </w:r>
      <w:r>
        <w:rPr>
          <w:rFonts w:hint="eastAsia" w:ascii="仿宋_GB2312" w:hAnsi="仿宋_GB2312" w:eastAsia="仿宋_GB2312" w:cs="仿宋_GB2312"/>
          <w:b/>
          <w:bCs/>
          <w:color w:val="auto"/>
          <w:spacing w:val="0"/>
          <w:w w:val="100"/>
          <w:position w:val="0"/>
          <w:sz w:val="32"/>
          <w:szCs w:val="32"/>
          <w:lang w:val="en-US" w:eastAsia="zh-CN"/>
        </w:rPr>
        <w:t xml:space="preserve">  </w:t>
      </w:r>
      <w:r>
        <w:rPr>
          <w:rFonts w:hint="eastAsia" w:ascii="仿宋_GB2312" w:hAnsi="仿宋_GB2312" w:eastAsia="仿宋_GB2312" w:cs="仿宋_GB2312"/>
          <w:b/>
          <w:bCs/>
          <w:color w:val="auto"/>
          <w:spacing w:val="0"/>
          <w:w w:val="100"/>
          <w:position w:val="0"/>
          <w:sz w:val="32"/>
          <w:szCs w:val="32"/>
        </w:rPr>
        <w:t>研究内容</w:t>
      </w:r>
      <w:bookmarkEnd w:id="6"/>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rPr>
          <w:rFonts w:hint="eastAsia" w:ascii="仿宋_GB2312" w:hAnsi="仿宋_GB2312" w:eastAsia="仿宋_GB2312" w:cs="仿宋_GB2312"/>
          <w:color w:val="auto"/>
          <w:spacing w:val="0"/>
          <w:w w:val="100"/>
          <w:position w:val="0"/>
          <w:sz w:val="32"/>
          <w:szCs w:val="32"/>
        </w:rPr>
      </w:pPr>
      <w:r>
        <w:rPr>
          <w:rFonts w:hint="eastAsia" w:ascii="仿宋_GB2312" w:hAnsi="仿宋_GB2312" w:eastAsia="仿宋_GB2312" w:cs="仿宋_GB2312"/>
          <w:color w:val="auto"/>
          <w:spacing w:val="0"/>
          <w:w w:val="100"/>
          <w:position w:val="0"/>
          <w:sz w:val="32"/>
          <w:szCs w:val="32"/>
        </w:rPr>
        <w:t>本项目的主要研究内容为：结合</w:t>
      </w:r>
      <w:r>
        <w:rPr>
          <w:rFonts w:hint="eastAsia" w:ascii="仿宋_GB2312" w:hAnsi="仿宋_GB2312" w:eastAsia="仿宋_GB2312" w:cs="仿宋_GB2312"/>
          <w:color w:val="auto"/>
          <w:spacing w:val="0"/>
          <w:w w:val="100"/>
          <w:position w:val="0"/>
          <w:sz w:val="32"/>
          <w:szCs w:val="32"/>
          <w:lang w:val="en-US" w:eastAsia="zh-CN"/>
        </w:rPr>
        <w:t>高台县</w:t>
      </w:r>
      <w:r>
        <w:rPr>
          <w:rFonts w:hint="eastAsia" w:ascii="仿宋_GB2312" w:hAnsi="仿宋_GB2312" w:eastAsia="仿宋_GB2312" w:cs="仿宋_GB2312"/>
          <w:color w:val="auto"/>
          <w:spacing w:val="0"/>
          <w:w w:val="100"/>
          <w:position w:val="0"/>
          <w:sz w:val="32"/>
          <w:szCs w:val="32"/>
        </w:rPr>
        <w:t>的自然环境与社会经济发展基础</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对</w:t>
      </w:r>
      <w:r>
        <w:rPr>
          <w:rFonts w:hint="eastAsia" w:ascii="仿宋_GB2312" w:hAnsi="仿宋_GB2312" w:eastAsia="仿宋_GB2312" w:cs="仿宋_GB2312"/>
          <w:color w:val="auto"/>
          <w:spacing w:val="0"/>
          <w:w w:val="100"/>
          <w:position w:val="0"/>
          <w:sz w:val="32"/>
          <w:szCs w:val="32"/>
          <w:lang w:val="en-US" w:eastAsia="zh-CN"/>
        </w:rPr>
        <w:t>高台县</w:t>
      </w:r>
      <w:r>
        <w:rPr>
          <w:rFonts w:hint="eastAsia" w:ascii="仿宋_GB2312" w:hAnsi="仿宋_GB2312" w:eastAsia="仿宋_GB2312" w:cs="仿宋_GB2312"/>
          <w:color w:val="auto"/>
          <w:spacing w:val="0"/>
          <w:w w:val="100"/>
          <w:position w:val="0"/>
          <w:sz w:val="32"/>
          <w:szCs w:val="32"/>
        </w:rPr>
        <w:t>的生态环境现状、主要污染物排放状况、生态环境保护工作成效进行分析，并进一步从绿色协调发展、大气环境污染防治、水环境污染防治、土壤及地下水环境污染防治、生态保护修复等方面分析存在的区域性、结构性、趋势性生态环境问题，继而制定</w:t>
      </w:r>
      <w:r>
        <w:rPr>
          <w:rFonts w:hint="eastAsia" w:ascii="仿宋_GB2312" w:hAnsi="仿宋_GB2312" w:eastAsia="仿宋_GB2312" w:cs="仿宋_GB2312"/>
          <w:color w:val="auto"/>
          <w:spacing w:val="0"/>
          <w:w w:val="100"/>
          <w:position w:val="0"/>
          <w:sz w:val="32"/>
          <w:szCs w:val="32"/>
          <w:lang w:val="en-US" w:eastAsia="zh-CN"/>
        </w:rPr>
        <w:t>2026—2028年</w:t>
      </w:r>
      <w:r>
        <w:rPr>
          <w:rFonts w:hint="eastAsia" w:ascii="仿宋_GB2312" w:hAnsi="仿宋_GB2312" w:eastAsia="仿宋_GB2312" w:cs="仿宋_GB2312"/>
          <w:color w:val="auto"/>
          <w:spacing w:val="0"/>
          <w:w w:val="100"/>
          <w:position w:val="0"/>
          <w:sz w:val="32"/>
          <w:szCs w:val="32"/>
        </w:rPr>
        <w:t>生态环境质量改善提升的主要目标，并提出生态环境质量改善提升的对策措施。</w:t>
      </w:r>
      <w:bookmarkStart w:id="7" w:name="bookmark1"/>
      <w:bookmarkEnd w:id="7"/>
    </w:p>
    <w:p>
      <w:pPr>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firstLine="642" w:firstLineChars="200"/>
        <w:jc w:val="both"/>
        <w:outlineLvl w:val="1"/>
        <w:rPr>
          <w:rFonts w:hint="eastAsia" w:ascii="仿宋_GB2312" w:hAnsi="仿宋_GB2312" w:eastAsia="仿宋_GB2312" w:cs="仿宋_GB2312"/>
          <w:color w:val="auto"/>
          <w:spacing w:val="0"/>
          <w:w w:val="100"/>
          <w:position w:val="0"/>
          <w:sz w:val="32"/>
          <w:szCs w:val="32"/>
        </w:rPr>
      </w:pPr>
      <w:bookmarkStart w:id="8" w:name="_Toc11756"/>
      <w:r>
        <w:rPr>
          <w:rFonts w:hint="eastAsia" w:ascii="仿宋_GB2312" w:hAnsi="仿宋_GB2312" w:eastAsia="仿宋_GB2312" w:cs="仿宋_GB2312"/>
          <w:b/>
          <w:bCs/>
          <w:color w:val="auto"/>
          <w:spacing w:val="0"/>
          <w:w w:val="100"/>
          <w:position w:val="0"/>
          <w:sz w:val="32"/>
          <w:szCs w:val="32"/>
        </w:rPr>
        <w:t>1.3  研究目标</w:t>
      </w:r>
      <w:bookmarkEnd w:id="8"/>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rPr>
          <w:rFonts w:hint="eastAsia" w:ascii="仿宋_GB2312" w:hAnsi="仿宋_GB2312" w:eastAsia="仿宋_GB2312" w:cs="仿宋_GB2312"/>
          <w:color w:val="auto"/>
          <w:spacing w:val="0"/>
          <w:w w:val="100"/>
          <w:position w:val="0"/>
          <w:sz w:val="32"/>
          <w:szCs w:val="32"/>
        </w:rPr>
      </w:pPr>
      <w:r>
        <w:rPr>
          <w:rFonts w:hint="eastAsia" w:ascii="仿宋_GB2312" w:hAnsi="仿宋_GB2312" w:eastAsia="仿宋_GB2312" w:cs="仿宋_GB2312"/>
          <w:color w:val="auto"/>
          <w:spacing w:val="0"/>
          <w:w w:val="100"/>
          <w:position w:val="0"/>
          <w:sz w:val="32"/>
          <w:szCs w:val="32"/>
        </w:rPr>
        <w:t>开展</w:t>
      </w:r>
      <w:r>
        <w:rPr>
          <w:rFonts w:hint="eastAsia" w:ascii="仿宋_GB2312" w:hAnsi="仿宋_GB2312" w:eastAsia="仿宋_GB2312" w:cs="仿宋_GB2312"/>
          <w:color w:val="auto"/>
          <w:spacing w:val="0"/>
          <w:w w:val="100"/>
          <w:position w:val="0"/>
          <w:sz w:val="32"/>
          <w:szCs w:val="32"/>
          <w:lang w:val="en-US" w:eastAsia="zh-CN"/>
        </w:rPr>
        <w:t>高台县2026—2028年</w:t>
      </w:r>
      <w:r>
        <w:rPr>
          <w:rFonts w:hint="eastAsia" w:ascii="仿宋_GB2312" w:hAnsi="仿宋_GB2312" w:eastAsia="仿宋_GB2312" w:cs="仿宋_GB2312"/>
          <w:color w:val="auto"/>
          <w:spacing w:val="0"/>
          <w:w w:val="100"/>
          <w:position w:val="0"/>
          <w:sz w:val="32"/>
          <w:szCs w:val="32"/>
        </w:rPr>
        <w:t>生态环境问题诊断及质量改善提升研究的目的，在于充分掌握当前的生态环境状况，厘清当前生态环境与经济发展之间的难题</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提出</w:t>
      </w:r>
      <w:r>
        <w:rPr>
          <w:rFonts w:hint="eastAsia" w:ascii="仿宋_GB2312" w:hAnsi="仿宋_GB2312" w:eastAsia="仿宋_GB2312" w:cs="仿宋_GB2312"/>
          <w:color w:val="auto"/>
          <w:spacing w:val="0"/>
          <w:w w:val="100"/>
          <w:position w:val="0"/>
          <w:sz w:val="32"/>
          <w:szCs w:val="32"/>
          <w:lang w:val="en-US" w:eastAsia="zh-CN"/>
        </w:rPr>
        <w:t>2026—2028年高台县</w:t>
      </w:r>
      <w:r>
        <w:rPr>
          <w:rFonts w:hint="eastAsia" w:ascii="仿宋_GB2312" w:hAnsi="仿宋_GB2312" w:eastAsia="仿宋_GB2312" w:cs="仿宋_GB2312"/>
          <w:color w:val="auto"/>
          <w:spacing w:val="0"/>
          <w:w w:val="100"/>
          <w:position w:val="0"/>
          <w:sz w:val="32"/>
          <w:szCs w:val="32"/>
        </w:rPr>
        <w:t>强化污染防治工作和持续改善县域生态环境质量的对策，为实现经济社会高质量发展和生态环境高水平保护提供技术支撑。</w:t>
      </w:r>
    </w:p>
    <w:p>
      <w:pPr>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firstLine="642" w:firstLineChars="200"/>
        <w:jc w:val="both"/>
        <w:outlineLvl w:val="1"/>
        <w:rPr>
          <w:rFonts w:hint="eastAsia" w:ascii="仿宋_GB2312" w:hAnsi="仿宋_GB2312" w:eastAsia="仿宋_GB2312" w:cs="仿宋_GB2312"/>
          <w:b/>
          <w:bCs/>
          <w:color w:val="auto"/>
          <w:spacing w:val="0"/>
          <w:w w:val="100"/>
          <w:position w:val="0"/>
          <w:sz w:val="32"/>
          <w:szCs w:val="32"/>
        </w:rPr>
      </w:pPr>
      <w:bookmarkStart w:id="9" w:name="bookmark118"/>
      <w:bookmarkEnd w:id="9"/>
      <w:bookmarkStart w:id="10" w:name="bookmark7"/>
      <w:bookmarkEnd w:id="10"/>
      <w:bookmarkStart w:id="11" w:name="bookmark1"/>
      <w:bookmarkEnd w:id="11"/>
      <w:bookmarkStart w:id="12" w:name="_Toc26684"/>
      <w:r>
        <w:rPr>
          <w:rFonts w:hint="eastAsia" w:ascii="仿宋_GB2312" w:hAnsi="仿宋_GB2312" w:eastAsia="仿宋_GB2312" w:cs="仿宋_GB2312"/>
          <w:b/>
          <w:bCs/>
          <w:color w:val="auto"/>
          <w:spacing w:val="0"/>
          <w:w w:val="100"/>
          <w:position w:val="0"/>
          <w:sz w:val="32"/>
          <w:szCs w:val="32"/>
        </w:rPr>
        <w:t>1.</w:t>
      </w:r>
      <w:r>
        <w:rPr>
          <w:rFonts w:hint="eastAsia" w:ascii="仿宋_GB2312" w:hAnsi="仿宋_GB2312" w:eastAsia="仿宋_GB2312" w:cs="仿宋_GB2312"/>
          <w:b/>
          <w:bCs/>
          <w:color w:val="auto"/>
          <w:spacing w:val="0"/>
          <w:w w:val="100"/>
          <w:position w:val="0"/>
          <w:sz w:val="32"/>
          <w:szCs w:val="32"/>
          <w:lang w:val="en-US" w:eastAsia="zh-CN"/>
        </w:rPr>
        <w:t>4</w:t>
      </w:r>
      <w:r>
        <w:rPr>
          <w:rFonts w:hint="eastAsia" w:ascii="仿宋_GB2312" w:hAnsi="仿宋_GB2312" w:eastAsia="仿宋_GB2312" w:cs="仿宋_GB2312"/>
          <w:b/>
          <w:bCs/>
          <w:color w:val="auto"/>
          <w:spacing w:val="0"/>
          <w:w w:val="100"/>
          <w:position w:val="0"/>
          <w:sz w:val="32"/>
          <w:szCs w:val="32"/>
        </w:rPr>
        <w:t xml:space="preserve">  研究范围与时限</w:t>
      </w:r>
      <w:bookmarkEnd w:id="12"/>
    </w:p>
    <w:p>
      <w:pPr>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firstLine="640" w:firstLineChars="200"/>
        <w:jc w:val="both"/>
        <w:textAlignment w:val="baseline"/>
        <w:outlineLvl w:val="9"/>
        <w:rPr>
          <w:rFonts w:hint="eastAsia" w:ascii="仿宋_GB2312" w:hAnsi="仿宋_GB2312" w:eastAsia="仿宋_GB2312" w:cs="仿宋_GB2312"/>
          <w:color w:val="auto"/>
          <w:spacing w:val="0"/>
          <w:w w:val="100"/>
          <w:position w:val="0"/>
          <w:sz w:val="32"/>
          <w:szCs w:val="32"/>
        </w:rPr>
      </w:pPr>
      <w:bookmarkStart w:id="13" w:name="bookmark8"/>
      <w:bookmarkEnd w:id="13"/>
      <w:r>
        <w:rPr>
          <w:rFonts w:hint="eastAsia" w:ascii="仿宋_GB2312" w:hAnsi="仿宋_GB2312" w:eastAsia="仿宋_GB2312" w:cs="仿宋_GB2312"/>
          <w:color w:val="auto"/>
          <w:spacing w:val="0"/>
          <w:w w:val="100"/>
          <w:position w:val="0"/>
          <w:sz w:val="32"/>
          <w:szCs w:val="32"/>
        </w:rPr>
        <w:t>本研究范围为</w:t>
      </w:r>
      <w:r>
        <w:rPr>
          <w:rFonts w:hint="eastAsia" w:ascii="仿宋_GB2312" w:hAnsi="仿宋_GB2312" w:eastAsia="仿宋_GB2312" w:cs="仿宋_GB2312"/>
          <w:color w:val="auto"/>
          <w:spacing w:val="0"/>
          <w:w w:val="100"/>
          <w:position w:val="0"/>
          <w:sz w:val="32"/>
          <w:szCs w:val="32"/>
          <w:lang w:val="en-US" w:eastAsia="zh-CN"/>
        </w:rPr>
        <w:t>高台县</w:t>
      </w:r>
      <w:r>
        <w:rPr>
          <w:rFonts w:hint="eastAsia" w:ascii="仿宋_GB2312" w:hAnsi="仿宋_GB2312" w:eastAsia="仿宋_GB2312" w:cs="仿宋_GB2312"/>
          <w:color w:val="auto"/>
          <w:spacing w:val="0"/>
          <w:w w:val="100"/>
          <w:position w:val="0"/>
          <w:sz w:val="32"/>
          <w:szCs w:val="32"/>
        </w:rPr>
        <w:t>全域范围，包括辖</w:t>
      </w:r>
      <w:r>
        <w:rPr>
          <w:rFonts w:hint="eastAsia" w:ascii="仿宋_GB2312" w:hAnsi="仿宋_GB2312" w:eastAsia="仿宋_GB2312" w:cs="仿宋_GB2312"/>
          <w:color w:val="auto"/>
          <w:spacing w:val="0"/>
          <w:w w:val="100"/>
          <w:position w:val="0"/>
          <w:sz w:val="32"/>
          <w:szCs w:val="32"/>
          <w:lang w:val="en-US" w:eastAsia="zh-CN"/>
        </w:rPr>
        <w:t>区</w:t>
      </w:r>
      <w:r>
        <w:rPr>
          <w:rFonts w:hint="eastAsia" w:ascii="仿宋_GB2312" w:hAnsi="仿宋_GB2312" w:eastAsia="仿宋_GB2312" w:cs="仿宋_GB2312"/>
          <w:color w:val="auto"/>
          <w:spacing w:val="0"/>
          <w:w w:val="100"/>
          <w:position w:val="0"/>
          <w:sz w:val="32"/>
          <w:szCs w:val="32"/>
        </w:rPr>
        <w:t>9个镇，136个行政村，9个社区，总面积4346平方公里。本研究以</w:t>
      </w:r>
      <w:r>
        <w:rPr>
          <w:rFonts w:hint="eastAsia" w:ascii="仿宋_GB2312" w:hAnsi="仿宋_GB2312" w:eastAsia="仿宋_GB2312" w:cs="仿宋_GB2312"/>
          <w:color w:val="auto"/>
          <w:spacing w:val="0"/>
          <w:w w:val="100"/>
          <w:position w:val="0"/>
          <w:sz w:val="32"/>
          <w:szCs w:val="32"/>
          <w:lang w:eastAsia="zh-CN"/>
        </w:rPr>
        <w:t>“十四五”时期</w:t>
      </w:r>
      <w:r>
        <w:rPr>
          <w:rFonts w:hint="eastAsia" w:ascii="仿宋_GB2312" w:hAnsi="仿宋_GB2312" w:eastAsia="仿宋_GB2312" w:cs="仿宋_GB2312"/>
          <w:color w:val="auto"/>
          <w:spacing w:val="0"/>
          <w:w w:val="100"/>
          <w:position w:val="0"/>
          <w:sz w:val="32"/>
          <w:szCs w:val="32"/>
        </w:rPr>
        <w:t>为基准年</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目标年为</w:t>
      </w:r>
      <w:r>
        <w:rPr>
          <w:rFonts w:hint="eastAsia" w:ascii="仿宋_GB2312" w:hAnsi="仿宋_GB2312" w:eastAsia="仿宋_GB2312" w:cs="仿宋_GB2312"/>
          <w:color w:val="auto"/>
          <w:spacing w:val="0"/>
          <w:w w:val="100"/>
          <w:position w:val="0"/>
          <w:sz w:val="32"/>
          <w:szCs w:val="32"/>
          <w:lang w:val="en-US" w:eastAsia="zh-CN"/>
        </w:rPr>
        <w:t>2026—2028</w:t>
      </w:r>
      <w:r>
        <w:rPr>
          <w:rFonts w:hint="eastAsia" w:ascii="仿宋_GB2312" w:hAnsi="仿宋_GB2312" w:eastAsia="仿宋_GB2312" w:cs="仿宋_GB2312"/>
          <w:color w:val="auto"/>
          <w:spacing w:val="0"/>
          <w:w w:val="100"/>
          <w:position w:val="0"/>
          <w:sz w:val="32"/>
          <w:szCs w:val="32"/>
        </w:rPr>
        <w:t>年。</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2" w:firstLineChars="200"/>
        <w:jc w:val="both"/>
        <w:outlineLvl w:val="1"/>
        <w:rPr>
          <w:rFonts w:hint="eastAsia" w:ascii="仿宋_GB2312" w:hAnsi="仿宋_GB2312" w:eastAsia="仿宋_GB2312" w:cs="仿宋_GB2312"/>
          <w:color w:val="auto"/>
          <w:spacing w:val="0"/>
          <w:w w:val="100"/>
          <w:position w:val="0"/>
          <w:sz w:val="32"/>
          <w:szCs w:val="32"/>
        </w:rPr>
      </w:pPr>
      <w:bookmarkStart w:id="14" w:name="bookmark10"/>
      <w:bookmarkEnd w:id="14"/>
      <w:bookmarkStart w:id="15" w:name="_Toc20146"/>
      <w:r>
        <w:rPr>
          <w:rFonts w:hint="eastAsia" w:ascii="仿宋_GB2312" w:hAnsi="仿宋_GB2312" w:eastAsia="仿宋_GB2312" w:cs="仿宋_GB2312"/>
          <w:b/>
          <w:bCs/>
          <w:color w:val="auto"/>
          <w:spacing w:val="0"/>
          <w:w w:val="100"/>
          <w:position w:val="0"/>
          <w:sz w:val="32"/>
          <w:szCs w:val="32"/>
        </w:rPr>
        <w:t>1.</w:t>
      </w:r>
      <w:r>
        <w:rPr>
          <w:rFonts w:hint="eastAsia" w:ascii="仿宋_GB2312" w:hAnsi="仿宋_GB2312" w:eastAsia="仿宋_GB2312" w:cs="仿宋_GB2312"/>
          <w:b/>
          <w:bCs/>
          <w:color w:val="auto"/>
          <w:spacing w:val="0"/>
          <w:w w:val="100"/>
          <w:position w:val="0"/>
          <w:sz w:val="32"/>
          <w:szCs w:val="32"/>
          <w:lang w:val="en-US" w:eastAsia="zh-CN"/>
        </w:rPr>
        <w:t xml:space="preserve">5  </w:t>
      </w:r>
      <w:r>
        <w:rPr>
          <w:rFonts w:hint="eastAsia" w:ascii="仿宋_GB2312" w:hAnsi="仿宋_GB2312" w:eastAsia="仿宋_GB2312" w:cs="仿宋_GB2312"/>
          <w:b/>
          <w:bCs/>
          <w:color w:val="auto"/>
          <w:spacing w:val="0"/>
          <w:w w:val="100"/>
          <w:position w:val="0"/>
          <w:sz w:val="32"/>
          <w:szCs w:val="32"/>
        </w:rPr>
        <w:t>生态环境改善目标</w:t>
      </w:r>
      <w:bookmarkEnd w:id="15"/>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textAlignment w:val="baseline"/>
        <w:rPr>
          <w:rFonts w:hint="eastAsia" w:ascii="仿宋_GB2312" w:hAnsi="仿宋_GB2312" w:eastAsia="仿宋_GB2312" w:cs="仿宋_GB2312"/>
          <w:color w:val="auto"/>
          <w:spacing w:val="0"/>
          <w:w w:val="100"/>
          <w:position w:val="0"/>
          <w:sz w:val="32"/>
          <w:szCs w:val="32"/>
        </w:rPr>
      </w:pPr>
      <w:r>
        <w:rPr>
          <w:rFonts w:hint="eastAsia" w:ascii="仿宋_GB2312" w:hAnsi="仿宋_GB2312" w:eastAsia="仿宋_GB2312" w:cs="仿宋_GB2312"/>
          <w:color w:val="auto"/>
          <w:spacing w:val="0"/>
          <w:w w:val="100"/>
          <w:position w:val="0"/>
          <w:sz w:val="32"/>
          <w:szCs w:val="32"/>
        </w:rPr>
        <w:t>到202</w:t>
      </w:r>
      <w:r>
        <w:rPr>
          <w:rFonts w:hint="eastAsia" w:ascii="仿宋_GB2312" w:hAnsi="仿宋_GB2312" w:eastAsia="仿宋_GB2312" w:cs="仿宋_GB2312"/>
          <w:color w:val="auto"/>
          <w:spacing w:val="0"/>
          <w:w w:val="100"/>
          <w:position w:val="0"/>
          <w:sz w:val="32"/>
          <w:szCs w:val="32"/>
          <w:lang w:val="en-US" w:eastAsia="zh-CN"/>
        </w:rPr>
        <w:t>8</w:t>
      </w:r>
      <w:r>
        <w:rPr>
          <w:rFonts w:hint="eastAsia" w:ascii="仿宋_GB2312" w:hAnsi="仿宋_GB2312" w:eastAsia="仿宋_GB2312" w:cs="仿宋_GB2312"/>
          <w:color w:val="auto"/>
          <w:spacing w:val="0"/>
          <w:w w:val="100"/>
          <w:position w:val="0"/>
          <w:sz w:val="32"/>
          <w:szCs w:val="32"/>
        </w:rPr>
        <w:t>年，环境质量稳中向好，绿色低碳发展势能明显增强，环境污染防治水平明显提升，城乡人居环境显著改善，生态系统格局整体稳定，生态系统质量持续改善，生态系统服务功能不断增强。具体目标如下：</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textAlignment w:val="baseline"/>
        <w:rPr>
          <w:rFonts w:hint="eastAsia" w:ascii="仿宋_GB2312" w:hAnsi="仿宋_GB2312" w:eastAsia="仿宋_GB2312" w:cs="仿宋_GB2312"/>
          <w:color w:val="auto"/>
          <w:spacing w:val="0"/>
          <w:w w:val="100"/>
          <w:position w:val="0"/>
          <w:sz w:val="32"/>
          <w:szCs w:val="32"/>
        </w:rPr>
      </w:pPr>
      <w:r>
        <w:rPr>
          <w:rFonts w:hint="eastAsia" w:ascii="楷体_GB2312" w:hAnsi="楷体_GB2312" w:eastAsia="楷体_GB2312" w:cs="楷体_GB2312"/>
          <w:b w:val="0"/>
          <w:bCs w:val="0"/>
          <w:color w:val="auto"/>
          <w:spacing w:val="0"/>
          <w:w w:val="100"/>
          <w:position w:val="0"/>
          <w:sz w:val="32"/>
          <w:szCs w:val="32"/>
        </w:rPr>
        <w:t>——环境质量保持稳中向好。</w:t>
      </w:r>
      <w:r>
        <w:rPr>
          <w:rFonts w:hint="eastAsia" w:ascii="仿宋_GB2312" w:hAnsi="仿宋_GB2312" w:eastAsia="仿宋_GB2312" w:cs="仿宋_GB2312"/>
          <w:color w:val="auto"/>
          <w:spacing w:val="0"/>
          <w:w w:val="100"/>
          <w:position w:val="0"/>
          <w:sz w:val="32"/>
          <w:szCs w:val="32"/>
        </w:rPr>
        <w:t>环境空气质量保持优良，可吸入颗粒物（PM</w:t>
      </w:r>
      <w:r>
        <w:rPr>
          <w:rFonts w:hint="eastAsia" w:ascii="仿宋_GB2312" w:hAnsi="仿宋_GB2312" w:eastAsia="仿宋_GB2312" w:cs="仿宋_GB2312"/>
          <w:color w:val="auto"/>
          <w:spacing w:val="0"/>
          <w:w w:val="100"/>
          <w:position w:val="0"/>
          <w:sz w:val="32"/>
          <w:szCs w:val="32"/>
          <w:vertAlign w:val="subscript"/>
        </w:rPr>
        <w:t>10</w:t>
      </w:r>
      <w:r>
        <w:rPr>
          <w:rFonts w:hint="eastAsia" w:ascii="仿宋_GB2312" w:hAnsi="仿宋_GB2312" w:eastAsia="仿宋_GB2312" w:cs="仿宋_GB2312"/>
          <w:color w:val="auto"/>
          <w:spacing w:val="0"/>
          <w:w w:val="100"/>
          <w:position w:val="0"/>
          <w:sz w:val="32"/>
          <w:szCs w:val="32"/>
        </w:rPr>
        <w:t>）、细颗粒物（PM</w:t>
      </w:r>
      <w:r>
        <w:rPr>
          <w:rFonts w:hint="eastAsia" w:ascii="仿宋_GB2312" w:hAnsi="仿宋_GB2312" w:eastAsia="仿宋_GB2312" w:cs="仿宋_GB2312"/>
          <w:color w:val="auto"/>
          <w:spacing w:val="0"/>
          <w:w w:val="100"/>
          <w:position w:val="0"/>
          <w:sz w:val="32"/>
          <w:szCs w:val="32"/>
          <w:vertAlign w:val="subscript"/>
        </w:rPr>
        <w:t>2.5</w:t>
      </w:r>
      <w:r>
        <w:rPr>
          <w:rFonts w:hint="eastAsia" w:ascii="仿宋_GB2312" w:hAnsi="仿宋_GB2312" w:eastAsia="仿宋_GB2312" w:cs="仿宋_GB2312"/>
          <w:color w:val="auto"/>
          <w:spacing w:val="0"/>
          <w:w w:val="100"/>
          <w:position w:val="0"/>
          <w:sz w:val="32"/>
          <w:szCs w:val="32"/>
        </w:rPr>
        <w:t>）均值和空气质量优良天数比例完成市上下达的“十</w:t>
      </w:r>
      <w:r>
        <w:rPr>
          <w:rFonts w:hint="eastAsia" w:ascii="仿宋_GB2312" w:hAnsi="仿宋_GB2312" w:eastAsia="仿宋_GB2312" w:cs="仿宋_GB2312"/>
          <w:color w:val="auto"/>
          <w:spacing w:val="0"/>
          <w:w w:val="100"/>
          <w:position w:val="0"/>
          <w:sz w:val="32"/>
          <w:szCs w:val="32"/>
          <w:lang w:eastAsia="zh-CN"/>
        </w:rPr>
        <w:t>五</w:t>
      </w:r>
      <w:r>
        <w:rPr>
          <w:rFonts w:hint="eastAsia" w:ascii="仿宋_GB2312" w:hAnsi="仿宋_GB2312" w:eastAsia="仿宋_GB2312" w:cs="仿宋_GB2312"/>
          <w:color w:val="auto"/>
          <w:spacing w:val="0"/>
          <w:w w:val="100"/>
          <w:position w:val="0"/>
          <w:sz w:val="32"/>
          <w:szCs w:val="32"/>
        </w:rPr>
        <w:t>五”目标，完成市上下达的管控指标，确保不发生人为导致的重污染天气；水环境质量持续提升，国考断面稳定达标，地表水达到或好于Ⅲ类体比例保持100%。</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textAlignment w:val="baseline"/>
        <w:rPr>
          <w:rFonts w:hint="eastAsia" w:ascii="仿宋_GB2312" w:hAnsi="仿宋_GB2312" w:eastAsia="仿宋_GB2312" w:cs="仿宋_GB2312"/>
          <w:color w:val="auto"/>
          <w:spacing w:val="0"/>
          <w:w w:val="100"/>
          <w:position w:val="0"/>
          <w:sz w:val="32"/>
          <w:szCs w:val="32"/>
        </w:rPr>
      </w:pPr>
      <w:r>
        <w:rPr>
          <w:rFonts w:hint="eastAsia" w:ascii="楷体_GB2312" w:hAnsi="楷体_GB2312" w:eastAsia="楷体_GB2312" w:cs="楷体_GB2312"/>
          <w:b w:val="0"/>
          <w:bCs w:val="0"/>
          <w:color w:val="auto"/>
          <w:spacing w:val="0"/>
          <w:w w:val="100"/>
          <w:position w:val="0"/>
          <w:sz w:val="32"/>
          <w:szCs w:val="32"/>
        </w:rPr>
        <w:t>——绿色低碳发展势能明显增强。</w:t>
      </w:r>
      <w:r>
        <w:rPr>
          <w:rFonts w:hint="eastAsia" w:ascii="楷体_GB2312" w:hAnsi="楷体_GB2312" w:eastAsia="楷体_GB2312" w:cs="楷体_GB2312"/>
          <w:b w:val="0"/>
          <w:bCs w:val="0"/>
          <w:color w:val="auto"/>
          <w:spacing w:val="0"/>
          <w:w w:val="100"/>
          <w:position w:val="0"/>
          <w:sz w:val="32"/>
          <w:szCs w:val="32"/>
          <w:lang w:eastAsia="zh-CN"/>
        </w:rPr>
        <w:t>减污降碳协同增效</w:t>
      </w:r>
      <w:r>
        <w:rPr>
          <w:rFonts w:hint="eastAsia" w:ascii="仿宋_GB2312" w:hAnsi="仿宋_GB2312" w:eastAsia="仿宋_GB2312" w:cs="仿宋_GB2312"/>
          <w:color w:val="auto"/>
          <w:spacing w:val="0"/>
          <w:w w:val="100"/>
          <w:position w:val="0"/>
          <w:sz w:val="32"/>
          <w:szCs w:val="32"/>
        </w:rPr>
        <w:t>得到巩固提升，单位GDP能源消耗、碳排放强度控制在上级下达指标内且持续改善，能源资源利用效率大幅提高，绿色低碳发展势能明显增强。</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textAlignment w:val="baseline"/>
        <w:rPr>
          <w:rFonts w:hint="eastAsia" w:ascii="仿宋_GB2312" w:hAnsi="仿宋_GB2312" w:eastAsia="仿宋_GB2312" w:cs="仿宋_GB2312"/>
          <w:color w:val="auto"/>
          <w:spacing w:val="0"/>
          <w:w w:val="100"/>
          <w:position w:val="0"/>
          <w:sz w:val="32"/>
          <w:szCs w:val="32"/>
        </w:rPr>
      </w:pPr>
      <w:r>
        <w:rPr>
          <w:rFonts w:hint="eastAsia" w:ascii="楷体_GB2312" w:hAnsi="楷体_GB2312" w:eastAsia="楷体_GB2312" w:cs="楷体_GB2312"/>
          <w:b w:val="0"/>
          <w:bCs w:val="0"/>
          <w:color w:val="auto"/>
          <w:spacing w:val="0"/>
          <w:w w:val="100"/>
          <w:position w:val="0"/>
          <w:sz w:val="32"/>
          <w:szCs w:val="32"/>
        </w:rPr>
        <w:t>——环境污染防治水平明显提升。</w:t>
      </w:r>
      <w:r>
        <w:rPr>
          <w:rFonts w:hint="eastAsia" w:ascii="仿宋_GB2312" w:hAnsi="仿宋_GB2312" w:eastAsia="仿宋_GB2312" w:cs="仿宋_GB2312"/>
          <w:color w:val="auto"/>
          <w:spacing w:val="0"/>
          <w:w w:val="100"/>
          <w:position w:val="0"/>
          <w:sz w:val="32"/>
          <w:szCs w:val="32"/>
        </w:rPr>
        <w:t>深入打好污染防治攻坚战，环境污染防治体系趋于完善，化学需氧量、氨氮、二氧化硫、氮氧化物等主要污染物排放强度控制在上级下达指标内且持续改善，地下水水位与水质类别保持稳定，农业面源 得到有效管控，化肥利用率、农药利用率和畜禽粪污综合利用率</w:t>
      </w:r>
      <w:r>
        <w:rPr>
          <w:rFonts w:hint="eastAsia" w:ascii="仿宋_GB2312" w:hAnsi="仿宋_GB2312" w:eastAsia="仿宋_GB2312" w:cs="仿宋_GB2312"/>
          <w:color w:val="auto"/>
          <w:spacing w:val="0"/>
          <w:w w:val="100"/>
          <w:position w:val="0"/>
          <w:sz w:val="32"/>
          <w:szCs w:val="32"/>
          <w:lang w:val="en-US" w:eastAsia="zh-CN"/>
        </w:rPr>
        <w:t>进一步提高</w:t>
      </w:r>
      <w:r>
        <w:rPr>
          <w:rFonts w:hint="eastAsia" w:ascii="仿宋_GB2312" w:hAnsi="仿宋_GB2312" w:eastAsia="仿宋_GB2312" w:cs="仿宋_GB2312"/>
          <w:color w:val="auto"/>
          <w:spacing w:val="0"/>
          <w:w w:val="100"/>
          <w:position w:val="0"/>
          <w:sz w:val="32"/>
          <w:szCs w:val="32"/>
        </w:rPr>
        <w:t>。</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textAlignment w:val="baseline"/>
        <w:rPr>
          <w:rFonts w:hint="eastAsia" w:ascii="仿宋_GB2312" w:hAnsi="仿宋_GB2312" w:eastAsia="仿宋_GB2312" w:cs="仿宋_GB2312"/>
          <w:color w:val="auto"/>
          <w:spacing w:val="0"/>
          <w:w w:val="100"/>
          <w:position w:val="0"/>
          <w:sz w:val="32"/>
          <w:szCs w:val="32"/>
        </w:rPr>
      </w:pPr>
      <w:r>
        <w:rPr>
          <w:rFonts w:hint="eastAsia" w:ascii="楷体_GB2312" w:hAnsi="楷体_GB2312" w:eastAsia="楷体_GB2312" w:cs="楷体_GB2312"/>
          <w:b w:val="0"/>
          <w:bCs w:val="0"/>
          <w:color w:val="auto"/>
          <w:spacing w:val="0"/>
          <w:w w:val="100"/>
          <w:position w:val="0"/>
          <w:sz w:val="32"/>
          <w:szCs w:val="32"/>
        </w:rPr>
        <w:t>——</w:t>
      </w:r>
      <w:r>
        <w:rPr>
          <w:rFonts w:hint="eastAsia" w:ascii="楷体_GB2312" w:hAnsi="楷体_GB2312" w:eastAsia="楷体_GB2312" w:cs="楷体_GB2312"/>
          <w:b w:val="0"/>
          <w:bCs w:val="0"/>
          <w:color w:val="auto"/>
          <w:spacing w:val="0"/>
          <w:w w:val="100"/>
          <w:position w:val="0"/>
          <w:sz w:val="32"/>
          <w:szCs w:val="32"/>
          <w:lang w:eastAsia="zh-CN"/>
        </w:rPr>
        <w:t>城乡人居环境明显改善</w:t>
      </w:r>
      <w:r>
        <w:rPr>
          <w:rFonts w:hint="eastAsia" w:ascii="楷体_GB2312" w:hAnsi="楷体_GB2312" w:eastAsia="楷体_GB2312" w:cs="楷体_GB2312"/>
          <w:b w:val="0"/>
          <w:bCs w:val="0"/>
          <w:color w:val="auto"/>
          <w:spacing w:val="0"/>
          <w:w w:val="100"/>
          <w:position w:val="0"/>
          <w:sz w:val="32"/>
          <w:szCs w:val="32"/>
        </w:rPr>
        <w:t>。</w:t>
      </w:r>
      <w:r>
        <w:rPr>
          <w:rFonts w:hint="eastAsia" w:ascii="仿宋_GB2312" w:hAnsi="仿宋_GB2312" w:eastAsia="仿宋_GB2312" w:cs="仿宋_GB2312"/>
          <w:color w:val="auto"/>
          <w:spacing w:val="0"/>
          <w:w w:val="100"/>
          <w:position w:val="0"/>
          <w:sz w:val="32"/>
          <w:szCs w:val="32"/>
        </w:rPr>
        <w:t>全面推进乡村振兴，加快农业农村现代化建设，农村环境整治率保持稳定提升；力争城镇生活污水处理率提升到99.5%以上，城镇污水管网覆盖率保持100%，乡镇生活污水处理覆盖率</w:t>
      </w:r>
      <w:r>
        <w:rPr>
          <w:rFonts w:hint="eastAsia" w:ascii="仿宋_GB2312" w:hAnsi="仿宋_GB2312" w:eastAsia="仿宋_GB2312" w:cs="仿宋_GB2312"/>
          <w:color w:val="auto"/>
          <w:spacing w:val="0"/>
          <w:w w:val="100"/>
          <w:position w:val="0"/>
          <w:sz w:val="32"/>
          <w:szCs w:val="32"/>
          <w:lang w:val="en-US" w:eastAsia="zh-CN"/>
        </w:rPr>
        <w:t>不断</w:t>
      </w:r>
      <w:r>
        <w:rPr>
          <w:rFonts w:hint="eastAsia" w:ascii="仿宋_GB2312" w:hAnsi="仿宋_GB2312" w:eastAsia="仿宋_GB2312" w:cs="仿宋_GB2312"/>
          <w:color w:val="auto"/>
          <w:spacing w:val="0"/>
          <w:w w:val="100"/>
          <w:position w:val="0"/>
          <w:sz w:val="32"/>
          <w:szCs w:val="32"/>
        </w:rPr>
        <w:t>提升；农村生活污水收集治理能力明显增强，处理设施有效运行率明显提升，力争农村生活污水治理率达到</w:t>
      </w:r>
      <w:r>
        <w:rPr>
          <w:rFonts w:hint="eastAsia" w:ascii="仿宋_GB2312" w:hAnsi="仿宋_GB2312" w:eastAsia="仿宋_GB2312" w:cs="仿宋_GB2312"/>
          <w:color w:val="auto"/>
          <w:spacing w:val="0"/>
          <w:w w:val="100"/>
          <w:position w:val="0"/>
          <w:sz w:val="32"/>
          <w:szCs w:val="32"/>
          <w:lang w:val="en-US" w:eastAsia="zh-CN"/>
        </w:rPr>
        <w:t>64</w:t>
      </w:r>
      <w:r>
        <w:rPr>
          <w:rFonts w:hint="eastAsia" w:ascii="仿宋_GB2312" w:hAnsi="仿宋_GB2312" w:eastAsia="仿宋_GB2312" w:cs="仿宋_GB2312"/>
          <w:color w:val="auto"/>
          <w:spacing w:val="0"/>
          <w:w w:val="100"/>
          <w:position w:val="0"/>
          <w:sz w:val="32"/>
          <w:szCs w:val="32"/>
        </w:rPr>
        <w:t>%以上；城镇生活垃圾无害化处理率、乡镇生活垃圾无害化处理率、城镇集中式饮用水水源地水质达标率、乡镇集中式饮用水水源保护区划定比例均保持100%。</w:t>
      </w:r>
    </w:p>
    <w:p>
      <w:pPr>
        <w:keepNext w:val="0"/>
        <w:keepLines w:val="0"/>
        <w:pageBreakBefore w:val="0"/>
        <w:widowControl w:val="0"/>
        <w:kinsoku/>
        <w:wordWrap/>
        <w:overflowPunct/>
        <w:topLinePunct w:val="0"/>
        <w:autoSpaceDE w:val="0"/>
        <w:autoSpaceDN w:val="0"/>
        <w:bidi w:val="0"/>
        <w:adjustRightInd/>
        <w:snapToGrid/>
        <w:spacing w:line="500" w:lineRule="exact"/>
        <w:ind w:left="0" w:right="0" w:firstLine="640" w:firstLineChars="200"/>
        <w:jc w:val="both"/>
        <w:textAlignment w:val="baseline"/>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val="0"/>
          <w:color w:val="auto"/>
          <w:spacing w:val="0"/>
          <w:w w:val="100"/>
          <w:position w:val="0"/>
          <w:sz w:val="32"/>
          <w:szCs w:val="32"/>
        </w:rPr>
        <w:t>——生态系统保持稳定且功能增强。</w:t>
      </w:r>
      <w:r>
        <w:rPr>
          <w:rFonts w:hint="eastAsia" w:ascii="仿宋_GB2312" w:hAnsi="仿宋_GB2312" w:eastAsia="仿宋_GB2312" w:cs="仿宋_GB2312"/>
          <w:color w:val="auto"/>
          <w:spacing w:val="0"/>
          <w:w w:val="100"/>
          <w:position w:val="0"/>
          <w:sz w:val="32"/>
          <w:szCs w:val="32"/>
        </w:rPr>
        <w:t>生态安全格局持续巩固，生态组分与生态结构不断优化，生态保护红线面积不减少</w:t>
      </w:r>
      <w:r>
        <w:rPr>
          <w:rFonts w:hint="eastAsia" w:ascii="仿宋_GB2312" w:hAnsi="仿宋_GB2312" w:eastAsia="仿宋_GB2312" w:cs="仿宋_GB2312"/>
          <w:color w:val="auto"/>
          <w:spacing w:val="0"/>
          <w:w w:val="100"/>
          <w:position w:val="0"/>
          <w:sz w:val="32"/>
          <w:szCs w:val="32"/>
          <w:lang w:eastAsia="zh-CN"/>
        </w:rPr>
        <w:t>、</w:t>
      </w:r>
      <w:r>
        <w:rPr>
          <w:rFonts w:hint="eastAsia" w:ascii="仿宋_GB2312" w:hAnsi="仿宋_GB2312" w:eastAsia="仿宋_GB2312" w:cs="仿宋_GB2312"/>
          <w:color w:val="auto"/>
          <w:spacing w:val="0"/>
          <w:w w:val="100"/>
          <w:position w:val="0"/>
          <w:sz w:val="32"/>
          <w:szCs w:val="32"/>
        </w:rPr>
        <w:t>性质不改变、功能不降低，生境质量指数、自然灾害受灾指数保持稳定；生态活力得到巩固提升，森林覆盖率和水网密度</w:t>
      </w:r>
      <w:r>
        <w:rPr>
          <w:rFonts w:hint="eastAsia" w:ascii="仿宋_GB2312" w:hAnsi="仿宋_GB2312" w:eastAsia="仿宋_GB2312" w:cs="仿宋_GB2312"/>
          <w:color w:val="auto"/>
          <w:spacing w:val="0"/>
          <w:w w:val="100"/>
          <w:position w:val="0"/>
          <w:sz w:val="32"/>
          <w:szCs w:val="32"/>
          <w:lang w:val="en-US" w:eastAsia="zh-CN"/>
        </w:rPr>
        <w:t>稳定提升</w:t>
      </w:r>
      <w:r>
        <w:rPr>
          <w:rFonts w:hint="eastAsia" w:ascii="仿宋_GB2312" w:hAnsi="仿宋_GB2312" w:eastAsia="仿宋_GB2312" w:cs="仿宋_GB2312"/>
          <w:color w:val="auto"/>
          <w:spacing w:val="0"/>
          <w:w w:val="100"/>
          <w:position w:val="0"/>
          <w:sz w:val="32"/>
          <w:szCs w:val="32"/>
        </w:rPr>
        <w:t>。</w:t>
      </w:r>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2" w:line="500" w:lineRule="exact"/>
        <w:ind w:left="20" w:leftChars="0" w:firstLine="640" w:firstLineChars="200"/>
        <w:jc w:val="center"/>
        <w:textAlignment w:val="baseline"/>
        <w:outlineLvl w:val="0"/>
        <w:rPr>
          <w:rFonts w:hint="eastAsia" w:ascii="黑体" w:hAnsi="黑体" w:eastAsia="黑体" w:cs="黑体"/>
          <w:color w:val="auto"/>
          <w:sz w:val="32"/>
          <w:szCs w:val="32"/>
        </w:rPr>
      </w:pPr>
      <w:bookmarkStart w:id="16" w:name="_Toc19410"/>
      <w:r>
        <w:rPr>
          <w:rFonts w:hint="eastAsia" w:ascii="黑体" w:hAnsi="黑体" w:eastAsia="黑体" w:cs="黑体"/>
          <w:color w:val="auto"/>
          <w:sz w:val="32"/>
          <w:szCs w:val="32"/>
        </w:rPr>
        <w:fldChar w:fldCharType="begin"/>
      </w:r>
      <w:r>
        <w:rPr>
          <w:rFonts w:hint="eastAsia" w:ascii="黑体" w:hAnsi="黑体" w:eastAsia="黑体" w:cs="黑体"/>
          <w:color w:val="auto"/>
          <w:sz w:val="32"/>
          <w:szCs w:val="32"/>
        </w:rPr>
        <w:instrText xml:space="preserve"> HYPERLINK \l "bookmark26" </w:instrText>
      </w:r>
      <w:r>
        <w:rPr>
          <w:rFonts w:hint="eastAsia" w:ascii="黑体" w:hAnsi="黑体" w:eastAsia="黑体" w:cs="黑体"/>
          <w:color w:val="auto"/>
          <w:sz w:val="32"/>
          <w:szCs w:val="32"/>
        </w:rPr>
        <w:fldChar w:fldCharType="separate"/>
      </w:r>
      <w:r>
        <w:rPr>
          <w:rFonts w:hint="eastAsia" w:ascii="黑体" w:hAnsi="黑体" w:eastAsia="黑体" w:cs="黑体"/>
          <w:color w:val="auto"/>
          <w:sz w:val="32"/>
          <w:szCs w:val="32"/>
          <w:lang w:eastAsia="zh-CN"/>
        </w:rPr>
        <w:t>二、</w:t>
      </w:r>
      <w:r>
        <w:rPr>
          <w:rFonts w:hint="eastAsia" w:ascii="黑体" w:hAnsi="黑体" w:eastAsia="黑体" w:cs="黑体"/>
          <w:color w:val="auto"/>
          <w:spacing w:val="7"/>
          <w:sz w:val="32"/>
          <w:szCs w:val="32"/>
          <w:lang w:val="en-US" w:eastAsia="zh-CN"/>
        </w:rPr>
        <w:t>生态环境质量</w:t>
      </w:r>
      <w:r>
        <w:rPr>
          <w:rFonts w:hint="eastAsia" w:ascii="黑体" w:hAnsi="黑体" w:eastAsia="黑体" w:cs="黑体"/>
          <w:color w:val="auto"/>
          <w:spacing w:val="7"/>
          <w:sz w:val="32"/>
          <w:szCs w:val="32"/>
        </w:rPr>
        <w:t>现状分析</w:t>
      </w:r>
      <w:r>
        <w:rPr>
          <w:rFonts w:hint="eastAsia" w:ascii="黑体" w:hAnsi="黑体" w:eastAsia="黑体" w:cs="黑体"/>
          <w:color w:val="auto"/>
          <w:spacing w:val="-51"/>
          <w:sz w:val="32"/>
          <w:szCs w:val="32"/>
        </w:rPr>
        <w:t xml:space="preserve"> </w:t>
      </w:r>
      <w:r>
        <w:rPr>
          <w:rFonts w:hint="eastAsia" w:ascii="黑体" w:hAnsi="黑体" w:eastAsia="黑体" w:cs="黑体"/>
          <w:color w:val="auto"/>
          <w:spacing w:val="3"/>
          <w:sz w:val="32"/>
          <w:szCs w:val="32"/>
        </w:rPr>
        <w:fldChar w:fldCharType="end"/>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eastAsia="zh-CN"/>
        </w:rPr>
      </w:pPr>
      <w:bookmarkStart w:id="17" w:name="bookmark27"/>
      <w:bookmarkEnd w:id="17"/>
      <w:bookmarkStart w:id="18" w:name="_Toc22107"/>
      <w:bookmarkStart w:id="19" w:name="_Toc12507"/>
      <w:r>
        <w:rPr>
          <w:rFonts w:hint="eastAsia" w:ascii="仿宋_GB2312" w:hAnsi="仿宋_GB2312" w:eastAsia="仿宋_GB2312" w:cs="仿宋_GB2312"/>
          <w:b/>
          <w:bCs/>
          <w:i w:val="0"/>
          <w:iCs w:val="0"/>
          <w:caps w:val="0"/>
          <w:color w:val="auto"/>
          <w:spacing w:val="0"/>
          <w:sz w:val="32"/>
          <w:szCs w:val="32"/>
          <w:lang w:val="en-US" w:eastAsia="zh-CN"/>
        </w:rPr>
        <w:t>2.</w:t>
      </w:r>
      <w:r>
        <w:rPr>
          <w:rFonts w:hint="eastAsia" w:ascii="仿宋_GB2312" w:hAnsi="仿宋_GB2312" w:eastAsia="仿宋_GB2312" w:cs="仿宋_GB2312"/>
          <w:b/>
          <w:bCs/>
          <w:i w:val="0"/>
          <w:iCs w:val="0"/>
          <w:caps w:val="0"/>
          <w:color w:val="auto"/>
          <w:spacing w:val="0"/>
          <w:sz w:val="32"/>
          <w:szCs w:val="32"/>
        </w:rPr>
        <w:t xml:space="preserve">1 </w:t>
      </w:r>
      <w:r>
        <w:rPr>
          <w:rFonts w:hint="eastAsia" w:ascii="仿宋_GB2312" w:hAnsi="仿宋_GB2312" w:eastAsia="仿宋_GB2312" w:cs="仿宋_GB2312"/>
          <w:b/>
          <w:bCs/>
          <w:i w:val="0"/>
          <w:iCs w:val="0"/>
          <w:caps w:val="0"/>
          <w:color w:val="auto"/>
          <w:spacing w:val="0"/>
          <w:sz w:val="32"/>
          <w:szCs w:val="32"/>
          <w:lang w:eastAsia="zh-CN"/>
        </w:rPr>
        <w:t>环境空气</w:t>
      </w:r>
      <w:bookmarkEnd w:id="18"/>
      <w:r>
        <w:rPr>
          <w:rFonts w:hint="eastAsia" w:ascii="仿宋_GB2312" w:hAnsi="仿宋_GB2312" w:eastAsia="仿宋_GB2312" w:cs="仿宋_GB2312"/>
          <w:b/>
          <w:bCs/>
          <w:i w:val="0"/>
          <w:iCs w:val="0"/>
          <w:caps w:val="0"/>
          <w:color w:val="auto"/>
          <w:spacing w:val="0"/>
          <w:sz w:val="32"/>
          <w:szCs w:val="32"/>
          <w:lang w:eastAsia="zh-CN"/>
        </w:rPr>
        <w:t>质量</w:t>
      </w:r>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2021</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2025年，高台县环境空气质量总体稳定向好，优良天数比例逐年提升，从2021年的79.8%（264天）提高至2025年的87.6%（310天），五年平均优良天数比例为81.8%（287天），无重度及以上污染天数</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六项主要污染物年均浓度均达到《环境空气质量标准》（</w:t>
      </w:r>
      <w:r>
        <w:rPr>
          <w:rFonts w:hint="eastAsia" w:ascii="仿宋_GB2312" w:hAnsi="仿宋_GB2312" w:eastAsia="仿宋_GB2312" w:cs="仿宋_GB2312"/>
          <w:i w:val="0"/>
          <w:iCs w:val="0"/>
          <w:caps w:val="0"/>
          <w:color w:val="auto"/>
          <w:spacing w:val="0"/>
          <w:sz w:val="32"/>
          <w:szCs w:val="32"/>
          <w:lang w:eastAsia="zh-CN"/>
        </w:rPr>
        <w:t>GB3095-2026</w:t>
      </w:r>
      <w:r>
        <w:rPr>
          <w:rFonts w:hint="eastAsia" w:ascii="仿宋_GB2312" w:hAnsi="仿宋_GB2312" w:eastAsia="仿宋_GB2312" w:cs="仿宋_GB2312"/>
          <w:i w:val="0"/>
          <w:iCs w:val="0"/>
          <w:caps w:val="0"/>
          <w:color w:val="auto"/>
          <w:spacing w:val="0"/>
          <w:sz w:val="32"/>
          <w:szCs w:val="32"/>
        </w:rPr>
        <w:t>）二级标准。</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119"/>
        <w:jc w:val="center"/>
        <w:textAlignment w:val="baseline"/>
        <w:rPr>
          <w:rFonts w:hint="eastAsia" w:ascii="黑体" w:hAnsi="黑体" w:eastAsia="黑体" w:cs="黑体"/>
          <w:color w:val="auto"/>
          <w:spacing w:val="-1"/>
          <w:sz w:val="24"/>
          <w:szCs w:val="24"/>
        </w:rPr>
      </w:pPr>
      <w:r>
        <w:rPr>
          <w:rFonts w:hint="eastAsia" w:ascii="黑体" w:hAnsi="黑体" w:eastAsia="黑体" w:cs="黑体"/>
          <w:color w:val="auto"/>
          <w:spacing w:val="-1"/>
          <w:sz w:val="24"/>
          <w:szCs w:val="24"/>
        </w:rPr>
        <w:t>表</w:t>
      </w:r>
      <w:r>
        <w:rPr>
          <w:rFonts w:hint="eastAsia" w:ascii="黑体" w:hAnsi="黑体" w:eastAsia="黑体" w:cs="黑体"/>
          <w:color w:val="auto"/>
          <w:spacing w:val="-1"/>
          <w:sz w:val="24"/>
          <w:szCs w:val="24"/>
          <w:lang w:val="en-US" w:eastAsia="zh-CN"/>
        </w:rPr>
        <w:t>1</w:t>
      </w:r>
      <w:r>
        <w:rPr>
          <w:rFonts w:hint="eastAsia" w:ascii="黑体" w:hAnsi="黑体" w:eastAsia="黑体" w:cs="黑体"/>
          <w:color w:val="auto"/>
          <w:spacing w:val="-1"/>
          <w:sz w:val="24"/>
          <w:szCs w:val="24"/>
        </w:rPr>
        <w:t>-</w:t>
      </w:r>
      <w:r>
        <w:rPr>
          <w:rFonts w:hint="eastAsia" w:ascii="黑体" w:hAnsi="黑体" w:eastAsia="黑体" w:cs="黑体"/>
          <w:color w:val="auto"/>
          <w:spacing w:val="-1"/>
          <w:sz w:val="24"/>
          <w:szCs w:val="24"/>
          <w:lang w:val="en-US" w:eastAsia="zh-CN"/>
        </w:rPr>
        <w:t>1</w:t>
      </w:r>
      <w:r>
        <w:rPr>
          <w:rFonts w:hint="eastAsia" w:ascii="黑体" w:hAnsi="黑体" w:eastAsia="黑体" w:cs="黑体"/>
          <w:color w:val="auto"/>
          <w:spacing w:val="-1"/>
          <w:sz w:val="24"/>
          <w:szCs w:val="24"/>
        </w:rPr>
        <w:t>《环境空气质量标准》（</w:t>
      </w:r>
      <w:r>
        <w:rPr>
          <w:rFonts w:hint="eastAsia" w:ascii="黑体" w:hAnsi="黑体" w:eastAsia="黑体" w:cs="黑体"/>
          <w:color w:val="auto"/>
          <w:spacing w:val="-1"/>
          <w:sz w:val="24"/>
          <w:szCs w:val="24"/>
          <w:lang w:eastAsia="zh-CN"/>
        </w:rPr>
        <w:t>GB3095-2026</w:t>
      </w:r>
      <w:r>
        <w:rPr>
          <w:rFonts w:hint="eastAsia" w:ascii="黑体" w:hAnsi="黑体" w:eastAsia="黑体" w:cs="黑体"/>
          <w:color w:val="auto"/>
          <w:spacing w:val="-1"/>
          <w:sz w:val="24"/>
          <w:szCs w:val="24"/>
        </w:rPr>
        <w:t>）各项污染物的浓度限值</w:t>
      </w:r>
    </w:p>
    <w:tbl>
      <w:tblPr>
        <w:tblStyle w:val="16"/>
        <w:tblW w:w="499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77"/>
        <w:gridCol w:w="1876"/>
        <w:gridCol w:w="1318"/>
        <w:gridCol w:w="1282"/>
        <w:gridCol w:w="12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7"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636"/>
              <w:textAlignment w:val="auto"/>
              <w:rPr>
                <w:color w:val="auto"/>
                <w:sz w:val="20"/>
                <w:szCs w:val="20"/>
              </w:rPr>
            </w:pPr>
            <w:r>
              <w:rPr>
                <w:color w:val="auto"/>
                <w:spacing w:val="6"/>
                <w:sz w:val="20"/>
                <w:szCs w:val="20"/>
              </w:rPr>
              <w:t>污染物项目</w:t>
            </w:r>
          </w:p>
        </w:tc>
        <w:tc>
          <w:tcPr>
            <w:tcW w:w="1130" w:type="pct"/>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607"/>
              <w:textAlignment w:val="auto"/>
              <w:rPr>
                <w:color w:val="auto"/>
                <w:sz w:val="20"/>
                <w:szCs w:val="20"/>
              </w:rPr>
            </w:pPr>
            <w:r>
              <w:rPr>
                <w:color w:val="auto"/>
                <w:spacing w:val="5"/>
                <w:sz w:val="20"/>
                <w:szCs w:val="20"/>
              </w:rPr>
              <w:t>平均时间</w:t>
            </w:r>
          </w:p>
        </w:tc>
        <w:tc>
          <w:tcPr>
            <w:tcW w:w="1566" w:type="pct"/>
            <w:gridSpan w:val="2"/>
            <w:vAlign w:val="top"/>
          </w:tcPr>
          <w:p>
            <w:pPr>
              <w:pStyle w:val="15"/>
              <w:keepNext w:val="0"/>
              <w:keepLines w:val="0"/>
              <w:pageBreakBefore w:val="0"/>
              <w:widowControl w:val="0"/>
              <w:kinsoku/>
              <w:wordWrap/>
              <w:overflowPunct/>
              <w:topLinePunct w:val="0"/>
              <w:autoSpaceDE/>
              <w:autoSpaceDN/>
              <w:bidi w:val="0"/>
              <w:adjustRightInd/>
              <w:snapToGrid/>
              <w:spacing w:before="109" w:line="240" w:lineRule="exact"/>
              <w:ind w:left="1014"/>
              <w:textAlignment w:val="auto"/>
              <w:rPr>
                <w:color w:val="auto"/>
                <w:sz w:val="20"/>
                <w:szCs w:val="20"/>
              </w:rPr>
            </w:pPr>
            <w:r>
              <w:rPr>
                <w:color w:val="auto"/>
                <w:spacing w:val="4"/>
                <w:sz w:val="20"/>
                <w:szCs w:val="20"/>
              </w:rPr>
              <w:t>浓度限值</w:t>
            </w:r>
          </w:p>
        </w:tc>
        <w:tc>
          <w:tcPr>
            <w:tcW w:w="750" w:type="pct"/>
            <w:vMerge w:val="restart"/>
            <w:tcBorders>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265"/>
              <w:textAlignment w:val="auto"/>
              <w:rPr>
                <w:color w:val="auto"/>
                <w:sz w:val="20"/>
                <w:szCs w:val="20"/>
              </w:rPr>
            </w:pPr>
            <w:r>
              <w:rPr>
                <w:color w:val="auto"/>
                <w:spacing w:val="4"/>
                <w:sz w:val="20"/>
                <w:szCs w:val="20"/>
              </w:rPr>
              <w:t>浓度单位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5"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794" w:type="pct"/>
            <w:vAlign w:val="top"/>
          </w:tcPr>
          <w:p>
            <w:pPr>
              <w:pStyle w:val="15"/>
              <w:keepNext w:val="0"/>
              <w:keepLines w:val="0"/>
              <w:pageBreakBefore w:val="0"/>
              <w:widowControl w:val="0"/>
              <w:kinsoku/>
              <w:wordWrap/>
              <w:overflowPunct/>
              <w:topLinePunct w:val="0"/>
              <w:autoSpaceDE/>
              <w:autoSpaceDN/>
              <w:bidi w:val="0"/>
              <w:adjustRightInd/>
              <w:snapToGrid/>
              <w:spacing w:before="107" w:line="240" w:lineRule="exact"/>
              <w:ind w:left="319"/>
              <w:textAlignment w:val="auto"/>
              <w:rPr>
                <w:color w:val="auto"/>
                <w:sz w:val="20"/>
                <w:szCs w:val="20"/>
              </w:rPr>
            </w:pPr>
            <w:r>
              <w:rPr>
                <w:color w:val="auto"/>
                <w:spacing w:val="5"/>
                <w:sz w:val="20"/>
                <w:szCs w:val="20"/>
              </w:rPr>
              <w:t>一级标准</w:t>
            </w:r>
          </w:p>
        </w:tc>
        <w:tc>
          <w:tcPr>
            <w:tcW w:w="771" w:type="pct"/>
            <w:vAlign w:val="top"/>
          </w:tcPr>
          <w:p>
            <w:pPr>
              <w:pStyle w:val="15"/>
              <w:keepNext w:val="0"/>
              <w:keepLines w:val="0"/>
              <w:pageBreakBefore w:val="0"/>
              <w:widowControl w:val="0"/>
              <w:kinsoku/>
              <w:wordWrap/>
              <w:overflowPunct/>
              <w:topLinePunct w:val="0"/>
              <w:autoSpaceDE/>
              <w:autoSpaceDN/>
              <w:bidi w:val="0"/>
              <w:adjustRightInd/>
              <w:snapToGrid/>
              <w:spacing w:before="107" w:line="240" w:lineRule="exact"/>
              <w:ind w:left="291"/>
              <w:textAlignment w:val="auto"/>
              <w:rPr>
                <w:color w:val="auto"/>
                <w:sz w:val="20"/>
                <w:szCs w:val="20"/>
              </w:rPr>
            </w:pPr>
            <w:r>
              <w:rPr>
                <w:color w:val="auto"/>
                <w:spacing w:val="4"/>
                <w:sz w:val="20"/>
                <w:szCs w:val="20"/>
              </w:rPr>
              <w:t>二级标准</w:t>
            </w:r>
          </w:p>
        </w:tc>
        <w:tc>
          <w:tcPr>
            <w:tcW w:w="750" w:type="pct"/>
            <w:vMerge w:val="continue"/>
            <w:tcBorders>
              <w:top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8"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367"/>
              <w:textAlignment w:val="auto"/>
              <w:rPr>
                <w:color w:val="auto"/>
                <w:sz w:val="20"/>
                <w:szCs w:val="20"/>
              </w:rPr>
            </w:pPr>
            <w:r>
              <w:rPr>
                <w:color w:val="auto"/>
                <w:spacing w:val="6"/>
                <w:sz w:val="20"/>
                <w:szCs w:val="20"/>
              </w:rPr>
              <w:t>二氧化硫（</w:t>
            </w:r>
            <w:r>
              <w:rPr>
                <w:rFonts w:ascii="Times New Roman" w:hAnsi="Times New Roman" w:eastAsia="Times New Roman" w:cs="Times New Roman"/>
                <w:color w:val="auto"/>
                <w:sz w:val="20"/>
                <w:szCs w:val="20"/>
              </w:rPr>
              <w:t>SO</w:t>
            </w:r>
            <w:r>
              <w:rPr>
                <w:rFonts w:ascii="Times New Roman" w:hAnsi="Times New Roman" w:eastAsia="Times New Roman" w:cs="Times New Roman"/>
                <w:color w:val="auto"/>
                <w:spacing w:val="6"/>
                <w:sz w:val="13"/>
                <w:szCs w:val="13"/>
              </w:rPr>
              <w:t>2</w:t>
            </w:r>
            <w:r>
              <w:rPr>
                <w:color w:val="auto"/>
                <w:spacing w:val="6"/>
                <w:sz w:val="20"/>
                <w:szCs w:val="20"/>
              </w:rPr>
              <w:t>）</w:t>
            </w: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4" w:line="240" w:lineRule="exact"/>
              <w:ind w:left="716"/>
              <w:textAlignment w:val="auto"/>
              <w:rPr>
                <w:color w:val="auto"/>
                <w:sz w:val="20"/>
                <w:szCs w:val="20"/>
              </w:rPr>
            </w:pPr>
            <w:r>
              <w:rPr>
                <w:color w:val="auto"/>
                <w:spacing w:val="3"/>
                <w:sz w:val="20"/>
                <w:szCs w:val="20"/>
              </w:rPr>
              <w:t>年平均</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621"/>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2"/>
                <w:sz w:val="20"/>
                <w:szCs w:val="20"/>
              </w:rPr>
              <w:t>20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594"/>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60</w:t>
            </w:r>
          </w:p>
        </w:tc>
        <w:tc>
          <w:tcPr>
            <w:tcW w:w="750" w:type="pct"/>
            <w:vMerge w:val="restart"/>
            <w:tcBorders>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before="57" w:line="240" w:lineRule="exact"/>
              <w:ind w:left="424"/>
              <w:textAlignment w:val="auto"/>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sz w:val="20"/>
                <w:szCs w:val="20"/>
              </w:rPr>
              <w:t>μg/m</w:t>
            </w:r>
            <w:r>
              <w:rPr>
                <w:rFonts w:ascii="Times New Roman" w:hAnsi="Times New Roman" w:eastAsia="Times New Roman" w:cs="Times New Roman"/>
                <w:color w:val="auto"/>
                <w:spacing w:val="2"/>
                <w:position w:val="5"/>
                <w:sz w:val="13"/>
                <w:szCs w:val="13"/>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8" w:hRule="atLeast"/>
        </w:trPr>
        <w:tc>
          <w:tcPr>
            <w:tcW w:w="1552" w:type="pct"/>
            <w:vMerge w:val="continue"/>
            <w:tcBorders>
              <w:top w:val="nil"/>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3" w:line="240" w:lineRule="exact"/>
              <w:ind w:left="465"/>
              <w:textAlignment w:val="auto"/>
              <w:rPr>
                <w:color w:val="auto"/>
                <w:sz w:val="20"/>
                <w:szCs w:val="20"/>
              </w:rPr>
            </w:pPr>
            <w:r>
              <w:rPr>
                <w:rFonts w:ascii="Times New Roman" w:hAnsi="Times New Roman" w:eastAsia="Times New Roman" w:cs="Times New Roman"/>
                <w:color w:val="auto"/>
                <w:spacing w:val="4"/>
                <w:sz w:val="20"/>
                <w:szCs w:val="20"/>
              </w:rPr>
              <w:t>24</w:t>
            </w:r>
            <w:r>
              <w:rPr>
                <w:rFonts w:ascii="Times New Roman" w:hAnsi="Times New Roman" w:eastAsia="Times New Roman" w:cs="Times New Roman"/>
                <w:color w:val="auto"/>
                <w:spacing w:val="22"/>
                <w:sz w:val="20"/>
                <w:szCs w:val="20"/>
              </w:rPr>
              <w:t xml:space="preserve"> </w:t>
            </w:r>
            <w:r>
              <w:rPr>
                <w:color w:val="auto"/>
                <w:spacing w:val="4"/>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62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50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55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150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8"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4" w:line="240" w:lineRule="exact"/>
              <w:ind w:left="538"/>
              <w:textAlignment w:val="auto"/>
              <w:rPr>
                <w:color w:val="auto"/>
                <w:sz w:val="20"/>
                <w:szCs w:val="20"/>
              </w:rPr>
            </w:pPr>
            <w:r>
              <w:rPr>
                <w:rFonts w:ascii="Times New Roman" w:hAnsi="Times New Roman" w:eastAsia="Times New Roman" w:cs="Times New Roman"/>
                <w:color w:val="auto"/>
                <w:sz w:val="20"/>
                <w:szCs w:val="20"/>
              </w:rPr>
              <w:t>1</w:t>
            </w:r>
            <w:r>
              <w:rPr>
                <w:rFonts w:ascii="Times New Roman" w:hAnsi="Times New Roman" w:eastAsia="Times New Roman" w:cs="Times New Roman"/>
                <w:color w:val="auto"/>
                <w:spacing w:val="20"/>
                <w:w w:val="101"/>
                <w:sz w:val="20"/>
                <w:szCs w:val="20"/>
              </w:rPr>
              <w:t xml:space="preserve"> </w:t>
            </w:r>
            <w:r>
              <w:rPr>
                <w:color w:val="auto"/>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588"/>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150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542"/>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1"/>
                <w:sz w:val="20"/>
                <w:szCs w:val="20"/>
              </w:rPr>
              <w:t>500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8"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348"/>
              <w:textAlignment w:val="auto"/>
              <w:rPr>
                <w:color w:val="auto"/>
                <w:sz w:val="20"/>
                <w:szCs w:val="20"/>
              </w:rPr>
            </w:pPr>
            <w:r>
              <w:rPr>
                <w:color w:val="auto"/>
                <w:spacing w:val="6"/>
                <w:sz w:val="20"/>
                <w:szCs w:val="20"/>
              </w:rPr>
              <w:t>二氧化氮（</w:t>
            </w:r>
            <w:r>
              <w:rPr>
                <w:rFonts w:ascii="Times New Roman" w:hAnsi="Times New Roman" w:eastAsia="Times New Roman" w:cs="Times New Roman"/>
                <w:color w:val="auto"/>
                <w:sz w:val="20"/>
                <w:szCs w:val="20"/>
              </w:rPr>
              <w:t>NO</w:t>
            </w:r>
            <w:r>
              <w:rPr>
                <w:rFonts w:ascii="Times New Roman" w:hAnsi="Times New Roman" w:eastAsia="Times New Roman" w:cs="Times New Roman"/>
                <w:color w:val="auto"/>
                <w:spacing w:val="6"/>
                <w:sz w:val="13"/>
                <w:szCs w:val="13"/>
              </w:rPr>
              <w:t>2</w:t>
            </w:r>
            <w:r>
              <w:rPr>
                <w:color w:val="auto"/>
                <w:spacing w:val="6"/>
                <w:sz w:val="20"/>
                <w:szCs w:val="20"/>
              </w:rPr>
              <w:t>）</w:t>
            </w: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4" w:line="240" w:lineRule="exact"/>
              <w:ind w:left="716"/>
              <w:textAlignment w:val="auto"/>
              <w:rPr>
                <w:color w:val="auto"/>
                <w:sz w:val="20"/>
                <w:szCs w:val="20"/>
              </w:rPr>
            </w:pPr>
            <w:r>
              <w:rPr>
                <w:color w:val="auto"/>
                <w:spacing w:val="3"/>
                <w:sz w:val="20"/>
                <w:szCs w:val="20"/>
              </w:rPr>
              <w:t>年平均</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620"/>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40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588"/>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40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8" w:hRule="atLeast"/>
        </w:trPr>
        <w:tc>
          <w:tcPr>
            <w:tcW w:w="1552" w:type="pct"/>
            <w:vMerge w:val="continue"/>
            <w:tcBorders>
              <w:top w:val="nil"/>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4" w:line="240" w:lineRule="exact"/>
              <w:ind w:left="465"/>
              <w:textAlignment w:val="auto"/>
              <w:rPr>
                <w:color w:val="auto"/>
                <w:sz w:val="20"/>
                <w:szCs w:val="20"/>
              </w:rPr>
            </w:pPr>
            <w:r>
              <w:rPr>
                <w:rFonts w:ascii="Times New Roman" w:hAnsi="Times New Roman" w:eastAsia="Times New Roman" w:cs="Times New Roman"/>
                <w:color w:val="auto"/>
                <w:spacing w:val="4"/>
                <w:sz w:val="20"/>
                <w:szCs w:val="20"/>
              </w:rPr>
              <w:t>24</w:t>
            </w:r>
            <w:r>
              <w:rPr>
                <w:rFonts w:ascii="Times New Roman" w:hAnsi="Times New Roman" w:eastAsia="Times New Roman" w:cs="Times New Roman"/>
                <w:color w:val="auto"/>
                <w:spacing w:val="22"/>
                <w:sz w:val="20"/>
                <w:szCs w:val="20"/>
              </w:rPr>
              <w:t xml:space="preserve"> </w:t>
            </w:r>
            <w:r>
              <w:rPr>
                <w:color w:val="auto"/>
                <w:spacing w:val="4"/>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629"/>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2"/>
                <w:sz w:val="20"/>
                <w:szCs w:val="20"/>
              </w:rPr>
              <w:t>80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0" w:line="240" w:lineRule="exact"/>
              <w:ind w:left="598"/>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2"/>
                <w:sz w:val="20"/>
                <w:szCs w:val="20"/>
              </w:rPr>
              <w:t>80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9"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4" w:line="240" w:lineRule="exact"/>
              <w:ind w:left="538"/>
              <w:textAlignment w:val="auto"/>
              <w:rPr>
                <w:color w:val="auto"/>
                <w:sz w:val="20"/>
                <w:szCs w:val="20"/>
              </w:rPr>
            </w:pPr>
            <w:r>
              <w:rPr>
                <w:rFonts w:ascii="Times New Roman" w:hAnsi="Times New Roman" w:eastAsia="Times New Roman" w:cs="Times New Roman"/>
                <w:color w:val="auto"/>
                <w:sz w:val="20"/>
                <w:szCs w:val="20"/>
              </w:rPr>
              <w:t>1</w:t>
            </w:r>
            <w:r>
              <w:rPr>
                <w:rFonts w:ascii="Times New Roman" w:hAnsi="Times New Roman" w:eastAsia="Times New Roman" w:cs="Times New Roman"/>
                <w:color w:val="auto"/>
                <w:spacing w:val="20"/>
                <w:w w:val="101"/>
                <w:sz w:val="20"/>
                <w:szCs w:val="20"/>
              </w:rPr>
              <w:t xml:space="preserve"> </w:t>
            </w:r>
            <w:r>
              <w:rPr>
                <w:color w:val="auto"/>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1" w:line="240" w:lineRule="exact"/>
              <w:ind w:left="568"/>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200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1" w:line="240" w:lineRule="exact"/>
              <w:ind w:left="53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200</w:t>
            </w:r>
          </w:p>
        </w:tc>
        <w:tc>
          <w:tcPr>
            <w:tcW w:w="750" w:type="pct"/>
            <w:vMerge w:val="continue"/>
            <w:tcBorders>
              <w:top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385"/>
              <w:textAlignment w:val="auto"/>
              <w:rPr>
                <w:color w:val="auto"/>
                <w:sz w:val="20"/>
                <w:szCs w:val="20"/>
              </w:rPr>
            </w:pPr>
            <w:r>
              <w:rPr>
                <w:color w:val="auto"/>
                <w:spacing w:val="7"/>
                <w:sz w:val="20"/>
                <w:szCs w:val="20"/>
              </w:rPr>
              <w:t>一氧化碳（</w:t>
            </w:r>
            <w:r>
              <w:rPr>
                <w:rFonts w:ascii="Times New Roman" w:hAnsi="Times New Roman" w:eastAsia="Times New Roman" w:cs="Times New Roman"/>
                <w:color w:val="auto"/>
                <w:sz w:val="20"/>
                <w:szCs w:val="20"/>
              </w:rPr>
              <w:t>CO</w:t>
            </w:r>
            <w:r>
              <w:rPr>
                <w:color w:val="auto"/>
                <w:spacing w:val="7"/>
                <w:sz w:val="20"/>
                <w:szCs w:val="20"/>
              </w:rPr>
              <w:t>）</w:t>
            </w: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7" w:line="240" w:lineRule="exact"/>
              <w:ind w:left="716"/>
              <w:textAlignment w:val="auto"/>
              <w:rPr>
                <w:color w:val="auto"/>
                <w:sz w:val="20"/>
                <w:szCs w:val="20"/>
              </w:rPr>
            </w:pPr>
            <w:r>
              <w:rPr>
                <w:color w:val="auto"/>
                <w:spacing w:val="3"/>
                <w:sz w:val="20"/>
                <w:szCs w:val="20"/>
              </w:rPr>
              <w:t>年平均</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673"/>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1"/>
                <w:sz w:val="20"/>
                <w:szCs w:val="20"/>
              </w:rPr>
              <w:t>4</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641"/>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1"/>
                <w:sz w:val="20"/>
                <w:szCs w:val="20"/>
              </w:rPr>
              <w:t>4</w:t>
            </w:r>
          </w:p>
        </w:tc>
        <w:tc>
          <w:tcPr>
            <w:tcW w:w="750" w:type="pct"/>
            <w:vMerge w:val="restart"/>
            <w:tcBorders>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before="58" w:line="240" w:lineRule="exact"/>
              <w:ind w:left="388"/>
              <w:textAlignment w:val="auto"/>
              <w:rPr>
                <w:rFonts w:ascii="Times New Roman" w:hAnsi="Times New Roman" w:eastAsia="Times New Roman" w:cs="Times New Roman"/>
                <w:color w:val="auto"/>
                <w:sz w:val="13"/>
                <w:szCs w:val="13"/>
              </w:rPr>
            </w:pPr>
            <w:r>
              <w:rPr>
                <w:rFonts w:ascii="Times New Roman" w:hAnsi="Times New Roman" w:eastAsia="Times New Roman" w:cs="Times New Roman"/>
                <w:color w:val="auto"/>
                <w:sz w:val="20"/>
                <w:szCs w:val="20"/>
              </w:rPr>
              <w:t>mg</w:t>
            </w:r>
            <w:r>
              <w:rPr>
                <w:rFonts w:ascii="Times New Roman" w:hAnsi="Times New Roman" w:eastAsia="Times New Roman" w:cs="Times New Roman"/>
                <w:color w:val="auto"/>
                <w:spacing w:val="9"/>
                <w:sz w:val="20"/>
                <w:szCs w:val="20"/>
              </w:rPr>
              <w:t>/m</w:t>
            </w:r>
            <w:r>
              <w:rPr>
                <w:rFonts w:ascii="Times New Roman" w:hAnsi="Times New Roman" w:eastAsia="Times New Roman" w:cs="Times New Roman"/>
                <w:color w:val="auto"/>
                <w:spacing w:val="9"/>
                <w:position w:val="6"/>
                <w:sz w:val="13"/>
                <w:szCs w:val="13"/>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8"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18" w:line="240" w:lineRule="exact"/>
              <w:ind w:left="465"/>
              <w:textAlignment w:val="auto"/>
              <w:rPr>
                <w:color w:val="auto"/>
                <w:sz w:val="20"/>
                <w:szCs w:val="20"/>
              </w:rPr>
            </w:pPr>
            <w:r>
              <w:rPr>
                <w:rFonts w:ascii="Times New Roman" w:hAnsi="Times New Roman" w:eastAsia="Times New Roman" w:cs="Times New Roman"/>
                <w:color w:val="auto"/>
                <w:spacing w:val="4"/>
                <w:sz w:val="20"/>
                <w:szCs w:val="20"/>
              </w:rPr>
              <w:t>24</w:t>
            </w:r>
            <w:r>
              <w:rPr>
                <w:rFonts w:ascii="Times New Roman" w:hAnsi="Times New Roman" w:eastAsia="Times New Roman" w:cs="Times New Roman"/>
                <w:color w:val="auto"/>
                <w:spacing w:val="22"/>
                <w:sz w:val="20"/>
                <w:szCs w:val="20"/>
              </w:rPr>
              <w:t xml:space="preserve"> </w:t>
            </w:r>
            <w:r>
              <w:rPr>
                <w:color w:val="auto"/>
                <w:spacing w:val="4"/>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55" w:line="240" w:lineRule="exact"/>
              <w:ind w:left="641"/>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8"/>
                <w:sz w:val="20"/>
                <w:szCs w:val="20"/>
              </w:rPr>
              <w:t>10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55" w:line="240" w:lineRule="exact"/>
              <w:ind w:left="609"/>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8"/>
                <w:sz w:val="20"/>
                <w:szCs w:val="20"/>
              </w:rPr>
              <w:t>10</w:t>
            </w:r>
          </w:p>
        </w:tc>
        <w:tc>
          <w:tcPr>
            <w:tcW w:w="750" w:type="pct"/>
            <w:vMerge w:val="continue"/>
            <w:tcBorders>
              <w:top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630"/>
              <w:textAlignment w:val="auto"/>
              <w:rPr>
                <w:color w:val="auto"/>
                <w:sz w:val="20"/>
                <w:szCs w:val="20"/>
              </w:rPr>
            </w:pPr>
            <w:r>
              <w:rPr>
                <w:color w:val="auto"/>
                <w:spacing w:val="4"/>
                <w:sz w:val="20"/>
                <w:szCs w:val="20"/>
              </w:rPr>
              <w:t>臭氧（</w:t>
            </w:r>
            <w:r>
              <w:rPr>
                <w:rFonts w:ascii="Times New Roman" w:hAnsi="Times New Roman" w:eastAsia="Times New Roman" w:cs="Times New Roman"/>
                <w:color w:val="auto"/>
                <w:spacing w:val="4"/>
                <w:sz w:val="20"/>
                <w:szCs w:val="20"/>
              </w:rPr>
              <w:t>O</w:t>
            </w:r>
            <w:r>
              <w:rPr>
                <w:rFonts w:ascii="Times New Roman" w:hAnsi="Times New Roman" w:eastAsia="Times New Roman" w:cs="Times New Roman"/>
                <w:color w:val="auto"/>
                <w:spacing w:val="4"/>
                <w:sz w:val="13"/>
                <w:szCs w:val="13"/>
              </w:rPr>
              <w:t>3</w:t>
            </w:r>
            <w:r>
              <w:rPr>
                <w:color w:val="auto"/>
                <w:spacing w:val="4"/>
                <w:sz w:val="20"/>
                <w:szCs w:val="20"/>
              </w:rPr>
              <w:t>）</w:t>
            </w: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7" w:line="240" w:lineRule="exact"/>
              <w:ind w:left="716"/>
              <w:textAlignment w:val="auto"/>
              <w:rPr>
                <w:color w:val="auto"/>
                <w:sz w:val="20"/>
                <w:szCs w:val="20"/>
              </w:rPr>
            </w:pPr>
            <w:r>
              <w:rPr>
                <w:color w:val="auto"/>
                <w:spacing w:val="3"/>
                <w:sz w:val="20"/>
                <w:szCs w:val="20"/>
              </w:rPr>
              <w:t>年平均</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588"/>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100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55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160</w:t>
            </w:r>
          </w:p>
        </w:tc>
        <w:tc>
          <w:tcPr>
            <w:tcW w:w="750" w:type="pct"/>
            <w:vMerge w:val="restart"/>
            <w:tcBorders>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keepNext w:val="0"/>
              <w:keepLines w:val="0"/>
              <w:pageBreakBefore w:val="0"/>
              <w:widowControl w:val="0"/>
              <w:kinsoku/>
              <w:wordWrap/>
              <w:overflowPunct/>
              <w:topLinePunct w:val="0"/>
              <w:autoSpaceDE/>
              <w:autoSpaceDN/>
              <w:bidi w:val="0"/>
              <w:adjustRightInd/>
              <w:snapToGrid/>
              <w:spacing w:before="57" w:line="240" w:lineRule="exact"/>
              <w:ind w:left="424"/>
              <w:textAlignment w:val="auto"/>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sz w:val="20"/>
                <w:szCs w:val="20"/>
              </w:rPr>
              <w:t>μg/m</w:t>
            </w:r>
            <w:r>
              <w:rPr>
                <w:rFonts w:ascii="Times New Roman" w:hAnsi="Times New Roman" w:eastAsia="Times New Roman" w:cs="Times New Roman"/>
                <w:color w:val="auto"/>
                <w:spacing w:val="2"/>
                <w:position w:val="6"/>
                <w:sz w:val="13"/>
                <w:szCs w:val="13"/>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6" w:line="240" w:lineRule="exact"/>
              <w:ind w:left="465"/>
              <w:textAlignment w:val="auto"/>
              <w:rPr>
                <w:color w:val="auto"/>
                <w:sz w:val="20"/>
                <w:szCs w:val="20"/>
              </w:rPr>
            </w:pPr>
            <w:r>
              <w:rPr>
                <w:rFonts w:ascii="Times New Roman" w:hAnsi="Times New Roman" w:eastAsia="Times New Roman" w:cs="Times New Roman"/>
                <w:color w:val="auto"/>
                <w:spacing w:val="4"/>
                <w:sz w:val="20"/>
                <w:szCs w:val="20"/>
              </w:rPr>
              <w:t>24</w:t>
            </w:r>
            <w:r>
              <w:rPr>
                <w:rFonts w:ascii="Times New Roman" w:hAnsi="Times New Roman" w:eastAsia="Times New Roman" w:cs="Times New Roman"/>
                <w:color w:val="auto"/>
                <w:spacing w:val="22"/>
                <w:sz w:val="20"/>
                <w:szCs w:val="20"/>
              </w:rPr>
              <w:t xml:space="preserve"> </w:t>
            </w:r>
            <w:r>
              <w:rPr>
                <w:color w:val="auto"/>
                <w:spacing w:val="4"/>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588"/>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160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53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200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124"/>
              <w:textAlignment w:val="auto"/>
              <w:rPr>
                <w:color w:val="auto"/>
                <w:sz w:val="20"/>
                <w:szCs w:val="20"/>
              </w:rPr>
            </w:pPr>
            <w:r>
              <w:rPr>
                <w:color w:val="auto"/>
                <w:spacing w:val="7"/>
                <w:sz w:val="20"/>
                <w:szCs w:val="20"/>
              </w:rPr>
              <w:t>可吸入颗粒物（</w:t>
            </w:r>
            <w:r>
              <w:rPr>
                <w:rFonts w:ascii="Times New Roman" w:hAnsi="Times New Roman" w:eastAsia="Times New Roman" w:cs="Times New Roman"/>
                <w:color w:val="auto"/>
                <w:sz w:val="20"/>
                <w:szCs w:val="20"/>
              </w:rPr>
              <w:t>PM</w:t>
            </w:r>
            <w:r>
              <w:rPr>
                <w:rFonts w:ascii="Times New Roman" w:hAnsi="Times New Roman" w:eastAsia="Times New Roman" w:cs="Times New Roman"/>
                <w:color w:val="auto"/>
                <w:spacing w:val="7"/>
                <w:sz w:val="13"/>
                <w:szCs w:val="13"/>
              </w:rPr>
              <w:t>10</w:t>
            </w:r>
            <w:r>
              <w:rPr>
                <w:color w:val="auto"/>
                <w:spacing w:val="7"/>
                <w:sz w:val="20"/>
                <w:szCs w:val="20"/>
              </w:rPr>
              <w:t>）</w:t>
            </w: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7" w:line="240" w:lineRule="exact"/>
              <w:ind w:left="716"/>
              <w:textAlignment w:val="auto"/>
              <w:rPr>
                <w:color w:val="auto"/>
                <w:sz w:val="20"/>
                <w:szCs w:val="20"/>
              </w:rPr>
            </w:pPr>
            <w:r>
              <w:rPr>
                <w:color w:val="auto"/>
                <w:spacing w:val="3"/>
                <w:sz w:val="20"/>
                <w:szCs w:val="20"/>
              </w:rPr>
              <w:t>年均值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620"/>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40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3" w:line="240" w:lineRule="exact"/>
              <w:ind w:left="593"/>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1"/>
                <w:sz w:val="20"/>
                <w:szCs w:val="20"/>
              </w:rPr>
              <w:t>70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8" w:line="240" w:lineRule="exact"/>
              <w:ind w:left="756"/>
              <w:textAlignment w:val="auto"/>
              <w:rPr>
                <w:color w:val="auto"/>
                <w:sz w:val="20"/>
                <w:szCs w:val="20"/>
              </w:rPr>
            </w:pPr>
            <w:r>
              <w:rPr>
                <w:color w:val="auto"/>
                <w:spacing w:val="-10"/>
                <w:sz w:val="20"/>
                <w:szCs w:val="20"/>
              </w:rPr>
              <w:t>日均值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4" w:line="240" w:lineRule="exact"/>
              <w:ind w:left="62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50</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4" w:line="240" w:lineRule="exact"/>
              <w:ind w:left="557"/>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3"/>
                <w:sz w:val="20"/>
                <w:szCs w:val="20"/>
              </w:rPr>
              <w:t>150</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1552" w:type="pct"/>
            <w:vMerge w:val="restart"/>
            <w:tcBorders>
              <w:left w:val="nil"/>
              <w:bottom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p>
            <w:pPr>
              <w:pStyle w:val="15"/>
              <w:keepNext w:val="0"/>
              <w:keepLines w:val="0"/>
              <w:pageBreakBefore w:val="0"/>
              <w:widowControl w:val="0"/>
              <w:kinsoku/>
              <w:wordWrap/>
              <w:overflowPunct/>
              <w:topLinePunct w:val="0"/>
              <w:autoSpaceDE/>
              <w:autoSpaceDN/>
              <w:bidi w:val="0"/>
              <w:adjustRightInd/>
              <w:snapToGrid/>
              <w:spacing w:before="65" w:line="240" w:lineRule="exact"/>
              <w:ind w:left="364"/>
              <w:textAlignment w:val="auto"/>
              <w:rPr>
                <w:rFonts w:ascii="Times New Roman" w:hAnsi="Times New Roman" w:eastAsia="Times New Roman" w:cs="Times New Roman"/>
                <w:color w:val="auto"/>
                <w:sz w:val="20"/>
                <w:szCs w:val="20"/>
              </w:rPr>
            </w:pPr>
            <w:r>
              <w:rPr>
                <w:color w:val="auto"/>
                <w:spacing w:val="6"/>
                <w:sz w:val="20"/>
                <w:szCs w:val="20"/>
              </w:rPr>
              <w:t>细颗粒物（</w:t>
            </w:r>
            <w:r>
              <w:rPr>
                <w:rFonts w:ascii="Times New Roman" w:hAnsi="Times New Roman" w:eastAsia="Times New Roman" w:cs="Times New Roman"/>
                <w:color w:val="auto"/>
                <w:sz w:val="20"/>
                <w:szCs w:val="20"/>
              </w:rPr>
              <w:t>PM</w:t>
            </w:r>
            <w:r>
              <w:rPr>
                <w:rFonts w:ascii="Times New Roman" w:hAnsi="Times New Roman" w:eastAsia="Times New Roman" w:cs="Times New Roman"/>
                <w:color w:val="auto"/>
                <w:spacing w:val="6"/>
                <w:position w:val="-1"/>
                <w:sz w:val="13"/>
                <w:szCs w:val="13"/>
              </w:rPr>
              <w:t>2.</w:t>
            </w:r>
            <w:r>
              <w:rPr>
                <w:rFonts w:ascii="Times New Roman" w:hAnsi="Times New Roman" w:eastAsia="Times New Roman" w:cs="Times New Roman"/>
                <w:color w:val="auto"/>
                <w:spacing w:val="6"/>
                <w:sz w:val="13"/>
                <w:szCs w:val="13"/>
              </w:rPr>
              <w:t>5</w:t>
            </w:r>
            <w:r>
              <w:rPr>
                <w:rFonts w:hint="eastAsia" w:ascii="Times New Roman" w:hAnsi="Times New Roman" w:eastAsia="宋体" w:cs="Times New Roman"/>
                <w:color w:val="auto"/>
                <w:spacing w:val="6"/>
                <w:sz w:val="13"/>
                <w:szCs w:val="13"/>
                <w:lang w:eastAsia="zh-CN"/>
              </w:rPr>
              <w:t>）</w:t>
            </w: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08" w:line="240" w:lineRule="exact"/>
              <w:ind w:left="716"/>
              <w:textAlignment w:val="auto"/>
              <w:rPr>
                <w:color w:val="auto"/>
                <w:sz w:val="20"/>
                <w:szCs w:val="20"/>
              </w:rPr>
            </w:pPr>
            <w:r>
              <w:rPr>
                <w:color w:val="auto"/>
                <w:spacing w:val="3"/>
                <w:sz w:val="20"/>
                <w:szCs w:val="20"/>
              </w:rPr>
              <w:t>年均值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4" w:line="240" w:lineRule="exact"/>
              <w:ind w:left="641"/>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8"/>
                <w:sz w:val="20"/>
                <w:szCs w:val="20"/>
              </w:rPr>
              <w:t>15</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44" w:line="240" w:lineRule="exact"/>
              <w:ind w:left="594"/>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35</w:t>
            </w:r>
          </w:p>
        </w:tc>
        <w:tc>
          <w:tcPr>
            <w:tcW w:w="750" w:type="pct"/>
            <w:vMerge w:val="continue"/>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7" w:hRule="atLeast"/>
        </w:trPr>
        <w:tc>
          <w:tcPr>
            <w:tcW w:w="1552" w:type="pct"/>
            <w:vMerge w:val="continue"/>
            <w:tcBorders>
              <w:top w:val="nil"/>
              <w:lef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c>
          <w:tcPr>
            <w:tcW w:w="1130" w:type="pct"/>
            <w:vAlign w:val="top"/>
          </w:tcPr>
          <w:p>
            <w:pPr>
              <w:pStyle w:val="15"/>
              <w:keepNext w:val="0"/>
              <w:keepLines w:val="0"/>
              <w:pageBreakBefore w:val="0"/>
              <w:widowControl w:val="0"/>
              <w:kinsoku/>
              <w:wordWrap/>
              <w:overflowPunct/>
              <w:topLinePunct w:val="0"/>
              <w:autoSpaceDE/>
              <w:autoSpaceDN/>
              <w:bidi w:val="0"/>
              <w:adjustRightInd/>
              <w:snapToGrid/>
              <w:spacing w:before="113" w:line="240" w:lineRule="exact"/>
              <w:ind w:left="465"/>
              <w:textAlignment w:val="auto"/>
              <w:rPr>
                <w:color w:val="auto"/>
                <w:sz w:val="20"/>
                <w:szCs w:val="20"/>
              </w:rPr>
            </w:pPr>
            <w:r>
              <w:rPr>
                <w:rFonts w:ascii="Times New Roman" w:hAnsi="Times New Roman" w:eastAsia="Times New Roman" w:cs="Times New Roman"/>
                <w:color w:val="auto"/>
                <w:spacing w:val="4"/>
                <w:sz w:val="20"/>
                <w:szCs w:val="20"/>
              </w:rPr>
              <w:t>24</w:t>
            </w:r>
            <w:r>
              <w:rPr>
                <w:rFonts w:ascii="Times New Roman" w:hAnsi="Times New Roman" w:eastAsia="Times New Roman" w:cs="Times New Roman"/>
                <w:color w:val="auto"/>
                <w:spacing w:val="22"/>
                <w:sz w:val="20"/>
                <w:szCs w:val="20"/>
              </w:rPr>
              <w:t xml:space="preserve"> </w:t>
            </w:r>
            <w:r>
              <w:rPr>
                <w:color w:val="auto"/>
                <w:spacing w:val="4"/>
                <w:sz w:val="20"/>
                <w:szCs w:val="20"/>
              </w:rPr>
              <w:t>小时均值</w:t>
            </w:r>
          </w:p>
        </w:tc>
        <w:tc>
          <w:tcPr>
            <w:tcW w:w="794" w:type="pct"/>
            <w:vAlign w:val="top"/>
          </w:tcPr>
          <w:p>
            <w:pPr>
              <w:keepNext w:val="0"/>
              <w:keepLines w:val="0"/>
              <w:pageBreakBefore w:val="0"/>
              <w:widowControl w:val="0"/>
              <w:kinsoku/>
              <w:wordWrap/>
              <w:overflowPunct/>
              <w:topLinePunct w:val="0"/>
              <w:autoSpaceDE/>
              <w:autoSpaceDN/>
              <w:bidi w:val="0"/>
              <w:adjustRightInd/>
              <w:snapToGrid/>
              <w:spacing w:before="149" w:line="240" w:lineRule="exact"/>
              <w:ind w:left="625"/>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35</w:t>
            </w:r>
          </w:p>
        </w:tc>
        <w:tc>
          <w:tcPr>
            <w:tcW w:w="771" w:type="pct"/>
            <w:vAlign w:val="top"/>
          </w:tcPr>
          <w:p>
            <w:pPr>
              <w:keepNext w:val="0"/>
              <w:keepLines w:val="0"/>
              <w:pageBreakBefore w:val="0"/>
              <w:widowControl w:val="0"/>
              <w:kinsoku/>
              <w:wordWrap/>
              <w:overflowPunct/>
              <w:topLinePunct w:val="0"/>
              <w:autoSpaceDE/>
              <w:autoSpaceDN/>
              <w:bidi w:val="0"/>
              <w:adjustRightInd/>
              <w:snapToGrid/>
              <w:spacing w:before="152" w:line="240" w:lineRule="exact"/>
              <w:ind w:left="593"/>
              <w:textAlignment w:val="auto"/>
              <w:rPr>
                <w:rFonts w:ascii="Times New Roman" w:hAnsi="Times New Roman" w:eastAsia="Times New Roman" w:cs="Times New Roman"/>
                <w:color w:val="auto"/>
                <w:sz w:val="20"/>
                <w:szCs w:val="20"/>
              </w:rPr>
            </w:pPr>
            <w:r>
              <w:rPr>
                <w:rFonts w:ascii="Times New Roman" w:hAnsi="Times New Roman" w:eastAsia="Times New Roman" w:cs="Times New Roman"/>
                <w:color w:val="auto"/>
                <w:spacing w:val="1"/>
                <w:sz w:val="20"/>
                <w:szCs w:val="20"/>
              </w:rPr>
              <w:t>75</w:t>
            </w:r>
          </w:p>
        </w:tc>
        <w:tc>
          <w:tcPr>
            <w:tcW w:w="750" w:type="pct"/>
            <w:vMerge w:val="continue"/>
            <w:tcBorders>
              <w:top w:val="nil"/>
              <w:right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Arial"/>
                <w:color w:val="auto"/>
                <w:sz w:val="21"/>
              </w:rPr>
            </w:pPr>
          </w:p>
        </w:tc>
      </w:tr>
    </w:tbl>
    <w:p>
      <w:pPr>
        <w:keepNext w:val="0"/>
        <w:keepLines w:val="0"/>
        <w:pageBreakBefore w:val="0"/>
        <w:widowControl/>
        <w:kinsoku w:val="0"/>
        <w:wordWrap/>
        <w:overflowPunct/>
        <w:topLinePunct w:val="0"/>
        <w:autoSpaceDE w:val="0"/>
        <w:autoSpaceDN w:val="0"/>
        <w:bidi w:val="0"/>
        <w:adjustRightInd w:val="0"/>
        <w:snapToGrid w:val="0"/>
        <w:spacing w:line="440" w:lineRule="exact"/>
        <w:ind w:left="165" w:right="43" w:firstLine="555"/>
        <w:jc w:val="both"/>
        <w:textAlignment w:val="baseline"/>
        <w:rPr>
          <w:rFonts w:ascii="仿宋" w:hAnsi="仿宋" w:eastAsia="仿宋" w:cs="仿宋"/>
          <w:color w:val="auto"/>
          <w:spacing w:val="-2"/>
          <w:sz w:val="28"/>
          <w:szCs w:val="28"/>
        </w:rPr>
      </w:pPr>
      <w:r>
        <w:rPr>
          <w:rFonts w:ascii="仿宋" w:hAnsi="仿宋" w:eastAsia="仿宋" w:cs="仿宋"/>
          <w:color w:val="auto"/>
          <w:spacing w:val="-10"/>
          <w:sz w:val="28"/>
          <w:szCs w:val="28"/>
        </w:rPr>
        <w:t>评价因子：选取二氧化硫、二氧化氮、可吸入颗粒物、细颗粒物、</w:t>
      </w:r>
      <w:r>
        <w:rPr>
          <w:rFonts w:ascii="仿宋" w:hAnsi="仿宋" w:eastAsia="仿宋" w:cs="仿宋"/>
          <w:color w:val="auto"/>
          <w:spacing w:val="-2"/>
          <w:sz w:val="28"/>
          <w:szCs w:val="28"/>
        </w:rPr>
        <w:t>一氧化碳、臭氧作为评价因子。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2"/>
        <w:rPr>
          <w:rFonts w:hint="eastAsia" w:ascii="仿宋_GB2312" w:hAnsi="仿宋_GB2312" w:eastAsia="仿宋_GB2312" w:cs="仿宋_GB2312"/>
          <w:b/>
          <w:bCs/>
          <w:i w:val="0"/>
          <w:iCs w:val="0"/>
          <w:caps w:val="0"/>
          <w:color w:val="auto"/>
          <w:spacing w:val="0"/>
          <w:sz w:val="32"/>
          <w:szCs w:val="32"/>
        </w:rPr>
      </w:pPr>
      <w:bookmarkStart w:id="20" w:name="_Toc25272"/>
      <w:r>
        <w:rPr>
          <w:rFonts w:hint="eastAsia" w:ascii="仿宋_GB2312" w:hAnsi="仿宋_GB2312" w:eastAsia="仿宋_GB2312" w:cs="仿宋_GB2312"/>
          <w:b/>
          <w:bCs/>
          <w:i w:val="0"/>
          <w:iCs w:val="0"/>
          <w:caps w:val="0"/>
          <w:color w:val="auto"/>
          <w:spacing w:val="0"/>
          <w:sz w:val="32"/>
          <w:szCs w:val="32"/>
          <w:lang w:val="en-US" w:eastAsia="zh-CN"/>
        </w:rPr>
        <w:t>2.1.1</w:t>
      </w:r>
      <w:r>
        <w:rPr>
          <w:rFonts w:hint="eastAsia" w:ascii="仿宋_GB2312" w:hAnsi="仿宋_GB2312" w:eastAsia="仿宋_GB2312" w:cs="仿宋_GB2312"/>
          <w:b/>
          <w:bCs/>
          <w:i w:val="0"/>
          <w:iCs w:val="0"/>
          <w:caps w:val="0"/>
          <w:color w:val="auto"/>
          <w:spacing w:val="0"/>
          <w:sz w:val="32"/>
          <w:szCs w:val="32"/>
        </w:rPr>
        <w:t>主要污染物监测结果</w:t>
      </w:r>
      <w:bookmarkEnd w:id="20"/>
      <w:bookmarkStart w:id="21" w:name="_Toc6168"/>
      <w:bookmarkStart w:id="22" w:name="_Toc4205"/>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pacing w:val="-1"/>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rPr>
      </w:pPr>
      <w:r>
        <w:rPr>
          <w:rFonts w:hint="eastAsia" w:ascii="黑体" w:hAnsi="黑体" w:eastAsia="黑体" w:cs="黑体"/>
          <w:color w:val="auto"/>
          <w:spacing w:val="-1"/>
          <w:sz w:val="24"/>
          <w:szCs w:val="24"/>
        </w:rPr>
        <w:t>表</w:t>
      </w:r>
      <w:r>
        <w:rPr>
          <w:rFonts w:hint="eastAsia" w:ascii="黑体" w:hAnsi="黑体" w:eastAsia="黑体" w:cs="黑体"/>
          <w:color w:val="auto"/>
          <w:spacing w:val="-1"/>
          <w:sz w:val="24"/>
          <w:szCs w:val="24"/>
          <w:lang w:val="en-US" w:eastAsia="zh-CN"/>
        </w:rPr>
        <w:t>1</w:t>
      </w:r>
      <w:r>
        <w:rPr>
          <w:rFonts w:hint="eastAsia" w:ascii="黑体" w:hAnsi="黑体" w:eastAsia="黑体" w:cs="黑体"/>
          <w:color w:val="auto"/>
          <w:spacing w:val="-1"/>
          <w:sz w:val="24"/>
          <w:szCs w:val="24"/>
        </w:rPr>
        <w:t>-</w:t>
      </w:r>
      <w:r>
        <w:rPr>
          <w:rFonts w:hint="eastAsia" w:ascii="黑体" w:hAnsi="黑体" w:eastAsia="黑体" w:cs="黑体"/>
          <w:color w:val="auto"/>
          <w:spacing w:val="-1"/>
          <w:sz w:val="24"/>
          <w:szCs w:val="24"/>
          <w:lang w:val="en-US" w:eastAsia="zh-CN"/>
        </w:rPr>
        <w:t>2 2021年—2025年各年度数值</w:t>
      </w:r>
    </w:p>
    <w:tbl>
      <w:tblPr>
        <w:tblStyle w:val="12"/>
        <w:tblW w:w="74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7"/>
        <w:gridCol w:w="913"/>
        <w:gridCol w:w="948"/>
        <w:gridCol w:w="792"/>
        <w:gridCol w:w="768"/>
        <w:gridCol w:w="684"/>
        <w:gridCol w:w="840"/>
        <w:gridCol w:w="948"/>
        <w:gridCol w:w="6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2"/>
                <w:szCs w:val="22"/>
                <w:u w:val="none"/>
                <w:lang w:eastAsia="zh-CN"/>
              </w:rPr>
            </w:pPr>
            <w:r>
              <w:rPr>
                <w:rFonts w:hint="eastAsia" w:ascii="宋体" w:hAnsi="宋体" w:eastAsia="宋体" w:cs="宋体"/>
                <w:b/>
                <w:bCs/>
                <w:i w:val="0"/>
                <w:iCs w:val="0"/>
                <w:color w:val="auto"/>
                <w:sz w:val="22"/>
                <w:szCs w:val="22"/>
                <w:u w:val="none"/>
                <w:lang w:eastAsia="zh-CN"/>
              </w:rPr>
              <w:t>年份</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PM10（微克/立方米）</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扣除沙尘后</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PM2.5（微克/立方米）</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扣除沙尘后</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SO2（微克/立方米）</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NO2（微克/立方米）</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CO（毫克/立方米）</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O3（微克/立方米）</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优良天数</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综合质量指数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2"/>
                <w:szCs w:val="22"/>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0"/>
                <w:szCs w:val="20"/>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0"/>
                <w:szCs w:val="20"/>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2021</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79.8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2"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2022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83.4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2023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77.3</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2024</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2025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87.6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6"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备注</w:t>
            </w:r>
          </w:p>
        </w:tc>
        <w:tc>
          <w:tcPr>
            <w:tcW w:w="65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Pm10、pm2.5均为扣除沙尘</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可吸入颗粒物（PM</w:t>
      </w:r>
      <w:r>
        <w:rPr>
          <w:rFonts w:hint="eastAsia" w:ascii="仿宋_GB2312" w:hAnsi="仿宋_GB2312" w:eastAsia="仿宋_GB2312" w:cs="仿宋_GB2312"/>
          <w:i w:val="0"/>
          <w:iCs w:val="0"/>
          <w:caps w:val="0"/>
          <w:color w:val="auto"/>
          <w:spacing w:val="0"/>
          <w:sz w:val="32"/>
          <w:szCs w:val="32"/>
          <w:lang w:val="en-US" w:eastAsia="zh-CN"/>
        </w:rPr>
        <w:t>10</w:t>
      </w:r>
      <w:r>
        <w:rPr>
          <w:rFonts w:hint="eastAsia" w:ascii="仿宋_GB2312" w:hAnsi="仿宋_GB2312" w:eastAsia="仿宋_GB2312" w:cs="仿宋_GB2312"/>
          <w:i w:val="0"/>
          <w:iCs w:val="0"/>
          <w:caps w:val="0"/>
          <w:color w:val="auto"/>
          <w:spacing w:val="0"/>
          <w:sz w:val="32"/>
          <w:szCs w:val="32"/>
        </w:rPr>
        <w:t>）</w:t>
      </w:r>
      <w:bookmarkEnd w:id="21"/>
      <w:bookmarkEnd w:id="22"/>
      <w:r>
        <w:rPr>
          <w:rFonts w:hint="eastAsia" w:ascii="仿宋_GB2312" w:hAnsi="仿宋_GB2312" w:eastAsia="仿宋_GB2312" w:cs="仿宋_GB2312"/>
          <w:i w:val="0"/>
          <w:iCs w:val="0"/>
          <w:caps w:val="0"/>
          <w:color w:val="auto"/>
          <w:spacing w:val="0"/>
          <w:sz w:val="32"/>
          <w:szCs w:val="32"/>
        </w:rPr>
        <w:t>五年平均浓度59</w:t>
      </w:r>
      <w:r>
        <w:rPr>
          <w:rFonts w:hint="eastAsia" w:ascii="仿宋_GB2312" w:hAnsi="仿宋_GB2312" w:eastAsia="仿宋_GB2312" w:cs="仿宋_GB2312"/>
          <w:i w:val="0"/>
          <w:iCs w:val="0"/>
          <w:caps w:val="0"/>
          <w:color w:val="auto"/>
          <w:spacing w:val="0"/>
          <w:sz w:val="32"/>
          <w:szCs w:val="32"/>
          <w:lang w:val="en-US" w:eastAsia="zh-CN"/>
        </w:rPr>
        <w:t>ug/m³</w:t>
      </w:r>
      <w:r>
        <w:rPr>
          <w:rFonts w:hint="eastAsia" w:ascii="仿宋_GB2312" w:hAnsi="仿宋_GB2312" w:eastAsia="仿宋_GB2312" w:cs="仿宋_GB2312"/>
          <w:i w:val="0"/>
          <w:iCs w:val="0"/>
          <w:caps w:val="0"/>
          <w:color w:val="auto"/>
          <w:spacing w:val="0"/>
          <w:sz w:val="32"/>
          <w:szCs w:val="32"/>
        </w:rPr>
        <w:t>，低于国家二级标准（70</w:t>
      </w:r>
      <w:r>
        <w:rPr>
          <w:rFonts w:hint="eastAsia" w:ascii="仿宋_GB2312" w:hAnsi="仿宋_GB2312" w:eastAsia="仿宋_GB2312" w:cs="仿宋_GB2312"/>
          <w:i w:val="0"/>
          <w:iCs w:val="0"/>
          <w:caps w:val="0"/>
          <w:color w:val="auto"/>
          <w:spacing w:val="0"/>
          <w:sz w:val="32"/>
          <w:szCs w:val="32"/>
          <w:lang w:val="en-US" w:eastAsia="zh-CN"/>
        </w:rPr>
        <w:t>ug/m³</w:t>
      </w:r>
      <w:r>
        <w:rPr>
          <w:rFonts w:hint="eastAsia" w:ascii="仿宋_GB2312" w:hAnsi="仿宋_GB2312" w:eastAsia="仿宋_GB2312" w:cs="仿宋_GB2312"/>
          <w:i w:val="0"/>
          <w:iCs w:val="0"/>
          <w:caps w:val="0"/>
          <w:color w:val="auto"/>
          <w:spacing w:val="0"/>
          <w:sz w:val="32"/>
          <w:szCs w:val="32"/>
        </w:rPr>
        <w:t>）15.7%，浓度呈“稳步下降—逐步趋稳”态势。</w:t>
      </w:r>
      <w:bookmarkStart w:id="23" w:name="_Toc24397"/>
      <w:bookmarkStart w:id="24" w:name="_Toc1614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细颗粒物（PM</w:t>
      </w:r>
      <w:r>
        <w:rPr>
          <w:rFonts w:hint="eastAsia" w:ascii="仿宋_GB2312" w:hAnsi="仿宋_GB2312" w:eastAsia="仿宋_GB2312" w:cs="仿宋_GB2312"/>
          <w:i w:val="0"/>
          <w:iCs w:val="0"/>
          <w:caps w:val="0"/>
          <w:color w:val="auto"/>
          <w:spacing w:val="0"/>
          <w:sz w:val="32"/>
          <w:szCs w:val="32"/>
          <w:lang w:val="en-US" w:eastAsia="zh-CN"/>
        </w:rPr>
        <w:t>2.5</w:t>
      </w:r>
      <w:r>
        <w:rPr>
          <w:rFonts w:hint="eastAsia" w:ascii="仿宋_GB2312" w:hAnsi="仿宋_GB2312" w:eastAsia="仿宋_GB2312" w:cs="仿宋_GB2312"/>
          <w:i w:val="0"/>
          <w:iCs w:val="0"/>
          <w:caps w:val="0"/>
          <w:color w:val="auto"/>
          <w:spacing w:val="0"/>
          <w:sz w:val="32"/>
          <w:szCs w:val="32"/>
        </w:rPr>
        <w:t>）</w:t>
      </w:r>
      <w:bookmarkEnd w:id="23"/>
      <w:bookmarkEnd w:id="24"/>
      <w:r>
        <w:rPr>
          <w:rFonts w:hint="eastAsia" w:ascii="仿宋_GB2312" w:hAnsi="仿宋_GB2312" w:eastAsia="仿宋_GB2312" w:cs="仿宋_GB2312"/>
          <w:i w:val="0"/>
          <w:iCs w:val="0"/>
          <w:caps w:val="0"/>
          <w:color w:val="auto"/>
          <w:spacing w:val="0"/>
          <w:sz w:val="32"/>
          <w:szCs w:val="32"/>
        </w:rPr>
        <w:t>五年平均浓度30</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，优于国家二级标准（35</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）14.3%，2023年后持续稳定在30</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 xml:space="preserve"> 以下。</w:t>
      </w:r>
      <w:bookmarkStart w:id="25" w:name="_Toc12768"/>
      <w:bookmarkStart w:id="26" w:name="_Toc1838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二氧化硫（SO</w:t>
      </w:r>
      <w:r>
        <w:rPr>
          <w:rFonts w:hint="eastAsia" w:ascii="仿宋_GB2312" w:hAnsi="仿宋_GB2312" w:eastAsia="仿宋_GB2312"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w:t>
      </w:r>
      <w:bookmarkEnd w:id="25"/>
      <w:bookmarkEnd w:id="26"/>
      <w:r>
        <w:rPr>
          <w:rFonts w:hint="eastAsia" w:ascii="仿宋_GB2312" w:hAnsi="仿宋_GB2312" w:eastAsia="仿宋_GB2312" w:cs="仿宋_GB2312"/>
          <w:i w:val="0"/>
          <w:iCs w:val="0"/>
          <w:caps w:val="0"/>
          <w:color w:val="auto"/>
          <w:spacing w:val="0"/>
          <w:sz w:val="32"/>
          <w:szCs w:val="32"/>
        </w:rPr>
        <w:t>五年平均浓度8</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，远低于国家二级标准（60</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），持续稳定在低浓度水平。</w:t>
      </w:r>
      <w:bookmarkStart w:id="27" w:name="_Toc2128"/>
      <w:bookmarkStart w:id="28" w:name="_Toc1713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二氧化氮（NO</w:t>
      </w:r>
      <w:r>
        <w:rPr>
          <w:rFonts w:hint="eastAsia" w:ascii="仿宋_GB2312" w:hAnsi="仿宋_GB2312" w:eastAsia="仿宋_GB2312"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w:t>
      </w:r>
      <w:bookmarkEnd w:id="27"/>
      <w:bookmarkEnd w:id="28"/>
      <w:r>
        <w:rPr>
          <w:rFonts w:hint="eastAsia" w:ascii="仿宋_GB2312" w:hAnsi="仿宋_GB2312" w:eastAsia="仿宋_GB2312" w:cs="仿宋_GB2312"/>
          <w:i w:val="0"/>
          <w:iCs w:val="0"/>
          <w:caps w:val="0"/>
          <w:color w:val="auto"/>
          <w:spacing w:val="0"/>
          <w:sz w:val="32"/>
          <w:szCs w:val="32"/>
        </w:rPr>
        <w:t>五年平均浓度10</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，远低于国家二级标准（40</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），浓度水平长期稳定。</w:t>
      </w:r>
      <w:bookmarkStart w:id="29" w:name="_Toc31591"/>
      <w:bookmarkStart w:id="30" w:name="_Toc2516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一氧化碳（CO）</w:t>
      </w:r>
      <w:bookmarkEnd w:id="29"/>
      <w:bookmarkEnd w:id="30"/>
      <w:r>
        <w:rPr>
          <w:rFonts w:hint="eastAsia" w:ascii="仿宋_GB2312" w:hAnsi="仿宋_GB2312" w:eastAsia="仿宋_GB2312" w:cs="仿宋_GB2312"/>
          <w:i w:val="0"/>
          <w:iCs w:val="0"/>
          <w:caps w:val="0"/>
          <w:color w:val="auto"/>
          <w:spacing w:val="0"/>
          <w:sz w:val="32"/>
          <w:szCs w:val="32"/>
        </w:rPr>
        <w:t>第95百分位数平均浓度2.0mg/m³，低于国家二级标准（4mg/m³）50%，无超标情况。</w:t>
      </w:r>
      <w:bookmarkStart w:id="31" w:name="_Toc23633"/>
      <w:bookmarkStart w:id="32" w:name="_Toc812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臭氧（O</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w:t>
      </w:r>
      <w:bookmarkEnd w:id="31"/>
      <w:bookmarkEnd w:id="32"/>
      <w:r>
        <w:rPr>
          <w:rFonts w:hint="eastAsia" w:ascii="仿宋_GB2312" w:hAnsi="仿宋_GB2312" w:eastAsia="仿宋_GB2312" w:cs="仿宋_GB2312"/>
          <w:i w:val="0"/>
          <w:iCs w:val="0"/>
          <w:caps w:val="0"/>
          <w:color w:val="auto"/>
          <w:spacing w:val="0"/>
          <w:sz w:val="32"/>
          <w:szCs w:val="32"/>
        </w:rPr>
        <w:t>日最大8小时第90百分位数平均浓度125</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，低于国家二级标准（160</w:t>
      </w:r>
      <w:r>
        <w:rPr>
          <w:rFonts w:hint="eastAsia" w:ascii="仿宋_GB2312" w:hAnsi="仿宋_GB2312" w:eastAsia="仿宋_GB2312" w:cs="仿宋_GB2312"/>
          <w:i w:val="0"/>
          <w:iCs w:val="0"/>
          <w:caps w:val="0"/>
          <w:color w:val="auto"/>
          <w:spacing w:val="0"/>
          <w:sz w:val="32"/>
          <w:szCs w:val="32"/>
          <w:lang w:eastAsia="zh-CN"/>
        </w:rPr>
        <w:t>ug/m³</w:t>
      </w:r>
      <w:r>
        <w:rPr>
          <w:rFonts w:hint="eastAsia" w:ascii="仿宋_GB2312" w:hAnsi="仿宋_GB2312" w:eastAsia="仿宋_GB2312" w:cs="仿宋_GB2312"/>
          <w:i w:val="0"/>
          <w:iCs w:val="0"/>
          <w:caps w:val="0"/>
          <w:color w:val="auto"/>
          <w:spacing w:val="0"/>
          <w:sz w:val="32"/>
          <w:szCs w:val="32"/>
        </w:rPr>
        <w:t>）21.9%。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优良天气比例2021-2025 年，高台县空气质量优良天数呈现“波动上升、整体向好”的发展态势，五年间实现了空气质量的持续改善与突破。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空气质量综合指数2021—2025年，高台县环境空气质量综合指数呈现“持续下降、逐年优化”的稳定向好趋势，综合污染水平持续降低，空气质量实现稳步提升。综合指数的持续下降，与优良天数的稳步提升形成了高度呼应，直观印证了高台县“十四五”期间大气污染防治工作的扎实成效，县域空气质量实现了从“高位波动”到“持续优化”的根本性转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textAlignment w:val="auto"/>
        <w:outlineLvl w:val="2"/>
        <w:rPr>
          <w:rFonts w:hint="eastAsia" w:ascii="仿宋_GB2312" w:hAnsi="仿宋_GB2312" w:eastAsia="仿宋_GB2312" w:cs="仿宋_GB2312"/>
          <w:b/>
          <w:bCs/>
          <w:i w:val="0"/>
          <w:iCs w:val="0"/>
          <w:caps w:val="0"/>
          <w:color w:val="auto"/>
          <w:spacing w:val="0"/>
          <w:sz w:val="30"/>
          <w:szCs w:val="30"/>
          <w:lang w:eastAsia="zh-CN"/>
        </w:rPr>
      </w:pPr>
      <w:bookmarkStart w:id="33" w:name="_Toc1960"/>
      <w:r>
        <w:rPr>
          <w:rFonts w:hint="eastAsia" w:ascii="仿宋_GB2312" w:hAnsi="仿宋_GB2312" w:eastAsia="仿宋_GB2312" w:cs="仿宋_GB2312"/>
          <w:b/>
          <w:bCs/>
          <w:i w:val="0"/>
          <w:iCs w:val="0"/>
          <w:caps w:val="0"/>
          <w:color w:val="auto"/>
          <w:spacing w:val="0"/>
          <w:sz w:val="30"/>
          <w:szCs w:val="30"/>
          <w:lang w:val="en-US" w:eastAsia="zh-CN"/>
        </w:rPr>
        <w:t>2.1.2</w:t>
      </w:r>
      <w:r>
        <w:rPr>
          <w:rFonts w:hint="eastAsia" w:ascii="仿宋_GB2312" w:hAnsi="仿宋_GB2312" w:eastAsia="仿宋_GB2312" w:cs="仿宋_GB2312"/>
          <w:b/>
          <w:bCs/>
          <w:i w:val="0"/>
          <w:iCs w:val="0"/>
          <w:caps w:val="0"/>
          <w:color w:val="auto"/>
          <w:spacing w:val="0"/>
          <w:sz w:val="30"/>
          <w:szCs w:val="30"/>
        </w:rPr>
        <w:t>数据</w:t>
      </w:r>
      <w:r>
        <w:rPr>
          <w:rFonts w:hint="eastAsia" w:ascii="仿宋_GB2312" w:hAnsi="仿宋_GB2312" w:eastAsia="仿宋_GB2312" w:cs="仿宋_GB2312"/>
          <w:b/>
          <w:bCs/>
          <w:i w:val="0"/>
          <w:iCs w:val="0"/>
          <w:caps w:val="0"/>
          <w:color w:val="auto"/>
          <w:spacing w:val="0"/>
          <w:sz w:val="30"/>
          <w:szCs w:val="30"/>
          <w:lang w:eastAsia="zh-CN"/>
        </w:rPr>
        <w:t>分析</w:t>
      </w:r>
      <w:bookmarkEnd w:id="3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统计口径：所有颗粒物数据（PM</w:t>
      </w:r>
      <w:r>
        <w:rPr>
          <w:rFonts w:hint="eastAsia" w:ascii="仿宋_GB2312" w:hAnsi="仿宋_GB2312" w:eastAsia="仿宋_GB2312" w:cs="仿宋_GB2312"/>
          <w:i w:val="0"/>
          <w:iCs w:val="0"/>
          <w:caps w:val="0"/>
          <w:color w:val="auto"/>
          <w:spacing w:val="0"/>
          <w:sz w:val="32"/>
          <w:szCs w:val="32"/>
          <w:lang w:val="en-US" w:eastAsia="zh-CN"/>
        </w:rPr>
        <w:t>10</w:t>
      </w:r>
      <w:r>
        <w:rPr>
          <w:rFonts w:hint="eastAsia" w:ascii="仿宋_GB2312" w:hAnsi="仿宋_GB2312" w:eastAsia="仿宋_GB2312" w:cs="仿宋_GB2312"/>
          <w:i w:val="0"/>
          <w:iCs w:val="0"/>
          <w:caps w:val="0"/>
          <w:color w:val="auto"/>
          <w:spacing w:val="0"/>
          <w:sz w:val="32"/>
          <w:szCs w:val="32"/>
        </w:rPr>
        <w:t>、PM</w:t>
      </w:r>
      <w:r>
        <w:rPr>
          <w:rFonts w:hint="eastAsia" w:ascii="仿宋_GB2312" w:hAnsi="仿宋_GB2312" w:eastAsia="仿宋_GB2312" w:cs="仿宋_GB2312"/>
          <w:i w:val="0"/>
          <w:iCs w:val="0"/>
          <w:caps w:val="0"/>
          <w:color w:val="auto"/>
          <w:spacing w:val="0"/>
          <w:sz w:val="32"/>
          <w:szCs w:val="32"/>
          <w:lang w:val="en-US" w:eastAsia="zh-CN"/>
        </w:rPr>
        <w:t>2.5</w:t>
      </w:r>
      <w:r>
        <w:rPr>
          <w:rFonts w:hint="eastAsia" w:ascii="仿宋_GB2312" w:hAnsi="仿宋_GB2312" w:eastAsia="仿宋_GB2312" w:cs="仿宋_GB2312"/>
          <w:i w:val="0"/>
          <w:iCs w:val="0"/>
          <w:caps w:val="0"/>
          <w:color w:val="auto"/>
          <w:spacing w:val="0"/>
          <w:sz w:val="32"/>
          <w:szCs w:val="32"/>
        </w:rPr>
        <w:t>）均为“扣除沙尘后”浓度，符合甘肃省生态环境厅官方统计规范，避免沙尘天气对常规空气质量评价的干扰。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计算依据：优良天数基于全年365天（非闰年）统计，优良天数比例=（优天数+良天数）/365</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lang w:val="en-US" w:eastAsia="zh-CN"/>
        </w:rPr>
        <w:t>有效监测天数</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×100%，数据直接提取自年度环境空气质量统计表。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标准对照：各项污染物浓度均满足《环境空气质量标准》（</w:t>
      </w:r>
      <w:r>
        <w:rPr>
          <w:rFonts w:hint="eastAsia" w:ascii="仿宋_GB2312" w:hAnsi="仿宋_GB2312" w:eastAsia="仿宋_GB2312" w:cs="仿宋_GB2312"/>
          <w:i w:val="0"/>
          <w:iCs w:val="0"/>
          <w:caps w:val="0"/>
          <w:color w:val="auto"/>
          <w:spacing w:val="0"/>
          <w:sz w:val="32"/>
          <w:szCs w:val="32"/>
          <w:lang w:eastAsia="zh-CN"/>
        </w:rPr>
        <w:t>GB3095-2026</w:t>
      </w:r>
      <w:r>
        <w:rPr>
          <w:rFonts w:hint="eastAsia" w:ascii="仿宋_GB2312" w:hAnsi="仿宋_GB2312" w:eastAsia="仿宋_GB2312" w:cs="仿宋_GB2312"/>
          <w:i w:val="0"/>
          <w:iCs w:val="0"/>
          <w:caps w:val="0"/>
          <w:color w:val="auto"/>
          <w:spacing w:val="0"/>
          <w:sz w:val="32"/>
          <w:szCs w:val="32"/>
        </w:rPr>
        <w:t>）二级标准，其中PM</w:t>
      </w:r>
      <w:r>
        <w:rPr>
          <w:rFonts w:hint="eastAsia" w:ascii="仿宋_GB2312" w:hAnsi="仿宋_GB2312" w:eastAsia="仿宋_GB2312" w:cs="仿宋_GB2312"/>
          <w:i w:val="0"/>
          <w:iCs w:val="0"/>
          <w:caps w:val="0"/>
          <w:color w:val="auto"/>
          <w:spacing w:val="0"/>
          <w:sz w:val="32"/>
          <w:szCs w:val="32"/>
          <w:lang w:val="en-US" w:eastAsia="zh-CN"/>
        </w:rPr>
        <w:t>2.5</w:t>
      </w:r>
      <w:r>
        <w:rPr>
          <w:rFonts w:hint="eastAsia" w:ascii="仿宋_GB2312" w:hAnsi="仿宋_GB2312" w:eastAsia="仿宋_GB2312" w:cs="仿宋_GB2312"/>
          <w:i w:val="0"/>
          <w:iCs w:val="0"/>
          <w:caps w:val="0"/>
          <w:color w:val="auto"/>
          <w:spacing w:val="0"/>
          <w:sz w:val="32"/>
          <w:szCs w:val="32"/>
        </w:rPr>
        <w:t>、SO</w:t>
      </w:r>
      <w:r>
        <w:rPr>
          <w:rFonts w:hint="eastAsia" w:ascii="仿宋_GB2312" w:hAnsi="仿宋_GB2312" w:eastAsia="仿宋_GB2312" w:cs="仿宋_GB2312"/>
          <w:i w:val="0"/>
          <w:iCs w:val="0"/>
          <w:caps w:val="0"/>
          <w:color w:val="auto"/>
          <w:spacing w:val="0"/>
          <w:sz w:val="32"/>
          <w:szCs w:val="32"/>
          <w:vertAlign w:val="subscript"/>
          <w:lang w:val="en-US" w:eastAsia="zh-CN"/>
        </w:rPr>
        <w:t>2</w:t>
      </w:r>
      <w:r>
        <w:rPr>
          <w:rFonts w:hint="eastAsia" w:ascii="仿宋_GB2312" w:hAnsi="仿宋_GB2312" w:eastAsia="仿宋_GB2312" w:cs="仿宋_GB2312"/>
          <w:i w:val="0"/>
          <w:iCs w:val="0"/>
          <w:caps w:val="0"/>
          <w:color w:val="auto"/>
          <w:spacing w:val="0"/>
          <w:sz w:val="32"/>
          <w:szCs w:val="32"/>
        </w:rPr>
        <w:t>、NO</w:t>
      </w:r>
      <w:r>
        <w:rPr>
          <w:rFonts w:hint="eastAsia" w:ascii="仿宋_GB2312" w:hAnsi="仿宋_GB2312" w:eastAsia="仿宋_GB2312" w:cs="仿宋_GB2312"/>
          <w:i w:val="0"/>
          <w:iCs w:val="0"/>
          <w:caps w:val="0"/>
          <w:color w:val="auto"/>
          <w:spacing w:val="0"/>
          <w:sz w:val="32"/>
          <w:szCs w:val="32"/>
          <w:vertAlign w:val="subscript"/>
          <w:lang w:val="en-US" w:eastAsia="zh-CN"/>
        </w:rPr>
        <w:t>2</w:t>
      </w:r>
      <w:r>
        <w:rPr>
          <w:rFonts w:hint="eastAsia" w:ascii="仿宋_GB2312" w:hAnsi="仿宋_GB2312" w:eastAsia="仿宋_GB2312" w:cs="仿宋_GB2312"/>
          <w:i w:val="0"/>
          <w:iCs w:val="0"/>
          <w:caps w:val="0"/>
          <w:color w:val="auto"/>
          <w:spacing w:val="0"/>
          <w:sz w:val="32"/>
          <w:szCs w:val="32"/>
        </w:rPr>
        <w:t>、CO、O</w:t>
      </w:r>
      <w:r>
        <w:rPr>
          <w:rFonts w:hint="eastAsia" w:ascii="仿宋_GB2312" w:hAnsi="仿宋_GB2312" w:eastAsia="仿宋_GB2312" w:cs="仿宋_GB2312"/>
          <w:i w:val="0"/>
          <w:iCs w:val="0"/>
          <w:caps w:val="0"/>
          <w:color w:val="auto"/>
          <w:spacing w:val="0"/>
          <w:sz w:val="32"/>
          <w:szCs w:val="32"/>
          <w:vertAlign w:val="subscript"/>
          <w:lang w:val="en-US" w:eastAsia="zh-CN"/>
        </w:rPr>
        <w:t>3</w:t>
      </w:r>
      <w:r>
        <w:rPr>
          <w:rFonts w:hint="eastAsia" w:ascii="仿宋_GB2312" w:hAnsi="仿宋_GB2312" w:eastAsia="仿宋_GB2312" w:cs="仿宋_GB2312"/>
          <w:i w:val="0"/>
          <w:iCs w:val="0"/>
          <w:caps w:val="0"/>
          <w:color w:val="auto"/>
          <w:spacing w:val="0"/>
          <w:sz w:val="32"/>
          <w:szCs w:val="32"/>
        </w:rPr>
        <w:t>浓度远低于标准限值，环境空气质量安全可控。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2"/>
        <w:rPr>
          <w:rFonts w:hint="eastAsia" w:ascii="仿宋_GB2312" w:hAnsi="仿宋_GB2312" w:eastAsia="仿宋_GB2312" w:cs="仿宋_GB2312"/>
          <w:b/>
          <w:bCs/>
          <w:i w:val="0"/>
          <w:iCs w:val="0"/>
          <w:caps w:val="0"/>
          <w:color w:val="auto"/>
          <w:spacing w:val="0"/>
          <w:sz w:val="32"/>
          <w:szCs w:val="32"/>
        </w:rPr>
      </w:pPr>
      <w:bookmarkStart w:id="34" w:name="_Toc4341"/>
      <w:r>
        <w:rPr>
          <w:rFonts w:hint="eastAsia" w:ascii="仿宋_GB2312" w:hAnsi="仿宋_GB2312" w:eastAsia="仿宋_GB2312" w:cs="仿宋_GB2312"/>
          <w:b/>
          <w:bCs/>
          <w:i w:val="0"/>
          <w:iCs w:val="0"/>
          <w:caps w:val="0"/>
          <w:color w:val="auto"/>
          <w:spacing w:val="0"/>
          <w:sz w:val="32"/>
          <w:szCs w:val="32"/>
          <w:lang w:val="en-US" w:eastAsia="zh-CN"/>
        </w:rPr>
        <w:t>2.1.3</w:t>
      </w:r>
      <w:r>
        <w:rPr>
          <w:rFonts w:hint="eastAsia" w:ascii="仿宋_GB2312" w:hAnsi="仿宋_GB2312" w:eastAsia="仿宋_GB2312" w:cs="仿宋_GB2312"/>
          <w:b/>
          <w:bCs/>
          <w:i w:val="0"/>
          <w:iCs w:val="0"/>
          <w:caps w:val="0"/>
          <w:color w:val="auto"/>
          <w:spacing w:val="0"/>
          <w:sz w:val="32"/>
          <w:szCs w:val="32"/>
        </w:rPr>
        <w:t>变化原因分析</w:t>
      </w:r>
      <w:bookmarkEnd w:id="34"/>
      <w:r>
        <w:rPr>
          <w:rFonts w:hint="eastAsia" w:ascii="仿宋_GB2312" w:hAnsi="仿宋_GB2312" w:eastAsia="仿宋_GB2312" w:cs="仿宋_GB2312"/>
          <w:b/>
          <w:bCs/>
          <w:i w:val="0"/>
          <w:iCs w:val="0"/>
          <w:caps w:val="0"/>
          <w:color w:val="auto"/>
          <w:spacing w:val="0"/>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人为治理因素：</w:t>
      </w:r>
      <w:r>
        <w:rPr>
          <w:rFonts w:hint="eastAsia" w:ascii="楷体" w:hAnsi="楷体" w:eastAsia="楷体" w:cs="楷体"/>
          <w:i w:val="0"/>
          <w:iCs w:val="0"/>
          <w:caps w:val="0"/>
          <w:color w:val="auto"/>
          <w:spacing w:val="0"/>
          <w:sz w:val="32"/>
          <w:szCs w:val="32"/>
        </w:rPr>
        <w:t>工业污染源减排成效显著。</w:t>
      </w:r>
      <w:r>
        <w:rPr>
          <w:rFonts w:hint="eastAsia" w:ascii="仿宋_GB2312" w:hAnsi="仿宋_GB2312" w:eastAsia="仿宋_GB2312" w:cs="仿宋_GB2312"/>
          <w:i w:val="0"/>
          <w:iCs w:val="0"/>
          <w:caps w:val="0"/>
          <w:color w:val="auto"/>
          <w:spacing w:val="0"/>
          <w:sz w:val="32"/>
          <w:szCs w:val="32"/>
        </w:rPr>
        <w:t>完成南华工业园区</w:t>
      </w:r>
      <w:r>
        <w:rPr>
          <w:rFonts w:hint="eastAsia" w:ascii="仿宋_GB2312" w:hAnsi="仿宋_GB2312" w:eastAsia="仿宋_GB2312" w:cs="仿宋_GB2312"/>
          <w:i w:val="0"/>
          <w:iCs w:val="0"/>
          <w:caps w:val="0"/>
          <w:color w:val="auto"/>
          <w:spacing w:val="0"/>
          <w:sz w:val="32"/>
          <w:szCs w:val="32"/>
          <w:lang w:val="en-US" w:eastAsia="zh-CN"/>
        </w:rPr>
        <w:t>8</w:t>
      </w:r>
      <w:r>
        <w:rPr>
          <w:rFonts w:hint="eastAsia" w:ascii="仿宋_GB2312" w:hAnsi="仿宋_GB2312" w:eastAsia="仿宋_GB2312" w:cs="仿宋_GB2312"/>
          <w:i w:val="0"/>
          <w:iCs w:val="0"/>
          <w:caps w:val="0"/>
          <w:color w:val="auto"/>
          <w:spacing w:val="0"/>
          <w:sz w:val="32"/>
          <w:szCs w:val="32"/>
        </w:rPr>
        <w:t>家重点企业废气治理设施升级改造，淘汰10蒸吨以下燃煤锅炉</w:t>
      </w:r>
      <w:r>
        <w:rPr>
          <w:rFonts w:hint="eastAsia" w:ascii="仿宋_GB2312" w:hAnsi="仿宋_GB2312" w:eastAsia="仿宋_GB2312" w:cs="仿宋_GB2312"/>
          <w:i w:val="0"/>
          <w:iCs w:val="0"/>
          <w:caps w:val="0"/>
          <w:color w:val="auto"/>
          <w:spacing w:val="0"/>
          <w:sz w:val="32"/>
          <w:szCs w:val="32"/>
          <w:lang w:val="en-US" w:eastAsia="zh-CN"/>
        </w:rPr>
        <w:t>8</w:t>
      </w:r>
      <w:r>
        <w:rPr>
          <w:rFonts w:hint="eastAsia" w:ascii="仿宋_GB2312" w:hAnsi="仿宋_GB2312" w:eastAsia="仿宋_GB2312" w:cs="仿宋_GB2312"/>
          <w:i w:val="0"/>
          <w:iCs w:val="0"/>
          <w:caps w:val="0"/>
          <w:color w:val="auto"/>
          <w:spacing w:val="0"/>
          <w:sz w:val="32"/>
          <w:szCs w:val="32"/>
        </w:rPr>
        <w:t>台，实施工业窑炉脱硫脱硝除尘改造，有效减少了工业污染源排放。</w:t>
      </w:r>
      <w:r>
        <w:rPr>
          <w:rFonts w:hint="eastAsia" w:ascii="楷体" w:hAnsi="楷体" w:eastAsia="楷体" w:cs="楷体"/>
          <w:i w:val="0"/>
          <w:iCs w:val="0"/>
          <w:caps w:val="0"/>
          <w:color w:val="auto"/>
          <w:spacing w:val="0"/>
          <w:sz w:val="32"/>
          <w:szCs w:val="32"/>
        </w:rPr>
        <w:t>扬尘污染管控全面加强。</w:t>
      </w:r>
      <w:r>
        <w:rPr>
          <w:rFonts w:hint="eastAsia" w:ascii="仿宋_GB2312" w:hAnsi="仿宋_GB2312" w:eastAsia="仿宋_GB2312" w:cs="仿宋_GB2312"/>
          <w:i w:val="0"/>
          <w:iCs w:val="0"/>
          <w:caps w:val="0"/>
          <w:color w:val="auto"/>
          <w:spacing w:val="0"/>
          <w:sz w:val="32"/>
          <w:szCs w:val="32"/>
        </w:rPr>
        <w:t>制定建筑工地扬尘污染防治管理办法，督促全县</w:t>
      </w:r>
      <w:r>
        <w:rPr>
          <w:rFonts w:hint="eastAsia" w:ascii="仿宋_GB2312" w:hAnsi="仿宋_GB2312" w:eastAsia="仿宋_GB2312" w:cs="仿宋_GB2312"/>
          <w:i w:val="0"/>
          <w:iCs w:val="0"/>
          <w:caps w:val="0"/>
          <w:color w:val="auto"/>
          <w:spacing w:val="0"/>
          <w:sz w:val="32"/>
          <w:szCs w:val="32"/>
          <w:lang w:val="en-US" w:eastAsia="zh-CN"/>
        </w:rPr>
        <w:t>5</w:t>
      </w:r>
      <w:r>
        <w:rPr>
          <w:rFonts w:hint="eastAsia" w:ascii="仿宋_GB2312" w:hAnsi="仿宋_GB2312" w:eastAsia="仿宋_GB2312" w:cs="仿宋_GB2312"/>
          <w:i w:val="0"/>
          <w:iCs w:val="0"/>
          <w:caps w:val="0"/>
          <w:color w:val="auto"/>
          <w:spacing w:val="0"/>
          <w:sz w:val="32"/>
          <w:szCs w:val="32"/>
        </w:rPr>
        <w:t>个在建建筑工地严格落实“六个百分之百”抑尘措施，施工现场围挡率、物料堆放覆盖率、出入车辆冲洗率等均达到98%以上；推进县城建成区机械化清扫，配置洗扫车、洒水车</w:t>
      </w:r>
      <w:r>
        <w:rPr>
          <w:rFonts w:hint="eastAsia" w:ascii="仿宋_GB2312" w:hAnsi="仿宋_GB2312" w:eastAsia="仿宋_GB2312"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辆，机械化清扫率达85%；加强道路运输扬尘管控，对渣土车、货运车辆实行密闭运输联合检查；开展矿山扬尘专项整治，规范矿山开采、运输环节扬尘控制措施，减少矿山扬尘污染。</w:t>
      </w:r>
      <w:r>
        <w:rPr>
          <w:rFonts w:hint="eastAsia" w:ascii="楷体" w:hAnsi="楷体" w:eastAsia="楷体" w:cs="楷体"/>
          <w:i w:val="0"/>
          <w:iCs w:val="0"/>
          <w:caps w:val="0"/>
          <w:color w:val="auto"/>
          <w:spacing w:val="0"/>
          <w:sz w:val="32"/>
          <w:szCs w:val="32"/>
        </w:rPr>
        <w:t>机动车污染治理深入推进。</w:t>
      </w:r>
      <w:r>
        <w:rPr>
          <w:rFonts w:hint="eastAsia" w:ascii="仿宋_GB2312" w:hAnsi="仿宋_GB2312" w:eastAsia="仿宋_GB2312" w:cs="仿宋_GB2312"/>
          <w:i w:val="0"/>
          <w:iCs w:val="0"/>
          <w:caps w:val="0"/>
          <w:color w:val="auto"/>
          <w:spacing w:val="0"/>
          <w:sz w:val="32"/>
          <w:szCs w:val="32"/>
        </w:rPr>
        <w:t>加强机动车尾气检测，全县</w:t>
      </w:r>
      <w:r>
        <w:rPr>
          <w:rFonts w:hint="default" w:ascii="仿宋_GB2312" w:hAnsi="仿宋_GB2312" w:eastAsia="仿宋_GB2312" w:cs="仿宋_GB2312"/>
          <w:i w:val="0"/>
          <w:iCs w:val="0"/>
          <w:caps w:val="0"/>
          <w:color w:val="auto"/>
          <w:spacing w:val="0"/>
          <w:sz w:val="32"/>
          <w:szCs w:val="32"/>
          <w:lang w:val="en"/>
        </w:rPr>
        <w:t>3</w:t>
      </w:r>
      <w:r>
        <w:rPr>
          <w:rFonts w:hint="eastAsia" w:ascii="仿宋_GB2312" w:hAnsi="仿宋_GB2312" w:eastAsia="仿宋_GB2312" w:cs="仿宋_GB2312"/>
          <w:i w:val="0"/>
          <w:iCs w:val="0"/>
          <w:caps w:val="0"/>
          <w:color w:val="auto"/>
          <w:spacing w:val="0"/>
          <w:sz w:val="32"/>
          <w:szCs w:val="32"/>
        </w:rPr>
        <w:t>家机动车环检机构严格执行新国标，累计检测机动车</w:t>
      </w:r>
      <w:r>
        <w:rPr>
          <w:rFonts w:hint="eastAsia" w:ascii="仿宋_GB2312" w:hAnsi="仿宋_GB2312" w:eastAsia="仿宋_GB2312" w:cs="仿宋_GB2312"/>
          <w:i w:val="0"/>
          <w:iCs w:val="0"/>
          <w:caps w:val="0"/>
          <w:color w:val="auto"/>
          <w:spacing w:val="0"/>
          <w:sz w:val="32"/>
          <w:szCs w:val="32"/>
          <w:lang w:val="en-US" w:eastAsia="zh-CN"/>
        </w:rPr>
        <w:t>7.1265</w:t>
      </w:r>
      <w:r>
        <w:rPr>
          <w:rFonts w:hint="eastAsia" w:ascii="仿宋_GB2312" w:hAnsi="仿宋_GB2312" w:eastAsia="仿宋_GB2312" w:cs="仿宋_GB2312"/>
          <w:i w:val="0"/>
          <w:iCs w:val="0"/>
          <w:caps w:val="0"/>
          <w:color w:val="auto"/>
          <w:spacing w:val="0"/>
          <w:sz w:val="32"/>
          <w:szCs w:val="32"/>
        </w:rPr>
        <w:t>万辆次；推广新能源汽车，建设完成了新能源汽车充电站10座，充电桩91个，覆盖全县各镇；在公交车充电桩站棚、客运站办公楼楼顶建设完成了380</w:t>
      </w:r>
      <w:r>
        <w:rPr>
          <w:rFonts w:hint="eastAsia" w:ascii="仿宋_GB2312" w:hAnsi="仿宋_GB2312" w:eastAsia="仿宋_GB2312" w:cs="仿宋_GB2312"/>
          <w:i w:val="0"/>
          <w:iCs w:val="0"/>
          <w:caps w:val="0"/>
          <w:color w:val="auto"/>
          <w:spacing w:val="0"/>
          <w:sz w:val="32"/>
          <w:szCs w:val="32"/>
          <w:lang w:eastAsia="zh-CN"/>
        </w:rPr>
        <w:t>kW</w:t>
      </w:r>
      <w:r>
        <w:rPr>
          <w:rFonts w:hint="eastAsia" w:ascii="仿宋_GB2312" w:hAnsi="仿宋_GB2312" w:eastAsia="仿宋_GB2312" w:cs="仿宋_GB2312"/>
          <w:i w:val="0"/>
          <w:iCs w:val="0"/>
          <w:caps w:val="0"/>
          <w:color w:val="auto"/>
          <w:spacing w:val="0"/>
          <w:sz w:val="32"/>
          <w:szCs w:val="32"/>
        </w:rPr>
        <w:t>智能光伏分布式发电站2座。推广新能源汽车，县城公交车、全部更换为新能源车辆，更新新能源出租车19辆，</w:t>
      </w:r>
      <w:r>
        <w:rPr>
          <w:rFonts w:hint="eastAsia" w:ascii="仿宋_GB2312" w:hAnsi="仿宋_GB2312" w:eastAsia="仿宋_GB2312" w:cs="仿宋_GB2312"/>
          <w:i w:val="0"/>
          <w:iCs w:val="0"/>
          <w:caps w:val="0"/>
          <w:color w:val="auto"/>
          <w:spacing w:val="0"/>
          <w:sz w:val="32"/>
          <w:szCs w:val="32"/>
          <w:lang w:eastAsia="zh-CN"/>
        </w:rPr>
        <w:t>占</w:t>
      </w:r>
      <w:r>
        <w:rPr>
          <w:rFonts w:hint="eastAsia" w:ascii="仿宋_GB2312" w:hAnsi="仿宋_GB2312" w:eastAsia="仿宋_GB2312" w:cs="仿宋_GB2312"/>
          <w:i w:val="0"/>
          <w:iCs w:val="0"/>
          <w:caps w:val="0"/>
          <w:color w:val="auto"/>
          <w:spacing w:val="0"/>
          <w:sz w:val="32"/>
          <w:szCs w:val="32"/>
        </w:rPr>
        <w:t>城乡货运配送车辆新能源占比达18.26%，其余85辆出租车全部为清洁能源车辆。加强非道路移动机械污染管控，完成</w:t>
      </w:r>
      <w:r>
        <w:rPr>
          <w:rFonts w:hint="default" w:ascii="仿宋_GB2312" w:hAnsi="仿宋_GB2312" w:eastAsia="仿宋_GB2312" w:cs="仿宋_GB2312"/>
          <w:i w:val="0"/>
          <w:iCs w:val="0"/>
          <w:caps w:val="0"/>
          <w:color w:val="auto"/>
          <w:spacing w:val="0"/>
          <w:sz w:val="32"/>
          <w:szCs w:val="32"/>
          <w:lang w:val="en"/>
        </w:rPr>
        <w:t>185</w:t>
      </w:r>
      <w:r>
        <w:rPr>
          <w:rFonts w:hint="eastAsia" w:ascii="仿宋_GB2312" w:hAnsi="仿宋_GB2312" w:eastAsia="仿宋_GB2312" w:cs="仿宋_GB2312"/>
          <w:i w:val="0"/>
          <w:iCs w:val="0"/>
          <w:caps w:val="0"/>
          <w:color w:val="auto"/>
          <w:spacing w:val="0"/>
          <w:sz w:val="32"/>
          <w:szCs w:val="32"/>
        </w:rPr>
        <w:t>台非道路移动机械编码登记，划定低排放控制区，禁止高排放非道路移动机械进入，累计检测非道路移动机械3</w:t>
      </w:r>
      <w:r>
        <w:rPr>
          <w:rFonts w:hint="eastAsia" w:ascii="仿宋_GB2312" w:hAnsi="仿宋_GB2312" w:eastAsia="仿宋_GB2312" w:cs="仿宋_GB2312"/>
          <w:i w:val="0"/>
          <w:iCs w:val="0"/>
          <w:caps w:val="0"/>
          <w:color w:val="auto"/>
          <w:spacing w:val="0"/>
          <w:sz w:val="32"/>
          <w:szCs w:val="32"/>
          <w:lang w:val="en-US" w:eastAsia="zh-CN"/>
        </w:rPr>
        <w:t>64</w:t>
      </w:r>
      <w:r>
        <w:rPr>
          <w:rFonts w:hint="eastAsia" w:ascii="仿宋_GB2312" w:hAnsi="仿宋_GB2312" w:eastAsia="仿宋_GB2312" w:cs="仿宋_GB2312"/>
          <w:i w:val="0"/>
          <w:iCs w:val="0"/>
          <w:caps w:val="0"/>
          <w:color w:val="auto"/>
          <w:spacing w:val="0"/>
          <w:sz w:val="32"/>
          <w:szCs w:val="32"/>
        </w:rPr>
        <w:t>台次，不合格机械整改率达100%。</w:t>
      </w:r>
      <w:r>
        <w:rPr>
          <w:rFonts w:hint="eastAsia" w:ascii="楷体" w:hAnsi="楷体" w:eastAsia="楷体" w:cs="楷体"/>
          <w:i w:val="0"/>
          <w:iCs w:val="0"/>
          <w:caps w:val="0"/>
          <w:color w:val="auto"/>
          <w:spacing w:val="0"/>
          <w:sz w:val="32"/>
          <w:szCs w:val="32"/>
        </w:rPr>
        <w:t>清洁能源替代持续推进。</w:t>
      </w:r>
      <w:r>
        <w:rPr>
          <w:rFonts w:hint="eastAsia" w:ascii="仿宋_GB2312" w:hAnsi="仿宋_GB2312" w:eastAsia="仿宋_GB2312" w:cs="仿宋_GB2312"/>
          <w:i w:val="0"/>
          <w:iCs w:val="0"/>
          <w:caps w:val="0"/>
          <w:color w:val="auto"/>
          <w:spacing w:val="0"/>
          <w:sz w:val="32"/>
          <w:szCs w:val="32"/>
        </w:rPr>
        <w:t>实施城镇天然气入户工程，县城天然气覆盖率达73.58%；加强散煤管控，规范煤炭经营市场，全县1家煤炭集中交易市场、12家煤炭二级配送网点全部完成标准化改造，严禁销售不符合质量标准的煤炭，有效减少了燃煤污染。</w:t>
      </w:r>
      <w:r>
        <w:rPr>
          <w:rFonts w:hint="eastAsia" w:ascii="楷体" w:hAnsi="楷体" w:eastAsia="楷体" w:cs="楷体"/>
          <w:i w:val="0"/>
          <w:iCs w:val="0"/>
          <w:caps w:val="0"/>
          <w:color w:val="auto"/>
          <w:spacing w:val="0"/>
          <w:sz w:val="32"/>
          <w:szCs w:val="32"/>
        </w:rPr>
        <w:t>区域联防联控机制健全。</w:t>
      </w:r>
      <w:r>
        <w:rPr>
          <w:rFonts w:hint="eastAsia" w:ascii="仿宋_GB2312" w:hAnsi="仿宋_GB2312" w:eastAsia="仿宋_GB2312" w:cs="仿宋_GB2312"/>
          <w:i w:val="0"/>
          <w:iCs w:val="0"/>
          <w:caps w:val="0"/>
          <w:color w:val="auto"/>
          <w:spacing w:val="0"/>
          <w:sz w:val="32"/>
          <w:szCs w:val="32"/>
        </w:rPr>
        <w:t>建立健全重污染天气预警响应机制，制定《高台县重污染天气应急预案》，明确预警分级标准和应急响应措施</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加强沙尘天气应对，科学推进生态防护林建设</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按照“南保水土、北御风沙、中建绿洲”的生态建设布局，全方位构筑起南部山地水源涵养、中部绿洲农田防护、北部荒漠防风固沙的生态安全屏障体系，有效遏制了沙化土地扩展趋势，显著减轻了沙尘天气对县域空气质量与农业生产的影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自然因素影响：</w:t>
      </w:r>
      <w:r>
        <w:rPr>
          <w:rFonts w:hint="eastAsia" w:ascii="楷体" w:hAnsi="楷体" w:eastAsia="楷体" w:cs="楷体"/>
          <w:i w:val="0"/>
          <w:iCs w:val="0"/>
          <w:caps w:val="0"/>
          <w:color w:val="auto"/>
          <w:spacing w:val="0"/>
          <w:sz w:val="32"/>
          <w:szCs w:val="32"/>
        </w:rPr>
        <w:t>气象条件总体有利</w:t>
      </w:r>
      <w:r>
        <w:rPr>
          <w:rFonts w:hint="eastAsia" w:ascii="楷体" w:hAnsi="楷体" w:eastAsia="楷体" w:cs="楷体"/>
          <w:i w:val="0"/>
          <w:iCs w:val="0"/>
          <w:caps w:val="0"/>
          <w:color w:val="auto"/>
          <w:spacing w:val="0"/>
          <w:sz w:val="32"/>
          <w:szCs w:val="32"/>
          <w:lang w:eastAsia="zh-CN"/>
        </w:rPr>
        <w:t>，有</w:t>
      </w:r>
      <w:r>
        <w:rPr>
          <w:rFonts w:hint="eastAsia" w:ascii="楷体" w:hAnsi="楷体" w:eastAsia="楷体" w:cs="楷体"/>
          <w:i w:val="0"/>
          <w:iCs w:val="0"/>
          <w:caps w:val="0"/>
          <w:color w:val="auto"/>
          <w:spacing w:val="0"/>
          <w:sz w:val="32"/>
          <w:szCs w:val="32"/>
        </w:rPr>
        <w:t>利于污染物扩散稀释</w:t>
      </w:r>
      <w:r>
        <w:rPr>
          <w:rFonts w:hint="eastAsia" w:ascii="楷体" w:hAnsi="楷体" w:eastAsia="楷体" w:cs="楷体"/>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县域近五年气象条件整体有利于大气污染物扩散，降水时空分布相对均匀，有效冲刷沉降大气颗粒物，静稳、逆温等不利气象天数较往年减少，风速、湿度条件适宜，大气水平扩散与垂直交换能力较强，为空气质量持续改善提供了良好的自然基础。</w:t>
      </w:r>
      <w:r>
        <w:rPr>
          <w:rFonts w:hint="eastAsia" w:ascii="楷体" w:hAnsi="楷体" w:eastAsia="楷体" w:cs="楷体"/>
          <w:i w:val="0"/>
          <w:iCs w:val="0"/>
          <w:caps w:val="0"/>
          <w:color w:val="auto"/>
          <w:spacing w:val="0"/>
          <w:sz w:val="32"/>
          <w:szCs w:val="32"/>
        </w:rPr>
        <w:t>沙尘影响总体减弱，外来输入污染降低</w:t>
      </w:r>
      <w:r>
        <w:rPr>
          <w:rFonts w:hint="eastAsia" w:ascii="楷体" w:hAnsi="楷体" w:eastAsia="楷体" w:cs="楷体"/>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受区域气候条件和上游生态治理成效共同作用，县域沙尘天气发生频次、强度和影响范围整体呈下降趋势，强沙尘暴、扬沙天气明显减少，自然降尘量逐年降低，有效减轻了PM</w:t>
      </w:r>
      <w:r>
        <w:rPr>
          <w:rFonts w:hint="eastAsia" w:ascii="仿宋_GB2312" w:hAnsi="仿宋_GB2312" w:eastAsia="仿宋_GB2312" w:cs="仿宋_GB2312"/>
          <w:i w:val="0"/>
          <w:iCs w:val="0"/>
          <w:caps w:val="0"/>
          <w:color w:val="auto"/>
          <w:spacing w:val="0"/>
          <w:sz w:val="32"/>
          <w:szCs w:val="32"/>
          <w:lang w:val="en-US" w:eastAsia="zh-CN"/>
        </w:rPr>
        <w:t>10</w:t>
      </w:r>
      <w:r>
        <w:rPr>
          <w:rFonts w:hint="eastAsia" w:ascii="仿宋_GB2312" w:hAnsi="仿宋_GB2312" w:eastAsia="仿宋_GB2312" w:cs="仿宋_GB2312"/>
          <w:i w:val="0"/>
          <w:iCs w:val="0"/>
          <w:caps w:val="0"/>
          <w:color w:val="auto"/>
          <w:spacing w:val="0"/>
          <w:sz w:val="32"/>
          <w:szCs w:val="32"/>
        </w:rPr>
        <w:t>、PM</w:t>
      </w:r>
      <w:r>
        <w:rPr>
          <w:rFonts w:hint="eastAsia" w:ascii="仿宋_GB2312" w:hAnsi="仿宋_GB2312" w:eastAsia="仿宋_GB2312" w:cs="仿宋_GB2312"/>
          <w:i w:val="0"/>
          <w:iCs w:val="0"/>
          <w:caps w:val="0"/>
          <w:color w:val="auto"/>
          <w:spacing w:val="0"/>
          <w:sz w:val="32"/>
          <w:szCs w:val="32"/>
          <w:lang w:val="en-US" w:eastAsia="zh-CN"/>
        </w:rPr>
        <w:t>2.5</w:t>
      </w:r>
      <w:r>
        <w:rPr>
          <w:rFonts w:hint="eastAsia" w:ascii="仿宋_GB2312" w:hAnsi="仿宋_GB2312" w:eastAsia="仿宋_GB2312" w:cs="仿宋_GB2312"/>
          <w:i w:val="0"/>
          <w:iCs w:val="0"/>
          <w:caps w:val="0"/>
          <w:color w:val="auto"/>
          <w:spacing w:val="0"/>
          <w:sz w:val="32"/>
          <w:szCs w:val="32"/>
        </w:rPr>
        <w:t>浓度波动，为颗粒物浓度持续下降创造了有利的自然环境条件。</w:t>
      </w:r>
      <w:r>
        <w:rPr>
          <w:rFonts w:hint="eastAsia" w:ascii="楷体" w:hAnsi="楷体" w:eastAsia="楷体" w:cs="楷体"/>
          <w:i w:val="0"/>
          <w:iCs w:val="0"/>
          <w:caps w:val="0"/>
          <w:color w:val="auto"/>
          <w:spacing w:val="0"/>
          <w:sz w:val="32"/>
          <w:szCs w:val="32"/>
        </w:rPr>
        <w:t>生态屏障持续巩固，大气自净能力提升</w:t>
      </w:r>
      <w:r>
        <w:rPr>
          <w:rFonts w:hint="eastAsia" w:ascii="楷体" w:hAnsi="楷体" w:eastAsia="楷体" w:cs="楷体"/>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县域及周边区域林草覆盖、湿地保护、荒漠化治理等生态工程持续见效，生态系统质量和稳定性不断提升，植被固沙滞尘、净化空气的作用更加凸显，大气环境容量和自净能力稳步增强，有效降低了本地扬尘产生和外来污染物输入，为空气质量稳定向好提供了生态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1"/>
        <w:rPr>
          <w:rFonts w:hint="default" w:ascii="仿宋_GB2312" w:hAnsi="仿宋_GB2312" w:eastAsia="仿宋_GB2312" w:cs="仿宋_GB2312"/>
          <w:b/>
          <w:bCs/>
          <w:i w:val="0"/>
          <w:iCs w:val="0"/>
          <w:caps w:val="0"/>
          <w:color w:val="auto"/>
          <w:spacing w:val="0"/>
          <w:sz w:val="32"/>
          <w:szCs w:val="32"/>
          <w:lang w:val="en-US" w:eastAsia="zh-CN"/>
        </w:rPr>
      </w:pPr>
      <w:bookmarkStart w:id="35" w:name="_Toc21925"/>
      <w:r>
        <w:rPr>
          <w:rFonts w:hint="eastAsia" w:ascii="仿宋_GB2312" w:hAnsi="仿宋_GB2312" w:eastAsia="仿宋_GB2312" w:cs="仿宋_GB2312"/>
          <w:b/>
          <w:bCs/>
          <w:i w:val="0"/>
          <w:iCs w:val="0"/>
          <w:caps w:val="0"/>
          <w:color w:val="auto"/>
          <w:spacing w:val="0"/>
          <w:sz w:val="32"/>
          <w:szCs w:val="32"/>
          <w:lang w:val="en-US" w:eastAsia="zh-CN"/>
        </w:rPr>
        <w:t>2.2沙尘天气</w:t>
      </w:r>
      <w:bookmarkEnd w:id="3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i w:val="0"/>
          <w:iCs w:val="0"/>
          <w:caps w:val="0"/>
          <w:color w:val="auto"/>
          <w:spacing w:val="0"/>
          <w:sz w:val="32"/>
          <w:szCs w:val="32"/>
        </w:rPr>
        <w:t>高台县地处河西走廊中部、黑河中游下段，属温带大陆性干旱气候，年均降水量</w:t>
      </w:r>
      <w:r>
        <w:rPr>
          <w:rFonts w:hint="eastAsia" w:ascii="仿宋_GB2312" w:hAnsi="仿宋_GB2312" w:eastAsia="仿宋_GB2312" w:cs="仿宋_GB2312"/>
          <w:i w:val="0"/>
          <w:iCs w:val="0"/>
          <w:caps w:val="0"/>
          <w:color w:val="auto"/>
          <w:spacing w:val="0"/>
          <w:sz w:val="32"/>
          <w:szCs w:val="32"/>
          <w:lang w:eastAsia="zh-CN"/>
        </w:rPr>
        <w:t>少</w:t>
      </w:r>
      <w:r>
        <w:rPr>
          <w:rFonts w:hint="eastAsia" w:ascii="仿宋_GB2312" w:hAnsi="仿宋_GB2312" w:eastAsia="仿宋_GB2312" w:cs="仿宋_GB2312"/>
          <w:i w:val="0"/>
          <w:iCs w:val="0"/>
          <w:caps w:val="0"/>
          <w:color w:val="auto"/>
          <w:spacing w:val="0"/>
          <w:sz w:val="32"/>
          <w:szCs w:val="32"/>
        </w:rPr>
        <w:t>，蒸发量</w:t>
      </w:r>
      <w:r>
        <w:rPr>
          <w:rFonts w:hint="eastAsia" w:ascii="仿宋_GB2312" w:hAnsi="仿宋_GB2312" w:eastAsia="仿宋_GB2312" w:cs="仿宋_GB2312"/>
          <w:i w:val="0"/>
          <w:iCs w:val="0"/>
          <w:caps w:val="0"/>
          <w:color w:val="auto"/>
          <w:spacing w:val="0"/>
          <w:sz w:val="32"/>
          <w:szCs w:val="32"/>
          <w:lang w:eastAsia="zh-CN"/>
        </w:rPr>
        <w:t>大</w:t>
      </w:r>
      <w:r>
        <w:rPr>
          <w:rFonts w:hint="eastAsia" w:ascii="仿宋_GB2312" w:hAnsi="仿宋_GB2312" w:eastAsia="仿宋_GB2312" w:cs="仿宋_GB2312"/>
          <w:i w:val="0"/>
          <w:iCs w:val="0"/>
          <w:caps w:val="0"/>
          <w:color w:val="auto"/>
          <w:spacing w:val="0"/>
          <w:sz w:val="32"/>
          <w:szCs w:val="32"/>
        </w:rPr>
        <w:t>，干旱少雨、植被稀疏，是河西走廊沙尘天气高发区域之一。沙尘天气集中发生于春季（3</w:t>
      </w:r>
      <w:r>
        <w:rPr>
          <w:rFonts w:hint="eastAsia" w:ascii="仿宋_GB2312" w:hAnsi="仿宋_GB2312" w:eastAsia="仿宋_GB2312" w:cs="仿宋_GB2312"/>
          <w:i w:val="0"/>
          <w:iCs w:val="0"/>
          <w:caps w:val="0"/>
          <w:color w:val="auto"/>
          <w:spacing w:val="0"/>
          <w:sz w:val="32"/>
          <w:szCs w:val="32"/>
          <w:lang w:val="en-US" w:eastAsia="zh-CN"/>
        </w:rPr>
        <w:t>-</w:t>
      </w:r>
      <w:r>
        <w:rPr>
          <w:rFonts w:hint="eastAsia" w:ascii="仿宋_GB2312" w:hAnsi="仿宋_GB2312" w:eastAsia="仿宋_GB2312" w:cs="仿宋_GB2312"/>
          <w:i w:val="0"/>
          <w:iCs w:val="0"/>
          <w:caps w:val="0"/>
          <w:color w:val="auto"/>
          <w:spacing w:val="0"/>
          <w:sz w:val="32"/>
          <w:szCs w:val="32"/>
        </w:rPr>
        <w:t>5 月），其次为冬末，常伴随5</w:t>
      </w:r>
      <w:r>
        <w:rPr>
          <w:rFonts w:hint="eastAsia" w:ascii="仿宋_GB2312" w:hAnsi="仿宋_GB2312" w:eastAsia="仿宋_GB2312" w:cs="仿宋_GB2312"/>
          <w:i w:val="0"/>
          <w:iCs w:val="0"/>
          <w:caps w:val="0"/>
          <w:color w:val="auto"/>
          <w:spacing w:val="0"/>
          <w:sz w:val="32"/>
          <w:szCs w:val="32"/>
          <w:lang w:val="en-US" w:eastAsia="zh-CN"/>
        </w:rPr>
        <w:t>-</w:t>
      </w:r>
      <w:r>
        <w:rPr>
          <w:rFonts w:hint="eastAsia" w:ascii="仿宋_GB2312" w:hAnsi="仿宋_GB2312" w:eastAsia="仿宋_GB2312" w:cs="仿宋_GB2312"/>
          <w:i w:val="0"/>
          <w:iCs w:val="0"/>
          <w:caps w:val="0"/>
          <w:color w:val="auto"/>
          <w:spacing w:val="0"/>
          <w:sz w:val="32"/>
          <w:szCs w:val="32"/>
        </w:rPr>
        <w:t>6级西北风、阵风7</w:t>
      </w:r>
      <w:r>
        <w:rPr>
          <w:rFonts w:hint="eastAsia" w:ascii="仿宋_GB2312" w:hAnsi="仿宋_GB2312" w:eastAsia="仿宋_GB2312" w:cs="仿宋_GB2312"/>
          <w:i w:val="0"/>
          <w:iCs w:val="0"/>
          <w:caps w:val="0"/>
          <w:color w:val="auto"/>
          <w:spacing w:val="0"/>
          <w:sz w:val="32"/>
          <w:szCs w:val="32"/>
          <w:lang w:val="en-US" w:eastAsia="zh-CN"/>
        </w:rPr>
        <w:t>-</w:t>
      </w:r>
      <w:r>
        <w:rPr>
          <w:rFonts w:hint="eastAsia" w:ascii="仿宋_GB2312" w:hAnsi="仿宋_GB2312" w:eastAsia="仿宋_GB2312" w:cs="仿宋_GB2312"/>
          <w:i w:val="0"/>
          <w:iCs w:val="0"/>
          <w:caps w:val="0"/>
          <w:color w:val="auto"/>
          <w:spacing w:val="0"/>
          <w:sz w:val="32"/>
          <w:szCs w:val="32"/>
        </w:rPr>
        <w:t>8级，以浮尘、扬沙为主，偶有沙尘暴，具有“发生频次高、影响范围广、持续时间长、污染强度大”的特征</w:t>
      </w:r>
      <w:r>
        <w:rPr>
          <w:rFonts w:hint="eastAsia" w:ascii="仿宋_GB2312" w:hAnsi="仿宋_GB2312" w:eastAsia="仿宋_GB2312" w:cs="仿宋_GB2312"/>
          <w:i w:val="0"/>
          <w:iCs w:val="0"/>
          <w:caps w:val="0"/>
          <w:color w:val="auto"/>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2"/>
        <w:rPr>
          <w:rFonts w:hint="eastAsia" w:ascii="仿宋_GB2312" w:hAnsi="仿宋_GB2312" w:eastAsia="仿宋_GB2312" w:cs="仿宋_GB2312"/>
          <w:b/>
          <w:bCs/>
          <w:i w:val="0"/>
          <w:iCs w:val="0"/>
          <w:caps w:val="0"/>
          <w:color w:val="auto"/>
          <w:spacing w:val="0"/>
          <w:sz w:val="32"/>
          <w:szCs w:val="32"/>
        </w:rPr>
      </w:pPr>
      <w:bookmarkStart w:id="36" w:name="_Toc19199"/>
      <w:r>
        <w:rPr>
          <w:rFonts w:hint="eastAsia" w:ascii="仿宋_GB2312" w:hAnsi="仿宋_GB2312" w:eastAsia="仿宋_GB2312" w:cs="仿宋_GB2312"/>
          <w:b/>
          <w:bCs/>
          <w:i w:val="0"/>
          <w:iCs w:val="0"/>
          <w:caps w:val="0"/>
          <w:color w:val="auto"/>
          <w:spacing w:val="0"/>
          <w:sz w:val="32"/>
          <w:szCs w:val="32"/>
          <w:lang w:val="en-US" w:eastAsia="zh-CN"/>
        </w:rPr>
        <w:t>2.2.1</w:t>
      </w:r>
      <w:r>
        <w:rPr>
          <w:rFonts w:hint="eastAsia" w:ascii="仿宋_GB2312" w:hAnsi="仿宋_GB2312" w:eastAsia="仿宋_GB2312" w:cs="仿宋_GB2312"/>
          <w:b/>
          <w:bCs/>
          <w:i w:val="0"/>
          <w:iCs w:val="0"/>
          <w:caps w:val="0"/>
          <w:color w:val="auto"/>
          <w:spacing w:val="0"/>
          <w:sz w:val="32"/>
          <w:szCs w:val="32"/>
        </w:rPr>
        <w:t>监测概况</w:t>
      </w:r>
      <w:bookmarkEnd w:id="3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eastAsia="zh-CN"/>
        </w:rPr>
        <w:t>张掖</w:t>
      </w:r>
      <w:r>
        <w:rPr>
          <w:rFonts w:hint="eastAsia" w:ascii="仿宋_GB2312" w:hAnsi="仿宋_GB2312" w:eastAsia="仿宋_GB2312" w:cs="仿宋_GB2312"/>
          <w:i w:val="0"/>
          <w:iCs w:val="0"/>
          <w:caps w:val="0"/>
          <w:color w:val="auto"/>
          <w:spacing w:val="0"/>
          <w:sz w:val="32"/>
          <w:szCs w:val="32"/>
        </w:rPr>
        <w:t>市有</w:t>
      </w:r>
      <w:r>
        <w:rPr>
          <w:rFonts w:hint="eastAsia" w:ascii="仿宋_GB2312" w:hAnsi="仿宋_GB2312" w:eastAsia="仿宋_GB2312" w:cs="仿宋_GB2312"/>
          <w:i w:val="0"/>
          <w:iCs w:val="0"/>
          <w:caps w:val="0"/>
          <w:color w:val="auto"/>
          <w:spacing w:val="0"/>
          <w:sz w:val="32"/>
          <w:szCs w:val="32"/>
          <w:lang w:eastAsia="zh-CN"/>
        </w:rPr>
        <w:t>一个沙尘暴监测点位</w:t>
      </w:r>
      <w:r>
        <w:rPr>
          <w:rFonts w:hint="eastAsia" w:ascii="仿宋_GB2312" w:hAnsi="仿宋_GB2312" w:eastAsia="仿宋_GB2312" w:cs="仿宋_GB2312"/>
          <w:i w:val="0"/>
          <w:iCs w:val="0"/>
          <w:caps w:val="0"/>
          <w:color w:val="auto"/>
          <w:spacing w:val="0"/>
          <w:sz w:val="32"/>
          <w:szCs w:val="32"/>
        </w:rPr>
        <w:t>，位于市林科所</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2012年建成自动监测站，由原来的手工监测变为自动监测，开展可吸入颗粒物、总悬浮颗粒物和气象五参数及能见度等项目的24小时连续监测。</w:t>
      </w:r>
    </w:p>
    <w:p>
      <w:pPr>
        <w:keepNext w:val="0"/>
        <w:keepLines w:val="0"/>
        <w:pageBreakBefore w:val="0"/>
        <w:widowControl/>
        <w:kinsoku w:val="0"/>
        <w:wordWrap/>
        <w:overflowPunct/>
        <w:topLinePunct w:val="0"/>
        <w:autoSpaceDE w:val="0"/>
        <w:autoSpaceDN w:val="0"/>
        <w:bidi w:val="0"/>
        <w:adjustRightInd w:val="0"/>
        <w:snapToGrid w:val="0"/>
        <w:spacing w:line="440" w:lineRule="exact"/>
        <w:ind w:left="116"/>
        <w:jc w:val="center"/>
        <w:textAlignment w:val="baseline"/>
        <w:rPr>
          <w:rFonts w:ascii="黑体" w:hAnsi="黑体" w:eastAsia="黑体" w:cs="黑体"/>
          <w:color w:val="auto"/>
          <w:sz w:val="24"/>
          <w:szCs w:val="24"/>
        </w:rPr>
      </w:pPr>
      <w:r>
        <w:rPr>
          <w:rFonts w:ascii="黑体" w:hAnsi="黑体" w:eastAsia="黑体" w:cs="黑体"/>
          <w:color w:val="auto"/>
          <w:sz w:val="24"/>
          <w:szCs w:val="24"/>
        </w:rPr>
        <w:t>表</w:t>
      </w:r>
      <w:r>
        <w:rPr>
          <w:rFonts w:ascii="黑体" w:hAnsi="黑体" w:eastAsia="黑体" w:cs="黑体"/>
          <w:color w:val="auto"/>
          <w:spacing w:val="-56"/>
          <w:sz w:val="24"/>
          <w:szCs w:val="24"/>
        </w:rPr>
        <w:t xml:space="preserve"> </w:t>
      </w:r>
      <w:r>
        <w:rPr>
          <w:rFonts w:hint="eastAsia" w:ascii="黑体" w:hAnsi="黑体" w:eastAsia="黑体" w:cs="黑体"/>
          <w:color w:val="auto"/>
          <w:spacing w:val="-56"/>
          <w:sz w:val="24"/>
          <w:szCs w:val="24"/>
          <w:lang w:val="en-US" w:eastAsia="zh-CN"/>
        </w:rPr>
        <w:t>2-1</w:t>
      </w:r>
      <w:r>
        <w:rPr>
          <w:rFonts w:ascii="Times New Roman" w:hAnsi="Times New Roman" w:eastAsia="Times New Roman" w:cs="Times New Roman"/>
          <w:color w:val="auto"/>
          <w:sz w:val="24"/>
          <w:szCs w:val="24"/>
        </w:rPr>
        <w:t xml:space="preserve">        </w:t>
      </w:r>
      <w:r>
        <w:rPr>
          <w:rFonts w:ascii="黑体" w:hAnsi="黑体" w:eastAsia="黑体" w:cs="黑体"/>
          <w:color w:val="auto"/>
          <w:spacing w:val="-1"/>
          <w:sz w:val="24"/>
          <w:szCs w:val="24"/>
        </w:rPr>
        <w:t>大气颗粒态污染物分析方法</w:t>
      </w:r>
    </w:p>
    <w:p>
      <w:pPr>
        <w:spacing w:line="37" w:lineRule="exact"/>
        <w:rPr>
          <w:color w:val="auto"/>
        </w:rPr>
      </w:pPr>
    </w:p>
    <w:tbl>
      <w:tblPr>
        <w:tblStyle w:val="16"/>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36"/>
        <w:gridCol w:w="3674"/>
        <w:gridCol w:w="25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exact"/>
        </w:trPr>
        <w:tc>
          <w:tcPr>
            <w:tcW w:w="1226" w:type="pct"/>
            <w:tcBorders>
              <w:left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387"/>
              <w:jc w:val="both"/>
              <w:textAlignment w:val="baseline"/>
              <w:rPr>
                <w:rFonts w:hint="eastAsia" w:ascii="仿宋" w:hAnsi="仿宋" w:eastAsia="仿宋" w:cs="仿宋"/>
                <w:b/>
                <w:bCs/>
                <w:color w:val="auto"/>
                <w:sz w:val="21"/>
                <w:szCs w:val="21"/>
              </w:rPr>
            </w:pPr>
            <w:r>
              <w:rPr>
                <w:rFonts w:hint="eastAsia" w:ascii="仿宋" w:hAnsi="仿宋" w:eastAsia="仿宋" w:cs="仿宋"/>
                <w:b/>
                <w:bCs/>
                <w:color w:val="auto"/>
                <w:spacing w:val="6"/>
                <w:sz w:val="21"/>
                <w:szCs w:val="21"/>
              </w:rPr>
              <w:t>污染物名称</w:t>
            </w:r>
          </w:p>
        </w:tc>
        <w:tc>
          <w:tcPr>
            <w:tcW w:w="221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658"/>
              <w:jc w:val="both"/>
              <w:textAlignment w:val="baseline"/>
              <w:rPr>
                <w:rFonts w:hint="eastAsia" w:ascii="仿宋" w:hAnsi="仿宋" w:eastAsia="仿宋" w:cs="仿宋"/>
                <w:b/>
                <w:bCs/>
                <w:color w:val="auto"/>
                <w:sz w:val="21"/>
                <w:szCs w:val="21"/>
              </w:rPr>
            </w:pPr>
            <w:r>
              <w:rPr>
                <w:rFonts w:hint="eastAsia" w:ascii="仿宋" w:hAnsi="仿宋" w:eastAsia="仿宋" w:cs="仿宋"/>
                <w:b/>
                <w:bCs/>
                <w:color w:val="auto"/>
                <w:spacing w:val="5"/>
                <w:sz w:val="21"/>
                <w:szCs w:val="21"/>
              </w:rPr>
              <w:t>分析方法</w:t>
            </w:r>
          </w:p>
        </w:tc>
        <w:tc>
          <w:tcPr>
            <w:tcW w:w="1561" w:type="pct"/>
            <w:tcBorders>
              <w:right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100"/>
              <w:jc w:val="both"/>
              <w:textAlignment w:val="baseline"/>
              <w:rPr>
                <w:rFonts w:hint="eastAsia" w:ascii="仿宋" w:hAnsi="仿宋" w:eastAsia="仿宋" w:cs="仿宋"/>
                <w:b/>
                <w:bCs/>
                <w:color w:val="auto"/>
                <w:sz w:val="21"/>
                <w:szCs w:val="21"/>
              </w:rPr>
            </w:pPr>
            <w:r>
              <w:rPr>
                <w:rFonts w:hint="eastAsia" w:ascii="仿宋" w:hAnsi="仿宋" w:eastAsia="仿宋" w:cs="仿宋"/>
                <w:b/>
                <w:bCs/>
                <w:color w:val="auto"/>
                <w:spacing w:val="1"/>
                <w:sz w:val="21"/>
                <w:szCs w:val="21"/>
              </w:rPr>
              <w:t>来源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2" w:hRule="exact"/>
        </w:trPr>
        <w:tc>
          <w:tcPr>
            <w:tcW w:w="1226" w:type="pct"/>
            <w:tcBorders>
              <w:left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287"/>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5"/>
                <w:sz w:val="21"/>
                <w:szCs w:val="21"/>
              </w:rPr>
              <w:t>总悬浮颗粒物</w:t>
            </w:r>
          </w:p>
        </w:tc>
        <w:tc>
          <w:tcPr>
            <w:tcW w:w="221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495"/>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6"/>
                <w:sz w:val="21"/>
                <w:szCs w:val="21"/>
              </w:rPr>
              <w:t>β射线吸收法</w:t>
            </w:r>
          </w:p>
        </w:tc>
        <w:tc>
          <w:tcPr>
            <w:tcW w:w="1561" w:type="pct"/>
            <w:tcBorders>
              <w:right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639"/>
              <w:jc w:val="both"/>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eastAsia" w:ascii="仿宋" w:hAnsi="仿宋" w:eastAsia="仿宋" w:cs="仿宋"/>
                <w:color w:val="auto"/>
                <w:spacing w:val="2"/>
                <w:sz w:val="21"/>
                <w:szCs w:val="21"/>
              </w:rPr>
              <w:t>/T</w:t>
            </w:r>
            <w:r>
              <w:rPr>
                <w:rFonts w:hint="eastAsia" w:ascii="仿宋" w:hAnsi="仿宋" w:eastAsia="仿宋" w:cs="仿宋"/>
                <w:color w:val="auto"/>
                <w:spacing w:val="30"/>
                <w:sz w:val="21"/>
                <w:szCs w:val="21"/>
              </w:rPr>
              <w:t xml:space="preserve"> </w:t>
            </w:r>
            <w:r>
              <w:rPr>
                <w:rFonts w:hint="eastAsia" w:ascii="仿宋" w:hAnsi="仿宋" w:eastAsia="仿宋" w:cs="仿宋"/>
                <w:color w:val="auto"/>
                <w:spacing w:val="2"/>
                <w:sz w:val="21"/>
                <w:szCs w:val="21"/>
              </w:rPr>
              <w:t>15432-95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exact"/>
        </w:trPr>
        <w:tc>
          <w:tcPr>
            <w:tcW w:w="1226" w:type="pct"/>
            <w:tcBorders>
              <w:left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281"/>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6"/>
                <w:sz w:val="21"/>
                <w:szCs w:val="21"/>
              </w:rPr>
              <w:t>可吸入颗粒物</w:t>
            </w:r>
          </w:p>
        </w:tc>
        <w:tc>
          <w:tcPr>
            <w:tcW w:w="221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1341"/>
              <w:jc w:val="both"/>
              <w:textAlignment w:val="baseline"/>
              <w:rPr>
                <w:rFonts w:hint="eastAsia" w:ascii="仿宋" w:hAnsi="仿宋" w:eastAsia="仿宋" w:cs="仿宋"/>
                <w:color w:val="auto"/>
                <w:sz w:val="21"/>
                <w:szCs w:val="21"/>
              </w:rPr>
            </w:pPr>
            <w:r>
              <w:rPr>
                <w:rFonts w:hint="eastAsia" w:ascii="仿宋" w:hAnsi="仿宋" w:eastAsia="仿宋" w:cs="仿宋"/>
                <w:color w:val="auto"/>
                <w:spacing w:val="7"/>
                <w:sz w:val="21"/>
                <w:szCs w:val="21"/>
              </w:rPr>
              <w:t>微量振荡天平法</w:t>
            </w:r>
          </w:p>
        </w:tc>
        <w:tc>
          <w:tcPr>
            <w:tcW w:w="1561" w:type="pct"/>
            <w:tcBorders>
              <w:right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807"/>
              <w:jc w:val="both"/>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eastAsia" w:ascii="仿宋" w:hAnsi="仿宋" w:eastAsia="仿宋" w:cs="仿宋"/>
                <w:color w:val="auto"/>
                <w:spacing w:val="5"/>
                <w:sz w:val="21"/>
                <w:szCs w:val="21"/>
              </w:rPr>
              <w:t>6921-86</w:t>
            </w:r>
          </w:p>
        </w:tc>
      </w:tr>
    </w:tbl>
    <w:p>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outlineLvl w:val="9"/>
        <w:rPr>
          <w:rFonts w:hint="eastAsia" w:ascii="仿宋_GB2312" w:hAnsi="仿宋_GB2312" w:eastAsia="仿宋_GB2312" w:cs="仿宋_GB2312"/>
          <w:b/>
          <w:bCs/>
          <w:i w:val="0"/>
          <w:iCs w:val="0"/>
          <w:caps w:val="0"/>
          <w:color w:val="auto"/>
          <w:spacing w:val="0"/>
          <w:sz w:val="32"/>
          <w:szCs w:val="32"/>
        </w:rPr>
      </w:pPr>
      <w:bookmarkStart w:id="37" w:name="bookmark40"/>
      <w:bookmarkEnd w:id="37"/>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2"/>
        <w:rPr>
          <w:rFonts w:hint="eastAsia" w:ascii="仿宋_GB2312" w:hAnsi="仿宋_GB2312" w:eastAsia="仿宋_GB2312" w:cs="仿宋_GB2312"/>
          <w:b/>
          <w:bCs/>
          <w:i w:val="0"/>
          <w:iCs w:val="0"/>
          <w:caps w:val="0"/>
          <w:color w:val="auto"/>
          <w:spacing w:val="0"/>
          <w:sz w:val="32"/>
          <w:szCs w:val="32"/>
          <w:lang w:val="en-US" w:eastAsia="zh-CN"/>
        </w:rPr>
      </w:pPr>
      <w:bookmarkStart w:id="38" w:name="_Toc23180"/>
      <w:bookmarkStart w:id="39" w:name="_Toc12580"/>
      <w:r>
        <w:rPr>
          <w:rFonts w:hint="eastAsia" w:ascii="仿宋_GB2312" w:hAnsi="仿宋_GB2312" w:eastAsia="仿宋_GB2312" w:cs="仿宋_GB2312"/>
          <w:b/>
          <w:bCs/>
          <w:i w:val="0"/>
          <w:iCs w:val="0"/>
          <w:caps w:val="0"/>
          <w:color w:val="auto"/>
          <w:spacing w:val="0"/>
          <w:sz w:val="32"/>
          <w:szCs w:val="32"/>
          <w:lang w:val="en-US" w:eastAsia="zh-CN"/>
        </w:rPr>
        <w:t>2.2.2监测结果</w:t>
      </w:r>
      <w:bookmarkEnd w:id="38"/>
      <w:bookmarkEnd w:id="39"/>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20</w:t>
      </w:r>
      <w:r>
        <w:rPr>
          <w:rFonts w:hint="eastAsia" w:ascii="仿宋_GB2312" w:hAnsi="仿宋_GB2312" w:eastAsia="仿宋_GB2312" w:cs="仿宋_GB2312"/>
          <w:i w:val="0"/>
          <w:iCs w:val="0"/>
          <w:caps w:val="0"/>
          <w:color w:val="auto"/>
          <w:spacing w:val="0"/>
          <w:sz w:val="32"/>
          <w:szCs w:val="32"/>
          <w:lang w:val="en-US" w:eastAsia="zh-CN"/>
        </w:rPr>
        <w:t>21—</w:t>
      </w:r>
      <w:r>
        <w:rPr>
          <w:rFonts w:hint="eastAsia" w:ascii="仿宋_GB2312" w:hAnsi="仿宋_GB2312" w:eastAsia="仿宋_GB2312" w:cs="仿宋_GB2312"/>
          <w:i w:val="0"/>
          <w:iCs w:val="0"/>
          <w:caps w:val="0"/>
          <w:color w:val="auto"/>
          <w:spacing w:val="0"/>
          <w:sz w:val="32"/>
          <w:szCs w:val="32"/>
        </w:rPr>
        <w:t>202</w:t>
      </w:r>
      <w:r>
        <w:rPr>
          <w:rFonts w:hint="eastAsia" w:ascii="仿宋_GB2312" w:hAnsi="仿宋_GB2312" w:eastAsia="仿宋_GB2312" w:cs="仿宋_GB2312"/>
          <w:i w:val="0"/>
          <w:iCs w:val="0"/>
          <w:caps w:val="0"/>
          <w:color w:val="auto"/>
          <w:spacing w:val="0"/>
          <w:sz w:val="32"/>
          <w:szCs w:val="32"/>
          <w:lang w:val="en-US" w:eastAsia="zh-CN"/>
        </w:rPr>
        <w:t>5</w:t>
      </w:r>
      <w:r>
        <w:rPr>
          <w:rFonts w:hint="eastAsia" w:ascii="仿宋_GB2312" w:hAnsi="仿宋_GB2312" w:eastAsia="仿宋_GB2312" w:cs="仿宋_GB2312"/>
          <w:i w:val="0"/>
          <w:iCs w:val="0"/>
          <w:caps w:val="0"/>
          <w:color w:val="auto"/>
          <w:spacing w:val="0"/>
          <w:sz w:val="32"/>
          <w:szCs w:val="32"/>
        </w:rPr>
        <w:t>年</w:t>
      </w:r>
      <w:r>
        <w:rPr>
          <w:rFonts w:hint="eastAsia" w:ascii="仿宋_GB2312" w:hAnsi="仿宋_GB2312" w:eastAsia="仿宋_GB2312" w:cs="仿宋_GB2312"/>
          <w:i w:val="0"/>
          <w:iCs w:val="0"/>
          <w:caps w:val="0"/>
          <w:color w:val="auto"/>
          <w:spacing w:val="0"/>
          <w:sz w:val="32"/>
          <w:szCs w:val="32"/>
          <w:lang w:val="en-US" w:eastAsia="zh-CN"/>
        </w:rPr>
        <w:t>高台县</w:t>
      </w:r>
      <w:r>
        <w:rPr>
          <w:rFonts w:hint="eastAsia" w:ascii="仿宋_GB2312" w:hAnsi="仿宋_GB2312" w:eastAsia="仿宋_GB2312" w:cs="仿宋_GB2312"/>
          <w:i w:val="0"/>
          <w:iCs w:val="0"/>
          <w:caps w:val="0"/>
          <w:color w:val="auto"/>
          <w:spacing w:val="0"/>
          <w:sz w:val="32"/>
          <w:szCs w:val="32"/>
        </w:rPr>
        <w:t>共发生沙尘天气</w:t>
      </w:r>
      <w:r>
        <w:rPr>
          <w:rFonts w:hint="eastAsia" w:ascii="仿宋_GB2312" w:hAnsi="仿宋_GB2312" w:eastAsia="仿宋_GB2312" w:cs="仿宋_GB2312"/>
          <w:i w:val="0"/>
          <w:iCs w:val="0"/>
          <w:caps w:val="0"/>
          <w:color w:val="auto"/>
          <w:spacing w:val="0"/>
          <w:sz w:val="32"/>
          <w:szCs w:val="32"/>
          <w:lang w:val="en-US" w:eastAsia="zh-CN"/>
        </w:rPr>
        <w:t>667天</w:t>
      </w:r>
      <w:r>
        <w:rPr>
          <w:rFonts w:hint="eastAsia" w:ascii="仿宋_GB2312" w:hAnsi="仿宋_GB2312" w:eastAsia="仿宋_GB2312" w:cs="仿宋_GB2312"/>
          <w:i w:val="0"/>
          <w:iCs w:val="0"/>
          <w:caps w:val="0"/>
          <w:color w:val="auto"/>
          <w:spacing w:val="0"/>
          <w:sz w:val="32"/>
          <w:szCs w:val="32"/>
        </w:rPr>
        <w:t>，沙尘发生次数最多的是</w:t>
      </w:r>
      <w:r>
        <w:rPr>
          <w:rFonts w:hint="eastAsia" w:ascii="仿宋_GB2312" w:hAnsi="仿宋_GB2312" w:eastAsia="仿宋_GB2312" w:cs="仿宋_GB2312"/>
          <w:i w:val="0"/>
          <w:iCs w:val="0"/>
          <w:caps w:val="0"/>
          <w:color w:val="auto"/>
          <w:spacing w:val="0"/>
          <w:sz w:val="32"/>
          <w:szCs w:val="32"/>
          <w:lang w:val="en-US" w:eastAsia="zh-CN"/>
        </w:rPr>
        <w:t>2023</w:t>
      </w:r>
      <w:r>
        <w:rPr>
          <w:rFonts w:hint="eastAsia" w:ascii="仿宋_GB2312" w:hAnsi="仿宋_GB2312" w:eastAsia="仿宋_GB2312" w:cs="仿宋_GB2312"/>
          <w:i w:val="0"/>
          <w:iCs w:val="0"/>
          <w:caps w:val="0"/>
          <w:color w:val="auto"/>
          <w:spacing w:val="0"/>
          <w:sz w:val="32"/>
          <w:szCs w:val="32"/>
        </w:rPr>
        <w:t>年，发生</w:t>
      </w:r>
      <w:r>
        <w:rPr>
          <w:rFonts w:hint="eastAsia" w:ascii="仿宋_GB2312" w:hAnsi="仿宋_GB2312" w:eastAsia="仿宋_GB2312" w:cs="仿宋_GB2312"/>
          <w:i w:val="0"/>
          <w:iCs w:val="0"/>
          <w:caps w:val="0"/>
          <w:color w:val="auto"/>
          <w:spacing w:val="0"/>
          <w:sz w:val="32"/>
          <w:szCs w:val="32"/>
          <w:lang w:val="en-US" w:eastAsia="zh-CN"/>
        </w:rPr>
        <w:t>177</w:t>
      </w:r>
      <w:r>
        <w:rPr>
          <w:rFonts w:hint="eastAsia" w:ascii="仿宋_GB2312" w:hAnsi="仿宋_GB2312" w:eastAsia="仿宋_GB2312" w:cs="仿宋_GB2312"/>
          <w:i w:val="0"/>
          <w:iCs w:val="0"/>
          <w:caps w:val="0"/>
          <w:color w:val="auto"/>
          <w:spacing w:val="0"/>
          <w:sz w:val="32"/>
          <w:szCs w:val="32"/>
        </w:rPr>
        <w:t>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center"/>
        <w:textAlignment w:val="auto"/>
        <w:rPr>
          <w:rFonts w:hint="eastAsia" w:ascii="黑体" w:hAnsi="黑体" w:eastAsia="黑体" w:cs="黑体"/>
          <w:i w:val="0"/>
          <w:iCs w:val="0"/>
          <w:caps w:val="0"/>
          <w:color w:val="auto"/>
          <w:spacing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center"/>
        <w:textAlignment w:val="auto"/>
        <w:rPr>
          <w:rFonts w:hint="eastAsia" w:ascii="黑体" w:hAnsi="黑体" w:eastAsia="黑体" w:cs="黑体"/>
          <w:i w:val="0"/>
          <w:iCs w:val="0"/>
          <w:caps w:val="0"/>
          <w:color w:val="auto"/>
          <w:spacing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center"/>
        <w:textAlignment w:val="auto"/>
        <w:rPr>
          <w:rFonts w:hint="eastAsia" w:ascii="黑体" w:hAnsi="黑体" w:eastAsia="黑体" w:cs="黑体"/>
          <w:i w:val="0"/>
          <w:iCs w:val="0"/>
          <w:caps w:val="0"/>
          <w:color w:val="auto"/>
          <w:spacing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center"/>
        <w:textAlignment w:val="auto"/>
        <w:rPr>
          <w:rFonts w:hint="eastAsia" w:ascii="黑体" w:hAnsi="黑体" w:eastAsia="黑体" w:cs="黑体"/>
          <w:i w:val="0"/>
          <w:iCs w:val="0"/>
          <w:caps w:val="0"/>
          <w:color w:val="auto"/>
          <w:spacing w:val="0"/>
          <w:sz w:val="24"/>
          <w:szCs w:val="24"/>
          <w:lang w:val="en-US" w:eastAsia="zh-CN"/>
        </w:rPr>
      </w:pPr>
      <w:r>
        <w:rPr>
          <w:rFonts w:hint="eastAsia" w:ascii="黑体" w:hAnsi="黑体" w:eastAsia="黑体" w:cs="黑体"/>
          <w:i w:val="0"/>
          <w:iCs w:val="0"/>
          <w:caps w:val="0"/>
          <w:color w:val="auto"/>
          <w:spacing w:val="0"/>
          <w:sz w:val="24"/>
          <w:szCs w:val="24"/>
          <w:lang w:val="en-US" w:eastAsia="zh-CN"/>
        </w:rPr>
        <w:t>表2-2 2021—2025年沙尘天数年统计表</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2" w:firstLineChars="200"/>
        <w:jc w:val="left"/>
        <w:textAlignment w:val="auto"/>
        <w:rPr>
          <w:rFonts w:hint="default"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b/>
          <w:bCs/>
          <w:i w:val="0"/>
          <w:iCs w:val="0"/>
          <w:caps w:val="0"/>
          <w:color w:val="auto"/>
          <w:spacing w:val="0"/>
          <w:sz w:val="32"/>
          <w:szCs w:val="32"/>
          <w:lang w:val="en-US" w:eastAsia="zh-CN"/>
        </w:rPr>
        <w:drawing>
          <wp:anchor distT="0" distB="0" distL="114300" distR="114300" simplePos="0" relativeHeight="251659264" behindDoc="1" locked="0" layoutInCell="1" allowOverlap="1">
            <wp:simplePos x="0" y="0"/>
            <wp:positionH relativeFrom="column">
              <wp:posOffset>-41910</wp:posOffset>
            </wp:positionH>
            <wp:positionV relativeFrom="paragraph">
              <wp:posOffset>2485390</wp:posOffset>
            </wp:positionV>
            <wp:extent cx="5664200" cy="2605405"/>
            <wp:effectExtent l="0" t="0" r="0" b="10795"/>
            <wp:wrapTight wrapText="bothSides">
              <wp:wrapPolygon>
                <wp:start x="0" y="0"/>
                <wp:lineTo x="0" y="21479"/>
                <wp:lineTo x="21552" y="21479"/>
                <wp:lineTo x="21552" y="0"/>
                <wp:lineTo x="0" y="0"/>
              </wp:wrapPolygon>
            </wp:wrapTight>
            <wp:docPr id="3" name="图片 3" descr="按月分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按月分析"/>
                    <pic:cNvPicPr>
                      <a:picLocks noChangeAspect="true"/>
                    </pic:cNvPicPr>
                  </pic:nvPicPr>
                  <pic:blipFill>
                    <a:blip r:embed="rId8"/>
                    <a:stretch>
                      <a:fillRect/>
                    </a:stretch>
                  </pic:blipFill>
                  <pic:spPr>
                    <a:xfrm>
                      <a:off x="0" y="0"/>
                      <a:ext cx="5664200" cy="2605405"/>
                    </a:xfrm>
                    <a:prstGeom prst="rect">
                      <a:avLst/>
                    </a:prstGeom>
                  </pic:spPr>
                </pic:pic>
              </a:graphicData>
            </a:graphic>
          </wp:anchor>
        </w:drawing>
      </w:r>
      <w:r>
        <w:rPr>
          <w:rFonts w:hint="eastAsia" w:eastAsia="楷体"/>
          <w:color w:val="auto"/>
          <w:lang w:eastAsia="zh-CN"/>
        </w:rPr>
        <w:drawing>
          <wp:anchor distT="0" distB="0" distL="114300" distR="114300" simplePos="0" relativeHeight="251660288" behindDoc="0" locked="0" layoutInCell="1" allowOverlap="1">
            <wp:simplePos x="0" y="0"/>
            <wp:positionH relativeFrom="column">
              <wp:posOffset>22860</wp:posOffset>
            </wp:positionH>
            <wp:positionV relativeFrom="paragraph">
              <wp:posOffset>103505</wp:posOffset>
            </wp:positionV>
            <wp:extent cx="5610860" cy="2193925"/>
            <wp:effectExtent l="0" t="0" r="12700" b="635"/>
            <wp:wrapSquare wrapText="bothSides"/>
            <wp:docPr id="1" name="图片 1" descr="沙尘天气"/>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沙尘天气"/>
                    <pic:cNvPicPr>
                      <a:picLocks noChangeAspect="true"/>
                    </pic:cNvPicPr>
                  </pic:nvPicPr>
                  <pic:blipFill>
                    <a:blip r:embed="rId9"/>
                    <a:stretch>
                      <a:fillRect/>
                    </a:stretch>
                  </pic:blipFill>
                  <pic:spPr>
                    <a:xfrm>
                      <a:off x="0" y="0"/>
                      <a:ext cx="5610860" cy="2193925"/>
                    </a:xfrm>
                    <a:prstGeom prst="rect">
                      <a:avLst/>
                    </a:prstGeom>
                  </pic:spPr>
                </pic:pic>
              </a:graphicData>
            </a:graphic>
          </wp:anchor>
        </w:drawing>
      </w:r>
      <w:r>
        <w:rPr>
          <w:rFonts w:hint="default" w:ascii="仿宋_GB2312" w:hAnsi="仿宋_GB2312" w:eastAsia="仿宋_GB2312" w:cs="仿宋_GB2312"/>
          <w:i w:val="0"/>
          <w:iCs w:val="0"/>
          <w:caps w:val="0"/>
          <w:color w:val="auto"/>
          <w:spacing w:val="0"/>
          <w:sz w:val="32"/>
          <w:szCs w:val="32"/>
          <w:lang w:val="en-US" w:eastAsia="zh-CN"/>
        </w:rPr>
        <w:t>2021</w:t>
      </w:r>
      <w:r>
        <w:rPr>
          <w:rFonts w:hint="eastAsia" w:ascii="仿宋_GB2312" w:hAnsi="仿宋_GB2312" w:eastAsia="仿宋_GB2312" w:cs="仿宋_GB2312"/>
          <w:i w:val="0"/>
          <w:iCs w:val="0"/>
          <w:caps w:val="0"/>
          <w:color w:val="auto"/>
          <w:spacing w:val="0"/>
          <w:sz w:val="32"/>
          <w:szCs w:val="32"/>
          <w:lang w:val="en-US" w:eastAsia="zh-CN"/>
        </w:rPr>
        <w:t>—</w:t>
      </w:r>
      <w:r>
        <w:rPr>
          <w:rFonts w:hint="default" w:ascii="仿宋_GB2312" w:hAnsi="仿宋_GB2312" w:eastAsia="仿宋_GB2312" w:cs="仿宋_GB2312"/>
          <w:i w:val="0"/>
          <w:iCs w:val="0"/>
          <w:caps w:val="0"/>
          <w:color w:val="auto"/>
          <w:spacing w:val="0"/>
          <w:sz w:val="32"/>
          <w:szCs w:val="32"/>
          <w:lang w:val="en-US" w:eastAsia="zh-CN"/>
        </w:rPr>
        <w:t>2025年高台县沙尘天气呈现出鲜明的年度波动特征与季节性规律，整体在高位运行中逐步趋稳。从年度总量来看，近五年沙尘总天数呈现“先降后升再回落”的走势，2021年、2022年处于相对平稳的常态化水平；2023年受极端冷空气活动、大风日数偏多等气象因素影响，沙尘天数</w:t>
      </w:r>
      <w:r>
        <w:rPr>
          <w:rFonts w:hint="eastAsia" w:ascii="仿宋_GB2312" w:hAnsi="仿宋_GB2312" w:eastAsia="仿宋_GB2312" w:cs="仿宋_GB2312"/>
          <w:i w:val="0"/>
          <w:iCs w:val="0"/>
          <w:caps w:val="0"/>
          <w:color w:val="auto"/>
          <w:spacing w:val="0"/>
          <w:sz w:val="32"/>
          <w:szCs w:val="32"/>
          <w:lang w:val="en-US" w:eastAsia="zh-CN"/>
        </w:rPr>
        <w:t>升高</w:t>
      </w:r>
      <w:r>
        <w:rPr>
          <w:rFonts w:hint="default" w:ascii="仿宋_GB2312" w:hAnsi="仿宋_GB2312" w:eastAsia="仿宋_GB2312" w:cs="仿宋_GB2312"/>
          <w:i w:val="0"/>
          <w:iCs w:val="0"/>
          <w:caps w:val="0"/>
          <w:color w:val="auto"/>
          <w:spacing w:val="0"/>
          <w:sz w:val="32"/>
          <w:szCs w:val="32"/>
          <w:lang w:val="en-US" w:eastAsia="zh-CN"/>
        </w:rPr>
        <w:t>，达到近五年峰值，本地起沙与外源输入的叠加效应凸显；2024年沙尘天数回落，</w:t>
      </w:r>
      <w:r>
        <w:rPr>
          <w:rFonts w:hint="eastAsia" w:ascii="仿宋_GB2312" w:hAnsi="仿宋_GB2312" w:eastAsia="仿宋_GB2312" w:cs="仿宋_GB2312"/>
          <w:i w:val="0"/>
          <w:iCs w:val="0"/>
          <w:caps w:val="0"/>
          <w:color w:val="auto"/>
          <w:spacing w:val="0"/>
          <w:sz w:val="32"/>
          <w:szCs w:val="32"/>
          <w:lang w:val="en-US" w:eastAsia="zh-CN"/>
        </w:rPr>
        <w:t>但</w:t>
      </w:r>
      <w:r>
        <w:rPr>
          <w:rFonts w:hint="default" w:ascii="仿宋_GB2312" w:hAnsi="仿宋_GB2312" w:eastAsia="仿宋_GB2312" w:cs="仿宋_GB2312"/>
          <w:i w:val="0"/>
          <w:iCs w:val="0"/>
          <w:caps w:val="0"/>
          <w:color w:val="auto"/>
          <w:spacing w:val="0"/>
          <w:sz w:val="32"/>
          <w:szCs w:val="32"/>
          <w:lang w:val="en-US" w:eastAsia="zh-CN"/>
        </w:rPr>
        <w:t>虽仍</w:t>
      </w:r>
      <w:r>
        <w:rPr>
          <w:rFonts w:hint="eastAsia" w:ascii="仿宋_GB2312" w:hAnsi="仿宋_GB2312" w:eastAsia="仿宋_GB2312" w:cs="仿宋_GB2312"/>
          <w:i w:val="0"/>
          <w:iCs w:val="0"/>
          <w:caps w:val="0"/>
          <w:color w:val="auto"/>
          <w:spacing w:val="0"/>
          <w:sz w:val="32"/>
          <w:szCs w:val="32"/>
          <w:lang w:val="en-US" w:eastAsia="zh-CN"/>
        </w:rPr>
        <w:t>处于</w:t>
      </w:r>
      <w:r>
        <w:rPr>
          <w:rFonts w:hint="default" w:ascii="仿宋_GB2312" w:hAnsi="仿宋_GB2312" w:eastAsia="仿宋_GB2312" w:cs="仿宋_GB2312"/>
          <w:i w:val="0"/>
          <w:iCs w:val="0"/>
          <w:caps w:val="0"/>
          <w:color w:val="auto"/>
          <w:spacing w:val="0"/>
          <w:sz w:val="32"/>
          <w:szCs w:val="32"/>
          <w:lang w:val="en-US" w:eastAsia="zh-CN"/>
        </w:rPr>
        <w:t>高位但较峰值有所缓解，2025年基本回归</w:t>
      </w:r>
      <w:r>
        <w:rPr>
          <w:rFonts w:hint="eastAsia" w:ascii="仿宋_GB2312" w:hAnsi="仿宋_GB2312" w:eastAsia="仿宋_GB2312" w:cs="仿宋_GB2312"/>
          <w:i w:val="0"/>
          <w:iCs w:val="0"/>
          <w:caps w:val="0"/>
          <w:color w:val="auto"/>
          <w:spacing w:val="0"/>
          <w:sz w:val="32"/>
          <w:szCs w:val="32"/>
          <w:lang w:val="en-US" w:eastAsia="zh-CN"/>
        </w:rPr>
        <w:t>至</w:t>
      </w:r>
      <w:r>
        <w:rPr>
          <w:rFonts w:hint="default" w:ascii="仿宋_GB2312" w:hAnsi="仿宋_GB2312" w:eastAsia="仿宋_GB2312" w:cs="仿宋_GB2312"/>
          <w:i w:val="0"/>
          <w:iCs w:val="0"/>
          <w:caps w:val="0"/>
          <w:color w:val="auto"/>
          <w:spacing w:val="0"/>
          <w:sz w:val="32"/>
          <w:szCs w:val="32"/>
          <w:lang w:val="en-US" w:eastAsia="zh-CN"/>
        </w:rPr>
        <w:t>2021-2022 年的常态水平。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i w:val="0"/>
          <w:iCs w:val="0"/>
          <w:caps w:val="0"/>
          <w:color w:val="auto"/>
          <w:spacing w:val="0"/>
          <w:sz w:val="32"/>
          <w:szCs w:val="32"/>
          <w:lang w:val="en-US" w:eastAsia="zh-CN"/>
        </w:rPr>
      </w:pPr>
      <w:r>
        <w:rPr>
          <w:rFonts w:hint="default" w:ascii="仿宋_GB2312" w:hAnsi="仿宋_GB2312" w:eastAsia="仿宋_GB2312" w:cs="仿宋_GB2312"/>
          <w:i w:val="0"/>
          <w:iCs w:val="0"/>
          <w:caps w:val="0"/>
          <w:color w:val="auto"/>
          <w:spacing w:val="0"/>
          <w:sz w:val="32"/>
          <w:szCs w:val="32"/>
          <w:lang w:val="en-US" w:eastAsia="zh-CN"/>
        </w:rPr>
        <w:t>从月度分布来看，沙尘天气的时间集中度极高，呈现出典型的“春冬主导、夏季平缓”的季节性特征。每年3</w:t>
      </w:r>
      <w:r>
        <w:rPr>
          <w:rFonts w:hint="eastAsia" w:ascii="仿宋_GB2312" w:hAnsi="仿宋_GB2312" w:eastAsia="仿宋_GB2312" w:cs="仿宋_GB2312"/>
          <w:i w:val="0"/>
          <w:iCs w:val="0"/>
          <w:caps w:val="0"/>
          <w:color w:val="auto"/>
          <w:spacing w:val="0"/>
          <w:sz w:val="32"/>
          <w:szCs w:val="32"/>
          <w:lang w:val="en-US" w:eastAsia="zh-CN"/>
        </w:rPr>
        <w:t>—</w:t>
      </w:r>
      <w:r>
        <w:rPr>
          <w:rFonts w:hint="default" w:ascii="仿宋_GB2312" w:hAnsi="仿宋_GB2312" w:eastAsia="仿宋_GB2312" w:cs="仿宋_GB2312"/>
          <w:i w:val="0"/>
          <w:iCs w:val="0"/>
          <w:caps w:val="0"/>
          <w:color w:val="auto"/>
          <w:spacing w:val="0"/>
          <w:sz w:val="32"/>
          <w:szCs w:val="32"/>
          <w:lang w:val="en-US" w:eastAsia="zh-CN"/>
        </w:rPr>
        <w:t>5月是沙尘天气的绝对高发期，其中3月更是全年沙尘最活跃的时段，是沙尘防控的核心窗口期；10月至次年2月为次高发时段，秋冬季节的大风天气也会带来一定频次的沙尘，11月、12月及1月均有明显的沙尘过程；而6-9月受植被覆盖度提升、降水相对集中、大风干扰减少等因素影响，沙尘发生频次大幅降低，是全年沙尘影响最轻微的时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i w:val="0"/>
          <w:iCs w:val="0"/>
          <w:caps w:val="0"/>
          <w:color w:val="auto"/>
          <w:spacing w:val="0"/>
          <w:sz w:val="32"/>
          <w:szCs w:val="32"/>
          <w:lang w:val="en-US" w:eastAsia="zh-CN"/>
        </w:rPr>
        <w:t>整体而言，高台县作为河西走廊中部的沙尘通道区域，近五年沙尘天气以2023年为关键转折点，在极端气候扰动下经历了峰值冲击后，通过系统性生态治理实现了沙尘天数的稳步回落，治理成效逐步显现。但同时也要看到，县域沙尘受外源输入与本地起沙双重影响，跨境、跨区域输送的沙尘威胁始终存在，且春冬两季的高发态势未发生根本改变，后续仍需持续强化防风固沙生态屏障建设，完善沙尘监测预警与跨区域联防联控机制，巩固治理成效，持续降低沙尘对县域环境与民生的影响。</w:t>
      </w:r>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4" w:line="500" w:lineRule="exact"/>
        <w:ind w:firstLine="642" w:firstLineChars="200"/>
        <w:textAlignment w:val="baseline"/>
        <w:outlineLvl w:val="1"/>
        <w:rPr>
          <w:rFonts w:hint="eastAsia" w:ascii="仿宋_GB2312" w:hAnsi="仿宋_GB2312" w:eastAsia="仿宋_GB2312" w:cs="仿宋_GB2312"/>
          <w:b/>
          <w:bCs/>
          <w:color w:val="auto"/>
          <w:spacing w:val="-2"/>
          <w:sz w:val="32"/>
          <w:szCs w:val="32"/>
        </w:rPr>
      </w:pPr>
      <w:bookmarkStart w:id="40" w:name="_Toc15049"/>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fldChar w:fldCharType="begin"/>
      </w:r>
      <w:r>
        <w:rPr>
          <w:rFonts w:hint="eastAsia" w:ascii="仿宋_GB2312" w:hAnsi="仿宋_GB2312" w:eastAsia="仿宋_GB2312" w:cs="仿宋_GB2312"/>
          <w:b/>
          <w:bCs/>
          <w:color w:val="auto"/>
          <w:sz w:val="32"/>
          <w:szCs w:val="32"/>
        </w:rPr>
        <w:instrText xml:space="preserve"> HYPERLINK \l "bookmark40" </w:instrText>
      </w:r>
      <w:r>
        <w:rPr>
          <w:rFonts w:hint="eastAsia" w:ascii="仿宋_GB2312" w:hAnsi="仿宋_GB2312" w:eastAsia="仿宋_GB2312" w:cs="仿宋_GB2312"/>
          <w:b/>
          <w:bCs/>
          <w:color w:val="auto"/>
          <w:sz w:val="32"/>
          <w:szCs w:val="32"/>
        </w:rPr>
        <w:fldChar w:fldCharType="separate"/>
      </w:r>
      <w:r>
        <w:rPr>
          <w:rFonts w:hint="eastAsia" w:ascii="仿宋_GB2312" w:hAnsi="仿宋_GB2312" w:eastAsia="仿宋_GB2312" w:cs="仿宋_GB2312"/>
          <w:b/>
          <w:bCs/>
          <w:color w:val="auto"/>
          <w:spacing w:val="6"/>
          <w:sz w:val="32"/>
          <w:szCs w:val="32"/>
          <w:lang w:val="en-US" w:eastAsia="zh-CN"/>
        </w:rPr>
        <w:t>3</w:t>
      </w:r>
      <w:r>
        <w:rPr>
          <w:rFonts w:hint="eastAsia" w:ascii="仿宋_GB2312" w:hAnsi="仿宋_GB2312" w:eastAsia="仿宋_GB2312" w:cs="仿宋_GB2312"/>
          <w:b/>
          <w:bCs/>
          <w:color w:val="auto"/>
          <w:spacing w:val="6"/>
          <w:sz w:val="32"/>
          <w:szCs w:val="32"/>
        </w:rPr>
        <w:t>水环境质量</w:t>
      </w:r>
      <w:r>
        <w:rPr>
          <w:rFonts w:hint="eastAsia" w:ascii="仿宋_GB2312" w:hAnsi="仿宋_GB2312" w:eastAsia="仿宋_GB2312" w:cs="仿宋_GB2312"/>
          <w:b/>
          <w:bCs/>
          <w:color w:val="auto"/>
          <w:spacing w:val="-50"/>
          <w:sz w:val="32"/>
          <w:szCs w:val="32"/>
        </w:rPr>
        <w:t xml:space="preserve"> </w:t>
      </w:r>
      <w:r>
        <w:rPr>
          <w:rFonts w:hint="eastAsia" w:ascii="仿宋_GB2312" w:hAnsi="仿宋_GB2312" w:eastAsia="仿宋_GB2312" w:cs="仿宋_GB2312"/>
          <w:b/>
          <w:bCs/>
          <w:color w:val="auto"/>
          <w:spacing w:val="-2"/>
          <w:sz w:val="32"/>
          <w:szCs w:val="32"/>
        </w:rPr>
        <w:fldChar w:fldCharType="end"/>
      </w:r>
      <w:bookmarkEnd w:id="40"/>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4" w:line="500" w:lineRule="exact"/>
        <w:ind w:firstLine="642" w:firstLineChars="200"/>
        <w:textAlignment w:val="baseline"/>
        <w:outlineLvl w:val="2"/>
        <w:rPr>
          <w:rFonts w:hint="eastAsia" w:ascii="仿宋_GB2312" w:hAnsi="仿宋_GB2312" w:eastAsia="仿宋_GB2312" w:cs="仿宋_GB2312"/>
          <w:b/>
          <w:bCs/>
          <w:color w:val="auto"/>
          <w:spacing w:val="-2"/>
          <w:sz w:val="32"/>
          <w:szCs w:val="32"/>
        </w:rPr>
      </w:pPr>
      <w:bookmarkStart w:id="41" w:name="_Toc32142"/>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fldChar w:fldCharType="begin"/>
      </w:r>
      <w:r>
        <w:rPr>
          <w:rFonts w:hint="eastAsia" w:ascii="仿宋_GB2312" w:hAnsi="仿宋_GB2312" w:eastAsia="仿宋_GB2312" w:cs="仿宋_GB2312"/>
          <w:b/>
          <w:bCs/>
          <w:color w:val="auto"/>
          <w:sz w:val="32"/>
          <w:szCs w:val="32"/>
        </w:rPr>
        <w:instrText xml:space="preserve"> HYPERLINK \l "bookmark41" </w:instrText>
      </w:r>
      <w:r>
        <w:rPr>
          <w:rFonts w:hint="eastAsia" w:ascii="仿宋_GB2312" w:hAnsi="仿宋_GB2312" w:eastAsia="仿宋_GB2312" w:cs="仿宋_GB2312"/>
          <w:b/>
          <w:bCs/>
          <w:color w:val="auto"/>
          <w:sz w:val="32"/>
          <w:szCs w:val="32"/>
        </w:rPr>
        <w:fldChar w:fldCharType="separate"/>
      </w:r>
      <w:r>
        <w:rPr>
          <w:rFonts w:hint="eastAsia" w:ascii="仿宋_GB2312" w:hAnsi="仿宋_GB2312" w:eastAsia="仿宋_GB2312" w:cs="仿宋_GB2312"/>
          <w:b/>
          <w:bCs/>
          <w:color w:val="auto"/>
          <w:spacing w:val="2"/>
          <w:sz w:val="32"/>
          <w:szCs w:val="32"/>
          <w:lang w:val="en-US" w:eastAsia="zh-CN"/>
        </w:rPr>
        <w:t>3</w:t>
      </w:r>
      <w:r>
        <w:rPr>
          <w:rFonts w:hint="eastAsia" w:ascii="仿宋_GB2312" w:hAnsi="仿宋_GB2312" w:eastAsia="仿宋_GB2312" w:cs="仿宋_GB2312"/>
          <w:b/>
          <w:bCs/>
          <w:color w:val="auto"/>
          <w:spacing w:val="2"/>
          <w:sz w:val="32"/>
          <w:szCs w:val="32"/>
        </w:rPr>
        <w:t>.1</w:t>
      </w:r>
      <w:r>
        <w:rPr>
          <w:rFonts w:hint="eastAsia" w:ascii="仿宋_GB2312" w:hAnsi="仿宋_GB2312" w:eastAsia="仿宋_GB2312" w:cs="仿宋_GB2312"/>
          <w:b/>
          <w:bCs/>
          <w:color w:val="auto"/>
          <w:spacing w:val="2"/>
          <w:sz w:val="32"/>
          <w:szCs w:val="32"/>
          <w:lang w:eastAsia="zh-CN"/>
        </w:rPr>
        <w:t>地表水</w:t>
      </w:r>
      <w:r>
        <w:rPr>
          <w:rFonts w:hint="eastAsia" w:ascii="仿宋_GB2312" w:hAnsi="仿宋_GB2312" w:eastAsia="仿宋_GB2312" w:cs="仿宋_GB2312"/>
          <w:b/>
          <w:bCs/>
          <w:color w:val="auto"/>
          <w:spacing w:val="-56"/>
          <w:sz w:val="32"/>
          <w:szCs w:val="32"/>
        </w:rPr>
        <w:t xml:space="preserve"> </w:t>
      </w:r>
      <w:r>
        <w:rPr>
          <w:rFonts w:hint="eastAsia" w:ascii="仿宋_GB2312" w:hAnsi="仿宋_GB2312" w:eastAsia="仿宋_GB2312" w:cs="仿宋_GB2312"/>
          <w:b/>
          <w:bCs/>
          <w:color w:val="auto"/>
          <w:spacing w:val="-48"/>
          <w:sz w:val="32"/>
          <w:szCs w:val="32"/>
        </w:rPr>
        <w:t xml:space="preserve"> </w:t>
      </w:r>
      <w:r>
        <w:rPr>
          <w:rFonts w:hint="eastAsia" w:ascii="仿宋_GB2312" w:hAnsi="仿宋_GB2312" w:eastAsia="仿宋_GB2312" w:cs="仿宋_GB2312"/>
          <w:b/>
          <w:bCs/>
          <w:color w:val="auto"/>
          <w:spacing w:val="-2"/>
          <w:sz w:val="32"/>
          <w:szCs w:val="32"/>
        </w:rPr>
        <w:fldChar w:fldCharType="end"/>
      </w:r>
      <w:bookmarkEnd w:id="41"/>
    </w:p>
    <w:p>
      <w:pPr>
        <w:keepNext w:val="0"/>
        <w:keepLines w:val="0"/>
        <w:pageBreakBefore w:val="0"/>
        <w:widowControl w:val="0"/>
        <w:kinsoku/>
        <w:wordWrap w:val="0"/>
        <w:overflowPunct/>
        <w:topLinePunct w:val="0"/>
        <w:autoSpaceDE w:val="0"/>
        <w:autoSpaceDN w:val="0"/>
        <w:bidi w:val="0"/>
        <w:adjustRightInd/>
        <w:snapToGrid/>
        <w:spacing w:line="500" w:lineRule="exact"/>
        <w:ind w:right="0" w:firstLine="640" w:firstLineChars="200"/>
        <w:jc w:val="both"/>
        <w:textAlignment w:val="baseline"/>
        <w:rPr>
          <w:rFonts w:hint="default" w:ascii="宋体" w:hAnsi="宋体" w:eastAsia="宋体" w:cs="宋体"/>
          <w:color w:val="auto"/>
          <w:sz w:val="24"/>
          <w:szCs w:val="24"/>
          <w:lang w:val="en-US" w:eastAsia="zh-CN"/>
        </w:rPr>
      </w:pPr>
      <w:r>
        <w:rPr>
          <w:rFonts w:hint="eastAsia" w:ascii="仿宋_GB2312" w:hAnsi="仿宋_GB2312" w:eastAsia="仿宋_GB2312" w:cs="仿宋_GB2312"/>
          <w:color w:val="auto"/>
          <w:sz w:val="32"/>
          <w:szCs w:val="32"/>
        </w:rPr>
        <w:t>我县跨界考核断面为六坝桥断面、正义峡断面，属于国</w:t>
      </w:r>
      <w:r>
        <w:rPr>
          <w:rFonts w:hint="eastAsia" w:ascii="仿宋_GB2312" w:hAnsi="仿宋_GB2312" w:eastAsia="仿宋_GB2312" w:cs="仿宋_GB2312"/>
          <w:color w:val="auto"/>
          <w:sz w:val="32"/>
          <w:szCs w:val="32"/>
          <w:lang w:eastAsia="zh-CN"/>
        </w:rPr>
        <w:t>控</w:t>
      </w:r>
      <w:r>
        <w:rPr>
          <w:rFonts w:hint="eastAsia" w:ascii="仿宋_GB2312" w:hAnsi="仿宋_GB2312" w:eastAsia="仿宋_GB2312" w:cs="仿宋_GB2312"/>
          <w:color w:val="auto"/>
          <w:sz w:val="32"/>
          <w:szCs w:val="32"/>
        </w:rPr>
        <w:t>断面</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val="0"/>
        <w:overflowPunct/>
        <w:topLinePunct w:val="0"/>
        <w:autoSpaceDE w:val="0"/>
        <w:autoSpaceDN w:val="0"/>
        <w:bidi w:val="0"/>
        <w:spacing w:before="131" w:line="500" w:lineRule="exact"/>
        <w:ind w:left="1392" w:firstLine="473" w:firstLineChars="200"/>
        <w:rPr>
          <w:rFonts w:hint="eastAsia" w:ascii="仿宋_GB2312" w:hAnsi="仿宋_GB2312" w:eastAsia="仿宋_GB2312" w:cs="仿宋_GB2312"/>
          <w:b/>
          <w:bCs/>
          <w:color w:val="auto"/>
          <w:spacing w:val="-2"/>
          <w:sz w:val="24"/>
          <w:szCs w:val="24"/>
        </w:rPr>
      </w:pPr>
    </w:p>
    <w:p>
      <w:pPr>
        <w:keepNext w:val="0"/>
        <w:keepLines w:val="0"/>
        <w:pageBreakBefore w:val="0"/>
        <w:widowControl w:val="0"/>
        <w:kinsoku/>
        <w:wordWrap w:val="0"/>
        <w:overflowPunct/>
        <w:topLinePunct w:val="0"/>
        <w:autoSpaceDE w:val="0"/>
        <w:autoSpaceDN w:val="0"/>
        <w:bidi w:val="0"/>
        <w:spacing w:before="131" w:line="500" w:lineRule="exact"/>
        <w:ind w:left="1392" w:firstLine="473" w:firstLineChars="200"/>
        <w:rPr>
          <w:rFonts w:hint="eastAsia" w:ascii="仿宋_GB2312" w:hAnsi="仿宋_GB2312" w:eastAsia="仿宋_GB2312" w:cs="仿宋_GB2312"/>
          <w:b/>
          <w:bCs/>
          <w:color w:val="auto"/>
          <w:spacing w:val="-2"/>
          <w:sz w:val="24"/>
          <w:szCs w:val="24"/>
        </w:rPr>
      </w:pPr>
    </w:p>
    <w:p>
      <w:pPr>
        <w:keepNext w:val="0"/>
        <w:keepLines w:val="0"/>
        <w:pageBreakBefore w:val="0"/>
        <w:widowControl w:val="0"/>
        <w:kinsoku/>
        <w:wordWrap w:val="0"/>
        <w:overflowPunct/>
        <w:topLinePunct w:val="0"/>
        <w:autoSpaceDE w:val="0"/>
        <w:autoSpaceDN w:val="0"/>
        <w:bidi w:val="0"/>
        <w:spacing w:before="131" w:line="500" w:lineRule="exact"/>
        <w:ind w:left="1392" w:firstLine="473" w:firstLineChars="200"/>
        <w:rPr>
          <w:rFonts w:hint="eastAsia" w:ascii="仿宋_GB2312" w:hAnsi="仿宋_GB2312" w:eastAsia="仿宋_GB2312" w:cs="仿宋_GB2312"/>
          <w:b/>
          <w:bCs/>
          <w:color w:val="auto"/>
          <w:spacing w:val="-2"/>
          <w:sz w:val="24"/>
          <w:szCs w:val="24"/>
        </w:rPr>
      </w:pPr>
    </w:p>
    <w:p>
      <w:pPr>
        <w:keepNext w:val="0"/>
        <w:keepLines w:val="0"/>
        <w:pageBreakBefore w:val="0"/>
        <w:widowControl w:val="0"/>
        <w:kinsoku/>
        <w:wordWrap w:val="0"/>
        <w:overflowPunct/>
        <w:topLinePunct w:val="0"/>
        <w:autoSpaceDE w:val="0"/>
        <w:autoSpaceDN w:val="0"/>
        <w:bidi w:val="0"/>
        <w:spacing w:before="131" w:line="500" w:lineRule="exact"/>
        <w:ind w:left="1392" w:firstLine="473" w:firstLineChars="200"/>
        <w:rPr>
          <w:color w:val="auto"/>
        </w:rPr>
      </w:pPr>
      <w:r>
        <w:rPr>
          <w:rFonts w:hint="eastAsia" w:ascii="仿宋_GB2312" w:hAnsi="仿宋_GB2312" w:eastAsia="仿宋_GB2312" w:cs="仿宋_GB2312"/>
          <w:b/>
          <w:bCs/>
          <w:color w:val="auto"/>
          <w:spacing w:val="-2"/>
          <w:sz w:val="24"/>
          <w:szCs w:val="24"/>
        </w:rPr>
        <w:t>表</w:t>
      </w:r>
      <w:r>
        <w:rPr>
          <w:rFonts w:hint="eastAsia" w:ascii="仿宋_GB2312" w:hAnsi="仿宋_GB2312" w:eastAsia="仿宋_GB2312" w:cs="仿宋_GB2312"/>
          <w:b/>
          <w:bCs/>
          <w:color w:val="auto"/>
          <w:spacing w:val="-2"/>
          <w:sz w:val="24"/>
          <w:szCs w:val="24"/>
          <w:lang w:val="en-US" w:eastAsia="zh-CN"/>
        </w:rPr>
        <w:t>3</w:t>
      </w:r>
      <w:r>
        <w:rPr>
          <w:rFonts w:hint="eastAsia" w:ascii="仿宋_GB2312" w:hAnsi="仿宋_GB2312" w:eastAsia="仿宋_GB2312" w:cs="仿宋_GB2312"/>
          <w:b/>
          <w:bCs/>
          <w:color w:val="auto"/>
          <w:spacing w:val="-2"/>
          <w:sz w:val="24"/>
          <w:szCs w:val="24"/>
        </w:rPr>
        <w:t xml:space="preserve">-1  </w:t>
      </w:r>
      <w:r>
        <w:rPr>
          <w:rFonts w:hint="eastAsia" w:ascii="仿宋_GB2312" w:hAnsi="仿宋_GB2312" w:eastAsia="仿宋_GB2312" w:cs="仿宋_GB2312"/>
          <w:b/>
          <w:bCs/>
          <w:color w:val="auto"/>
          <w:spacing w:val="-2"/>
          <w:sz w:val="24"/>
          <w:szCs w:val="24"/>
          <w:lang w:val="en-US" w:eastAsia="zh-CN"/>
        </w:rPr>
        <w:t>高台县</w:t>
      </w:r>
      <w:r>
        <w:rPr>
          <w:rFonts w:hint="eastAsia" w:ascii="仿宋_GB2312" w:hAnsi="仿宋_GB2312" w:eastAsia="仿宋_GB2312" w:cs="仿宋_GB2312"/>
          <w:b/>
          <w:bCs/>
          <w:color w:val="auto"/>
          <w:spacing w:val="-2"/>
          <w:sz w:val="24"/>
          <w:szCs w:val="24"/>
        </w:rPr>
        <w:t>地表水环境监测断面/点位基本情况表</w:t>
      </w:r>
    </w:p>
    <w:tbl>
      <w:tblPr>
        <w:tblStyle w:val="16"/>
        <w:tblW w:w="8476"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81"/>
        <w:gridCol w:w="1576"/>
        <w:gridCol w:w="1575"/>
        <w:gridCol w:w="1236"/>
        <w:gridCol w:w="15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581"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8"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pacing w:val="2"/>
                <w:sz w:val="21"/>
                <w:szCs w:val="21"/>
              </w:rPr>
              <w:t>名称</w:t>
            </w:r>
          </w:p>
        </w:tc>
        <w:tc>
          <w:tcPr>
            <w:tcW w:w="1576"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7"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pacing w:val="3"/>
                <w:sz w:val="21"/>
                <w:szCs w:val="21"/>
              </w:rPr>
              <w:t>类别</w:t>
            </w:r>
          </w:p>
        </w:tc>
        <w:tc>
          <w:tcPr>
            <w:tcW w:w="1575"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64"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pacing w:val="6"/>
                <w:sz w:val="21"/>
                <w:szCs w:val="21"/>
              </w:rPr>
              <w:t>所在河流</w:t>
            </w:r>
          </w:p>
        </w:tc>
        <w:tc>
          <w:tcPr>
            <w:tcW w:w="1236"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7"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pacing w:val="6"/>
                <w:sz w:val="21"/>
                <w:szCs w:val="21"/>
              </w:rPr>
              <w:t>考核级别</w:t>
            </w:r>
          </w:p>
        </w:tc>
        <w:tc>
          <w:tcPr>
            <w:tcW w:w="1508"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7"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b/>
                <w:bCs/>
                <w:color w:val="auto"/>
                <w:spacing w:val="6"/>
                <w:sz w:val="21"/>
                <w:szCs w:val="21"/>
              </w:rPr>
              <w:t>考核要求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581"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2"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六坝桥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65"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常规监测</w:t>
            </w:r>
          </w:p>
        </w:tc>
        <w:tc>
          <w:tcPr>
            <w:tcW w:w="1575"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59" w:line="500" w:lineRule="exact"/>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pacing w:val="3"/>
                <w:sz w:val="21"/>
                <w:szCs w:val="21"/>
                <w:lang w:val="en-US" w:eastAsia="zh-CN"/>
              </w:rPr>
              <w:t>黑河</w:t>
            </w:r>
          </w:p>
        </w:tc>
        <w:tc>
          <w:tcPr>
            <w:tcW w:w="1236"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2"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国考</w:t>
            </w:r>
          </w:p>
        </w:tc>
        <w:tc>
          <w:tcPr>
            <w:tcW w:w="1508"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2"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Ⅱ类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581"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1"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正义峡</w:t>
            </w:r>
          </w:p>
        </w:tc>
        <w:tc>
          <w:tcPr>
            <w:tcW w:w="157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val="0"/>
              <w:overflowPunct/>
              <w:topLinePunct w:val="0"/>
              <w:autoSpaceDE w:val="0"/>
              <w:autoSpaceDN w:val="0"/>
              <w:bidi w:val="0"/>
              <w:spacing w:line="500" w:lineRule="exact"/>
              <w:ind w:firstLine="420" w:firstLineChars="200"/>
              <w:jc w:val="center"/>
              <w:rPr>
                <w:rFonts w:hint="eastAsia" w:ascii="仿宋_GB2312" w:hAnsi="仿宋_GB2312" w:eastAsia="仿宋_GB2312" w:cs="仿宋_GB2312"/>
                <w:color w:val="auto"/>
                <w:sz w:val="21"/>
                <w:szCs w:val="21"/>
              </w:rPr>
            </w:pPr>
          </w:p>
        </w:tc>
        <w:tc>
          <w:tcPr>
            <w:tcW w:w="1575"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58"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lang w:val="en-US" w:eastAsia="zh-CN"/>
              </w:rPr>
              <w:t>黑河</w:t>
            </w:r>
          </w:p>
        </w:tc>
        <w:tc>
          <w:tcPr>
            <w:tcW w:w="1236"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1"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国考</w:t>
            </w:r>
          </w:p>
        </w:tc>
        <w:tc>
          <w:tcPr>
            <w:tcW w:w="1508" w:type="dxa"/>
            <w:tcBorders>
              <w:top w:val="single" w:color="auto" w:sz="4" w:space="0"/>
              <w:left w:val="single" w:color="auto" w:sz="4" w:space="0"/>
              <w:bottom w:val="single" w:color="auto" w:sz="4" w:space="0"/>
              <w:right w:val="single" w:color="auto" w:sz="4" w:space="0"/>
            </w:tcBorders>
            <w:vAlign w:val="center"/>
          </w:tcPr>
          <w:p>
            <w:pPr>
              <w:pStyle w:val="15"/>
              <w:keepNext w:val="0"/>
              <w:keepLines w:val="0"/>
              <w:pageBreakBefore w:val="0"/>
              <w:widowControl w:val="0"/>
              <w:kinsoku/>
              <w:wordWrap w:val="0"/>
              <w:overflowPunct/>
              <w:topLinePunct w:val="0"/>
              <w:autoSpaceDE w:val="0"/>
              <w:autoSpaceDN w:val="0"/>
              <w:bidi w:val="0"/>
              <w:spacing w:before="81" w:line="50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Ⅱ类</w:t>
            </w:r>
          </w:p>
        </w:tc>
      </w:tr>
    </w:tbl>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\l "bookmark42"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i w:val="0"/>
          <w:iCs w:val="0"/>
          <w:caps w:val="0"/>
          <w:color w:val="auto"/>
          <w:spacing w:val="0"/>
          <w:sz w:val="32"/>
          <w:szCs w:val="32"/>
        </w:rPr>
        <w:t>高台县地表水监测断面包括黑河干流</w:t>
      </w:r>
      <w:r>
        <w:rPr>
          <w:rFonts w:hint="eastAsia" w:ascii="仿宋_GB2312" w:hAnsi="仿宋_GB2312" w:eastAsia="仿宋_GB2312" w:cs="仿宋_GB2312"/>
          <w:i w:val="0"/>
          <w:iCs w:val="0"/>
          <w:caps w:val="0"/>
          <w:color w:val="auto"/>
          <w:spacing w:val="0"/>
          <w:sz w:val="32"/>
          <w:szCs w:val="32"/>
          <w:lang w:val="en-US" w:eastAsia="zh-CN"/>
        </w:rPr>
        <w:t>六坝桥</w:t>
      </w:r>
      <w:r>
        <w:rPr>
          <w:rFonts w:hint="eastAsia" w:ascii="仿宋_GB2312" w:hAnsi="仿宋_GB2312" w:eastAsia="仿宋_GB2312" w:cs="仿宋_GB2312"/>
          <w:i w:val="0"/>
          <w:iCs w:val="0"/>
          <w:caps w:val="0"/>
          <w:color w:val="auto"/>
          <w:spacing w:val="0"/>
          <w:sz w:val="32"/>
          <w:szCs w:val="32"/>
        </w:rPr>
        <w:t>国控断面和</w:t>
      </w:r>
      <w:r>
        <w:rPr>
          <w:rFonts w:hint="eastAsia" w:ascii="仿宋_GB2312" w:hAnsi="仿宋_GB2312" w:eastAsia="仿宋_GB2312" w:cs="仿宋_GB2312"/>
          <w:i w:val="0"/>
          <w:iCs w:val="0"/>
          <w:caps w:val="0"/>
          <w:color w:val="auto"/>
          <w:spacing w:val="0"/>
          <w:sz w:val="32"/>
          <w:szCs w:val="32"/>
          <w:lang w:val="en-US" w:eastAsia="zh-CN"/>
        </w:rPr>
        <w:t>正义峡断面</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“十四五”期间均为国控断面，</w:t>
      </w:r>
      <w:r>
        <w:rPr>
          <w:rFonts w:hint="eastAsia" w:ascii="仿宋_GB2312" w:hAnsi="仿宋_GB2312" w:eastAsia="仿宋_GB2312" w:cs="仿宋_GB2312"/>
          <w:i w:val="0"/>
          <w:iCs w:val="0"/>
          <w:caps w:val="0"/>
          <w:color w:val="auto"/>
          <w:spacing w:val="0"/>
          <w:sz w:val="32"/>
          <w:szCs w:val="32"/>
        </w:rPr>
        <w:t>水质目标为Ⅱ类。监测频次为每月1次，全年监测12次，</w:t>
      </w:r>
      <w:r>
        <w:rPr>
          <w:rFonts w:hint="eastAsia" w:ascii="仿宋_GB2312" w:hAnsi="仿宋_GB2312" w:eastAsia="仿宋_GB2312" w:cs="仿宋_GB2312"/>
          <w:i w:val="0"/>
          <w:iCs w:val="0"/>
          <w:caps w:val="0"/>
          <w:color w:val="auto"/>
          <w:spacing w:val="0"/>
          <w:sz w:val="32"/>
          <w:szCs w:val="32"/>
          <w:lang w:val="en-US" w:eastAsia="zh-CN"/>
        </w:rPr>
        <w:t>由甘肃省张掖生态环境监测中心承担监测任务，</w:t>
      </w:r>
      <w:r>
        <w:rPr>
          <w:rFonts w:hint="eastAsia" w:ascii="仿宋_GB2312" w:hAnsi="仿宋_GB2312" w:eastAsia="仿宋_GB2312" w:cs="仿宋_GB2312"/>
          <w:i w:val="0"/>
          <w:iCs w:val="0"/>
          <w:caps w:val="0"/>
          <w:color w:val="auto"/>
          <w:spacing w:val="0"/>
          <w:sz w:val="32"/>
          <w:szCs w:val="32"/>
        </w:rPr>
        <w:t>监测项目包括pH、水温、溶解氧、化学需氧量、生化需氧量、氨氮、总磷、总氮、铜、锌、氟化物、砷、汞、镉、六价铬、铅、粪大肠菌群、石油类、硫化物、电导率等25项，分析方法执行《地表水环境质量标准》（GB3838-2002）及相关监测技术规范。</w:t>
      </w:r>
      <w:r>
        <w:rPr>
          <w:rFonts w:hint="eastAsia" w:ascii="仿宋_GB2312" w:eastAsia="仿宋_GB2312"/>
          <w:color w:val="auto"/>
          <w:sz w:val="32"/>
          <w:szCs w:val="32"/>
          <w:lang w:val="en-US" w:eastAsia="zh-CN"/>
        </w:rPr>
        <w:t>县级水源地1处，为高台县城区集中式饮用水源地，是地下水型水源地，水质监测由甘肃张掖生态环境监测中心承担，监测频次为一年2次，偶数年进行一次全分析检测，水质达到</w:t>
      </w:r>
      <w:r>
        <w:rPr>
          <w:rFonts w:hint="eastAsia" w:ascii="仿宋_GB2312" w:eastAsia="仿宋_GB2312"/>
          <w:color w:val="auto"/>
          <w:sz w:val="32"/>
          <w:szCs w:val="32"/>
        </w:rPr>
        <w:t>《地下</w:t>
      </w:r>
      <w:r>
        <w:rPr>
          <w:rFonts w:hint="eastAsia" w:ascii="仿宋_GB2312" w:eastAsia="仿宋_GB2312"/>
          <w:color w:val="auto"/>
          <w:sz w:val="32"/>
          <w:szCs w:val="32"/>
          <w:highlight w:val="none"/>
        </w:rPr>
        <w:t>水质量标准》</w:t>
      </w:r>
      <w:r>
        <w:rPr>
          <w:rFonts w:hint="eastAsia" w:ascii="仿宋_GB2312" w:hAnsi="仿宋_GB2312" w:eastAsia="仿宋_GB2312"/>
          <w:color w:val="auto"/>
          <w:sz w:val="32"/>
          <w:szCs w:val="32"/>
          <w:highlight w:val="none"/>
        </w:rPr>
        <w:t>（GB/T14848-2017）</w:t>
      </w:r>
      <w:r>
        <w:rPr>
          <w:rFonts w:hint="eastAsia" w:ascii="仿宋_GB2312" w:hAnsi="仿宋_GB2312" w:eastAsia="仿宋_GB2312" w:cs="仿宋_GB2312"/>
          <w:color w:val="auto"/>
          <w:sz w:val="32"/>
          <w:szCs w:val="32"/>
          <w:highlight w:val="none"/>
        </w:rPr>
        <w:t>Ⅲ</w:t>
      </w:r>
      <w:r>
        <w:rPr>
          <w:rFonts w:hint="eastAsia" w:ascii="仿宋_GB2312" w:eastAsia="仿宋_GB2312"/>
          <w:color w:val="auto"/>
          <w:sz w:val="32"/>
          <w:szCs w:val="32"/>
          <w:highlight w:val="none"/>
        </w:rPr>
        <w:t>类水质标准</w:t>
      </w:r>
      <w:r>
        <w:rPr>
          <w:rFonts w:hint="eastAsia" w:ascii="仿宋_GB2312" w:eastAsia="仿宋_GB2312"/>
          <w:color w:val="auto"/>
          <w:sz w:val="32"/>
          <w:szCs w:val="32"/>
          <w:highlight w:val="none"/>
          <w:lang w:eastAsia="zh-CN"/>
        </w:rPr>
        <w:t>。</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2021</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2025年，黑河干流</w:t>
      </w:r>
      <w:r>
        <w:rPr>
          <w:rFonts w:hint="eastAsia" w:ascii="仿宋_GB2312" w:hAnsi="仿宋_GB2312" w:eastAsia="仿宋_GB2312" w:cs="仿宋_GB2312"/>
          <w:i w:val="0"/>
          <w:iCs w:val="0"/>
          <w:caps w:val="0"/>
          <w:color w:val="auto"/>
          <w:spacing w:val="0"/>
          <w:sz w:val="32"/>
          <w:szCs w:val="32"/>
          <w:lang w:val="en-US" w:eastAsia="zh-CN"/>
        </w:rPr>
        <w:t>六坝桥</w:t>
      </w:r>
      <w:r>
        <w:rPr>
          <w:rFonts w:hint="eastAsia" w:ascii="仿宋_GB2312" w:hAnsi="仿宋_GB2312" w:eastAsia="仿宋_GB2312" w:cs="仿宋_GB2312"/>
          <w:i w:val="0"/>
          <w:iCs w:val="0"/>
          <w:caps w:val="0"/>
          <w:color w:val="auto"/>
          <w:spacing w:val="0"/>
          <w:sz w:val="32"/>
          <w:szCs w:val="32"/>
        </w:rPr>
        <w:t>断面</w:t>
      </w:r>
      <w:r>
        <w:rPr>
          <w:rFonts w:hint="eastAsia" w:ascii="仿宋_GB2312" w:hAnsi="仿宋_GB2312" w:eastAsia="仿宋_GB2312" w:cs="仿宋_GB2312"/>
          <w:i w:val="0"/>
          <w:iCs w:val="0"/>
          <w:caps w:val="0"/>
          <w:color w:val="auto"/>
          <w:spacing w:val="0"/>
          <w:sz w:val="32"/>
          <w:szCs w:val="32"/>
          <w:lang w:val="en-US" w:eastAsia="zh-CN"/>
        </w:rPr>
        <w:t>和正义峡断面</w:t>
      </w:r>
      <w:r>
        <w:rPr>
          <w:rFonts w:hint="eastAsia" w:ascii="仿宋_GB2312" w:hAnsi="仿宋_GB2312" w:eastAsia="仿宋_GB2312" w:cs="仿宋_GB2312"/>
          <w:i w:val="0"/>
          <w:iCs w:val="0"/>
          <w:caps w:val="0"/>
          <w:color w:val="auto"/>
          <w:spacing w:val="0"/>
          <w:sz w:val="32"/>
          <w:szCs w:val="32"/>
        </w:rPr>
        <w:t>水质持续保持Ⅱ类标准，监测项目年均浓度均符合《地表水环境质量标准》（GB3838-2002）Ⅱ类限值要求，无超标现象</w:t>
      </w:r>
      <w:r>
        <w:rPr>
          <w:rFonts w:hint="eastAsia" w:ascii="仿宋_GB2312" w:hAnsi="仿宋_GB2312" w:eastAsia="仿宋_GB2312" w:cs="仿宋_GB2312"/>
          <w:i w:val="0"/>
          <w:iCs w:val="0"/>
          <w:caps w:val="0"/>
          <w:color w:val="auto"/>
          <w:spacing w:val="0"/>
          <w:sz w:val="32"/>
          <w:szCs w:val="32"/>
          <w:lang w:eastAsia="zh-CN"/>
        </w:rPr>
        <w:t>。</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2021</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202</w:t>
      </w:r>
      <w:r>
        <w:rPr>
          <w:rFonts w:hint="eastAsia" w:ascii="仿宋_GB2312" w:hAnsi="仿宋_GB2312" w:eastAsia="仿宋_GB2312" w:cs="仿宋_GB2312"/>
          <w:i w:val="0"/>
          <w:iCs w:val="0"/>
          <w:caps w:val="0"/>
          <w:color w:val="auto"/>
          <w:spacing w:val="0"/>
          <w:sz w:val="32"/>
          <w:szCs w:val="32"/>
          <w:highlight w:val="none"/>
          <w:lang w:val="en-US" w:eastAsia="zh-CN"/>
        </w:rPr>
        <w:t>5</w:t>
      </w:r>
      <w:r>
        <w:rPr>
          <w:rFonts w:hint="eastAsia" w:ascii="仿宋_GB2312" w:hAnsi="仿宋_GB2312" w:eastAsia="仿宋_GB2312" w:cs="仿宋_GB2312"/>
          <w:i w:val="0"/>
          <w:iCs w:val="0"/>
          <w:caps w:val="0"/>
          <w:color w:val="auto"/>
          <w:spacing w:val="0"/>
          <w:sz w:val="32"/>
          <w:szCs w:val="32"/>
          <w:highlight w:val="none"/>
        </w:rPr>
        <w:t>年，饮用水源地水质达标率均为100%，监测指标年均浓度均符合Ⅲ类标准要求，感官性状良好，无色、无味、清澈透明，无肉眼可见物，水质安全有保障。</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left="0" w:leftChars="0" w:firstLine="642" w:firstLineChars="200"/>
        <w:textAlignment w:val="auto"/>
        <w:outlineLvl w:val="2"/>
        <w:rPr>
          <w:rFonts w:hint="eastAsia" w:ascii="仿宋_GB2312" w:hAnsi="仿宋_GB2312" w:eastAsia="仿宋_GB2312" w:cs="仿宋_GB2312"/>
          <w:b/>
          <w:bCs/>
          <w:i w:val="0"/>
          <w:iCs w:val="0"/>
          <w:caps w:val="0"/>
          <w:color w:val="auto"/>
          <w:spacing w:val="0"/>
          <w:sz w:val="32"/>
          <w:szCs w:val="32"/>
          <w:highlight w:val="none"/>
          <w:lang w:val="en-US" w:eastAsia="zh-CN"/>
        </w:rPr>
      </w:pPr>
      <w:bookmarkStart w:id="42" w:name="_Toc6742"/>
      <w:r>
        <w:rPr>
          <w:rFonts w:hint="eastAsia" w:ascii="仿宋_GB2312" w:hAnsi="仿宋_GB2312" w:eastAsia="仿宋_GB2312" w:cs="仿宋_GB2312"/>
          <w:b/>
          <w:bCs/>
          <w:i w:val="0"/>
          <w:iCs w:val="0"/>
          <w:caps w:val="0"/>
          <w:color w:val="auto"/>
          <w:spacing w:val="0"/>
          <w:sz w:val="32"/>
          <w:szCs w:val="32"/>
          <w:highlight w:val="none"/>
          <w:lang w:val="en-US" w:eastAsia="zh-CN"/>
        </w:rPr>
        <w:t>2.3.2地下水</w:t>
      </w:r>
      <w:bookmarkEnd w:id="4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val="0"/>
          <w:bCs w:val="0"/>
          <w:color w:val="auto"/>
          <w:sz w:val="32"/>
          <w:szCs w:val="32"/>
        </w:rPr>
        <w:t>2020年国控地下水点位</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rPr>
        <w:t>高台县骆驼城乡西滩村、2021年张掖市国控地下水</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rPr>
        <w:t>高台县明塘湖-H7-0</w:t>
      </w:r>
      <w:r>
        <w:rPr>
          <w:rFonts w:hint="eastAsia" w:ascii="仿宋_GB2312" w:hAnsi="仿宋_GB2312" w:eastAsia="仿宋_GB2312" w:cs="仿宋_GB2312"/>
          <w:b w:val="0"/>
          <w:bCs w:val="0"/>
          <w:color w:val="auto"/>
          <w:sz w:val="32"/>
          <w:szCs w:val="32"/>
          <w:lang w:val="en-US" w:eastAsia="zh-CN"/>
        </w:rPr>
        <w:t>和</w:t>
      </w:r>
      <w:r>
        <w:rPr>
          <w:rFonts w:hint="eastAsia" w:ascii="仿宋_GB2312" w:hAnsi="仿宋_GB2312" w:eastAsia="仿宋_GB2312" w:cs="仿宋_GB2312"/>
          <w:b w:val="0"/>
          <w:bCs w:val="0"/>
          <w:color w:val="auto"/>
          <w:sz w:val="32"/>
          <w:szCs w:val="32"/>
        </w:rPr>
        <w:t>高台县骆驼城乡西滩村-11，每年监测一次，监测项目35项。评价标准执行《地下水质量标准》（GB/T14848-2017）</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i w:val="0"/>
          <w:iCs w:val="0"/>
          <w:caps w:val="0"/>
          <w:color w:val="auto"/>
          <w:spacing w:val="0"/>
          <w:sz w:val="32"/>
          <w:szCs w:val="32"/>
          <w:highlight w:val="none"/>
        </w:rPr>
        <w:t>国控地下水监测点位</w:t>
      </w:r>
      <w:r>
        <w:rPr>
          <w:rFonts w:hint="eastAsia" w:ascii="仿宋_GB2312" w:hAnsi="仿宋_GB2312" w:eastAsia="仿宋_GB2312" w:cs="仿宋_GB2312"/>
          <w:i w:val="0"/>
          <w:iCs w:val="0"/>
          <w:caps w:val="0"/>
          <w:color w:val="auto"/>
          <w:spacing w:val="0"/>
          <w:sz w:val="32"/>
          <w:szCs w:val="32"/>
          <w:highlight w:val="none"/>
          <w:lang w:val="en-US" w:eastAsia="zh-CN"/>
        </w:rPr>
        <w:t>高台县明塘湖、</w:t>
      </w:r>
      <w:r>
        <w:rPr>
          <w:rFonts w:hint="eastAsia" w:ascii="仿宋_GB2312" w:hAnsi="仿宋_GB2312" w:eastAsia="仿宋_GB2312" w:cs="仿宋_GB2312"/>
          <w:i w:val="0"/>
          <w:iCs w:val="0"/>
          <w:caps w:val="0"/>
          <w:color w:val="auto"/>
          <w:spacing w:val="0"/>
          <w:sz w:val="32"/>
          <w:szCs w:val="32"/>
          <w:highlight w:val="none"/>
        </w:rPr>
        <w:t>高台县骆驼城乡西滩村</w:t>
      </w:r>
      <w:r>
        <w:rPr>
          <w:rFonts w:hint="eastAsia" w:ascii="仿宋_GB2312" w:hAnsi="仿宋_GB2312" w:eastAsia="仿宋_GB2312" w:cs="仿宋_GB2312"/>
          <w:i w:val="0"/>
          <w:iCs w:val="0"/>
          <w:caps w:val="0"/>
          <w:color w:val="auto"/>
          <w:spacing w:val="0"/>
          <w:sz w:val="32"/>
          <w:szCs w:val="32"/>
          <w:highlight w:val="none"/>
          <w:lang w:val="en-US" w:eastAsia="zh-CN"/>
        </w:rPr>
        <w:t>均</w:t>
      </w:r>
      <w:r>
        <w:rPr>
          <w:rFonts w:hint="eastAsia" w:ascii="仿宋_GB2312" w:hAnsi="仿宋_GB2312" w:eastAsia="仿宋_GB2312" w:cs="仿宋_GB2312"/>
          <w:i w:val="0"/>
          <w:iCs w:val="0"/>
          <w:caps w:val="0"/>
          <w:color w:val="auto"/>
          <w:spacing w:val="0"/>
          <w:sz w:val="32"/>
          <w:szCs w:val="32"/>
          <w:highlight w:val="none"/>
        </w:rPr>
        <w:t>位于县域北部平原区，主要监测浅层地下水质量，2021</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202</w:t>
      </w:r>
      <w:r>
        <w:rPr>
          <w:rFonts w:hint="eastAsia" w:ascii="仿宋_GB2312" w:hAnsi="仿宋_GB2312" w:eastAsia="仿宋_GB2312" w:cs="仿宋_GB2312"/>
          <w:i w:val="0"/>
          <w:iCs w:val="0"/>
          <w:caps w:val="0"/>
          <w:color w:val="auto"/>
          <w:spacing w:val="0"/>
          <w:sz w:val="32"/>
          <w:szCs w:val="32"/>
          <w:highlight w:val="none"/>
          <w:lang w:val="en-US" w:eastAsia="zh-CN"/>
        </w:rPr>
        <w:t>4</w:t>
      </w:r>
      <w:r>
        <w:rPr>
          <w:rFonts w:hint="eastAsia" w:ascii="仿宋_GB2312" w:hAnsi="仿宋_GB2312" w:eastAsia="仿宋_GB2312" w:cs="仿宋_GB2312"/>
          <w:i w:val="0"/>
          <w:iCs w:val="0"/>
          <w:caps w:val="0"/>
          <w:color w:val="auto"/>
          <w:spacing w:val="0"/>
          <w:sz w:val="32"/>
          <w:szCs w:val="32"/>
          <w:highlight w:val="none"/>
        </w:rPr>
        <w:t>年，</w:t>
      </w:r>
      <w:r>
        <w:rPr>
          <w:rFonts w:hint="eastAsia" w:ascii="仿宋_GB2312" w:hAnsi="仿宋_GB2312" w:eastAsia="仿宋_GB2312" w:cs="仿宋_GB2312"/>
          <w:i w:val="0"/>
          <w:iCs w:val="0"/>
          <w:caps w:val="0"/>
          <w:color w:val="auto"/>
          <w:spacing w:val="0"/>
          <w:sz w:val="32"/>
          <w:szCs w:val="32"/>
          <w:highlight w:val="none"/>
          <w:lang w:val="en-US" w:eastAsia="zh-CN"/>
        </w:rPr>
        <w:t>高台县明塘湖</w:t>
      </w:r>
      <w:r>
        <w:rPr>
          <w:rFonts w:hint="eastAsia" w:ascii="仿宋_GB2312" w:hAnsi="仿宋_GB2312" w:eastAsia="仿宋_GB2312" w:cs="仿宋_GB2312"/>
          <w:i w:val="0"/>
          <w:iCs w:val="0"/>
          <w:caps w:val="0"/>
          <w:color w:val="auto"/>
          <w:spacing w:val="0"/>
          <w:sz w:val="32"/>
          <w:szCs w:val="32"/>
          <w:highlight w:val="none"/>
        </w:rPr>
        <w:t>点位年平均水质类别为</w:t>
      </w:r>
      <w:r>
        <w:rPr>
          <w:rFonts w:hint="eastAsia" w:ascii="仿宋_GB2312" w:hAnsi="仿宋_GB2312" w:eastAsia="仿宋_GB2312" w:cs="仿宋_GB2312"/>
          <w:i w:val="0"/>
          <w:iCs w:val="0"/>
          <w:caps w:val="0"/>
          <w:color w:val="auto"/>
          <w:spacing w:val="0"/>
          <w:sz w:val="32"/>
          <w:szCs w:val="32"/>
          <w:highlight w:val="none"/>
          <w:lang w:val="en-US" w:eastAsia="zh-CN"/>
        </w:rPr>
        <w:t>V</w:t>
      </w:r>
      <w:r>
        <w:rPr>
          <w:rFonts w:hint="eastAsia" w:ascii="仿宋_GB2312" w:hAnsi="仿宋_GB2312" w:eastAsia="仿宋_GB2312" w:cs="仿宋_GB2312"/>
          <w:i w:val="0"/>
          <w:iCs w:val="0"/>
          <w:caps w:val="0"/>
          <w:color w:val="auto"/>
          <w:spacing w:val="0"/>
          <w:sz w:val="32"/>
          <w:szCs w:val="32"/>
          <w:highlight w:val="none"/>
        </w:rPr>
        <w:t>类，高台县骆驼城乡西滩村点位年平均水质类别为</w:t>
      </w:r>
      <w:r>
        <w:rPr>
          <w:rFonts w:hint="eastAsia" w:ascii="仿宋_GB2312" w:hAnsi="仿宋_GB2312" w:eastAsia="仿宋_GB2312" w:cs="仿宋_GB2312"/>
          <w:i w:val="0"/>
          <w:iCs w:val="0"/>
          <w:caps w:val="0"/>
          <w:color w:val="auto"/>
          <w:spacing w:val="0"/>
          <w:sz w:val="32"/>
          <w:szCs w:val="32"/>
          <w:highlight w:val="none"/>
          <w:lang w:eastAsia="zh-CN"/>
        </w:rPr>
        <w:t>Ⅲ类。</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left="0" w:leftChars="0" w:firstLine="642" w:firstLineChars="200"/>
        <w:textAlignment w:val="auto"/>
        <w:outlineLvl w:val="2"/>
        <w:rPr>
          <w:rFonts w:hint="default" w:ascii="仿宋_GB2312" w:hAnsi="仿宋_GB2312" w:eastAsia="仿宋_GB2312" w:cs="仿宋_GB2312"/>
          <w:b/>
          <w:bCs/>
          <w:i w:val="0"/>
          <w:iCs w:val="0"/>
          <w:caps w:val="0"/>
          <w:color w:val="auto"/>
          <w:spacing w:val="0"/>
          <w:sz w:val="32"/>
          <w:szCs w:val="32"/>
          <w:highlight w:val="none"/>
          <w:lang w:val="en-US" w:eastAsia="zh-CN"/>
        </w:rPr>
      </w:pPr>
      <w:bookmarkStart w:id="43" w:name="_Toc18475"/>
      <w:r>
        <w:rPr>
          <w:rFonts w:hint="eastAsia" w:ascii="仿宋_GB2312" w:hAnsi="仿宋_GB2312" w:eastAsia="仿宋_GB2312" w:cs="仿宋_GB2312"/>
          <w:b/>
          <w:bCs/>
          <w:i w:val="0"/>
          <w:iCs w:val="0"/>
          <w:caps w:val="0"/>
          <w:color w:val="auto"/>
          <w:spacing w:val="0"/>
          <w:sz w:val="32"/>
          <w:szCs w:val="32"/>
          <w:highlight w:val="none"/>
          <w:lang w:val="en-US" w:eastAsia="zh-CN"/>
        </w:rPr>
        <w:t>2.3.3饮用水</w:t>
      </w:r>
      <w:bookmarkEnd w:id="4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lang w:val="en-US" w:eastAsia="zh-CN"/>
        </w:rPr>
        <w:t>高台县现有城区集中式饮用水水源地1处，为地下水型水源地，水质监测由甘肃张掖生态环境监测中心承担，监测频次为一年2次，偶数年进行一次全分析检测，水质达到</w:t>
      </w:r>
      <w:r>
        <w:rPr>
          <w:rFonts w:hint="eastAsia" w:ascii="仿宋_GB2312" w:hAnsi="仿宋_GB2312" w:eastAsia="仿宋_GB2312" w:cs="仿宋_GB2312"/>
          <w:i w:val="0"/>
          <w:iCs w:val="0"/>
          <w:caps w:val="0"/>
          <w:color w:val="auto"/>
          <w:spacing w:val="0"/>
          <w:sz w:val="32"/>
          <w:szCs w:val="32"/>
          <w:highlight w:val="none"/>
        </w:rPr>
        <w:t>《地下水质量标准》（GB/T14848-2017）Ⅲ类水质标准</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2021</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202</w:t>
      </w:r>
      <w:r>
        <w:rPr>
          <w:rFonts w:hint="eastAsia" w:ascii="仿宋_GB2312" w:hAnsi="仿宋_GB2312" w:eastAsia="仿宋_GB2312" w:cs="仿宋_GB2312"/>
          <w:i w:val="0"/>
          <w:iCs w:val="0"/>
          <w:caps w:val="0"/>
          <w:color w:val="auto"/>
          <w:spacing w:val="0"/>
          <w:sz w:val="32"/>
          <w:szCs w:val="32"/>
          <w:highlight w:val="none"/>
          <w:lang w:val="en-US" w:eastAsia="zh-CN"/>
        </w:rPr>
        <w:t>4</w:t>
      </w:r>
      <w:r>
        <w:rPr>
          <w:rFonts w:hint="eastAsia" w:ascii="仿宋_GB2312" w:hAnsi="仿宋_GB2312" w:eastAsia="仿宋_GB2312" w:cs="仿宋_GB2312"/>
          <w:i w:val="0"/>
          <w:iCs w:val="0"/>
          <w:caps w:val="0"/>
          <w:color w:val="auto"/>
          <w:spacing w:val="0"/>
          <w:sz w:val="32"/>
          <w:szCs w:val="32"/>
          <w:highlight w:val="none"/>
        </w:rPr>
        <w:t xml:space="preserve">年，饮用水源地水质达标率均为100%，监测指标年均浓度均符合Ⅲ类标准要求，感官性状良好，无色、无味、清澈透明，无肉眼可见物，水质安全有保障。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lang w:eastAsia="zh-CN"/>
        </w:rPr>
        <w:t>“千吨万人”水源地</w:t>
      </w:r>
      <w:r>
        <w:rPr>
          <w:rFonts w:hint="eastAsia" w:ascii="仿宋_GB2312" w:hAnsi="仿宋_GB2312" w:eastAsia="仿宋_GB2312" w:cs="仿宋_GB2312"/>
          <w:i w:val="0"/>
          <w:iCs w:val="0"/>
          <w:caps w:val="0"/>
          <w:color w:val="auto"/>
          <w:spacing w:val="0"/>
          <w:sz w:val="32"/>
          <w:szCs w:val="32"/>
          <w:highlight w:val="none"/>
          <w:lang w:val="en-US" w:eastAsia="zh-CN"/>
        </w:rPr>
        <w:t>4处，分别为摆浪河集中式饮用水源地、骆驼城镇集中式饮用水源地、宣化镇集中式饮用水源地、黑泉镇集中式饮用水源地，水质监测均由甘肃张掖生态环境监测中心承担。摆浪河集中式饮用水源地是地表水型水源地，监测频次为一年4次，每季度进行一次检测，水质达到</w:t>
      </w:r>
      <w:r>
        <w:rPr>
          <w:rFonts w:hint="eastAsia" w:ascii="仿宋_GB2312" w:hAnsi="仿宋_GB2312" w:eastAsia="仿宋_GB2312" w:cs="仿宋_GB2312"/>
          <w:i w:val="0"/>
          <w:iCs w:val="0"/>
          <w:caps w:val="0"/>
          <w:color w:val="auto"/>
          <w:spacing w:val="0"/>
          <w:sz w:val="32"/>
          <w:szCs w:val="32"/>
          <w:highlight w:val="none"/>
        </w:rPr>
        <w:t>《地</w:t>
      </w:r>
      <w:r>
        <w:rPr>
          <w:rFonts w:hint="eastAsia" w:ascii="仿宋_GB2312" w:hAnsi="仿宋_GB2312" w:eastAsia="仿宋_GB2312" w:cs="仿宋_GB2312"/>
          <w:i w:val="0"/>
          <w:iCs w:val="0"/>
          <w:caps w:val="0"/>
          <w:color w:val="auto"/>
          <w:spacing w:val="0"/>
          <w:sz w:val="32"/>
          <w:szCs w:val="32"/>
          <w:highlight w:val="none"/>
          <w:lang w:eastAsia="zh-CN"/>
        </w:rPr>
        <w:t>表</w:t>
      </w:r>
      <w:r>
        <w:rPr>
          <w:rFonts w:hint="eastAsia" w:ascii="仿宋_GB2312" w:hAnsi="仿宋_GB2312" w:eastAsia="仿宋_GB2312" w:cs="仿宋_GB2312"/>
          <w:i w:val="0"/>
          <w:iCs w:val="0"/>
          <w:caps w:val="0"/>
          <w:color w:val="auto"/>
          <w:spacing w:val="0"/>
          <w:sz w:val="32"/>
          <w:szCs w:val="32"/>
          <w:highlight w:val="none"/>
        </w:rPr>
        <w:t>水</w:t>
      </w:r>
      <w:r>
        <w:rPr>
          <w:rFonts w:hint="eastAsia" w:ascii="仿宋_GB2312" w:hAnsi="仿宋_GB2312" w:eastAsia="仿宋_GB2312" w:cs="仿宋_GB2312"/>
          <w:i w:val="0"/>
          <w:iCs w:val="0"/>
          <w:caps w:val="0"/>
          <w:color w:val="auto"/>
          <w:spacing w:val="0"/>
          <w:sz w:val="32"/>
          <w:szCs w:val="32"/>
          <w:highlight w:val="none"/>
          <w:lang w:eastAsia="zh-CN"/>
        </w:rPr>
        <w:t>环境</w:t>
      </w:r>
      <w:r>
        <w:rPr>
          <w:rFonts w:hint="eastAsia" w:ascii="仿宋_GB2312" w:hAnsi="仿宋_GB2312" w:eastAsia="仿宋_GB2312" w:cs="仿宋_GB2312"/>
          <w:i w:val="0"/>
          <w:iCs w:val="0"/>
          <w:caps w:val="0"/>
          <w:color w:val="auto"/>
          <w:spacing w:val="0"/>
          <w:sz w:val="32"/>
          <w:szCs w:val="32"/>
          <w:highlight w:val="none"/>
        </w:rPr>
        <w:t>质量标准》（GB</w:t>
      </w:r>
      <w:r>
        <w:rPr>
          <w:rFonts w:hint="eastAsia" w:ascii="仿宋_GB2312" w:hAnsi="仿宋_GB2312" w:eastAsia="仿宋_GB2312" w:cs="仿宋_GB2312"/>
          <w:i w:val="0"/>
          <w:iCs w:val="0"/>
          <w:caps w:val="0"/>
          <w:color w:val="auto"/>
          <w:spacing w:val="0"/>
          <w:sz w:val="32"/>
          <w:szCs w:val="32"/>
          <w:highlight w:val="none"/>
          <w:lang w:val="en-US" w:eastAsia="zh-CN"/>
        </w:rPr>
        <w:t>3838</w:t>
      </w:r>
      <w:r>
        <w:rPr>
          <w:rFonts w:hint="eastAsia" w:ascii="仿宋_GB2312" w:hAnsi="仿宋_GB2312" w:eastAsia="仿宋_GB2312" w:cs="仿宋_GB2312"/>
          <w:i w:val="0"/>
          <w:iCs w:val="0"/>
          <w:caps w:val="0"/>
          <w:color w:val="auto"/>
          <w:spacing w:val="0"/>
          <w:sz w:val="32"/>
          <w:szCs w:val="32"/>
          <w:highlight w:val="none"/>
        </w:rPr>
        <w:t>-20</w:t>
      </w:r>
      <w:r>
        <w:rPr>
          <w:rFonts w:hint="eastAsia" w:ascii="仿宋_GB2312" w:hAnsi="仿宋_GB2312" w:eastAsia="仿宋_GB2312" w:cs="仿宋_GB2312"/>
          <w:i w:val="0"/>
          <w:iCs w:val="0"/>
          <w:caps w:val="0"/>
          <w:color w:val="auto"/>
          <w:spacing w:val="0"/>
          <w:sz w:val="32"/>
          <w:szCs w:val="32"/>
          <w:highlight w:val="none"/>
          <w:lang w:val="en-US" w:eastAsia="zh-CN"/>
        </w:rPr>
        <w:t>02</w:t>
      </w:r>
      <w:r>
        <w:rPr>
          <w:rFonts w:hint="eastAsia" w:ascii="仿宋_GB2312" w:hAnsi="仿宋_GB2312" w:eastAsia="仿宋_GB2312" w:cs="仿宋_GB2312"/>
          <w:i w:val="0"/>
          <w:iCs w:val="0"/>
          <w:caps w:val="0"/>
          <w:color w:val="auto"/>
          <w:spacing w:val="0"/>
          <w:sz w:val="32"/>
          <w:szCs w:val="32"/>
          <w:highlight w:val="none"/>
        </w:rPr>
        <w:t>）Ⅲ类水质标准</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骆驼城镇集中式饮用水源地、宣化镇集中式饮用水源地、黑泉镇集中式饮用水源地是地下水型水源地，监测频次为一年2次，水质达到</w:t>
      </w:r>
      <w:r>
        <w:rPr>
          <w:rFonts w:hint="eastAsia" w:ascii="仿宋_GB2312" w:hAnsi="仿宋_GB2312" w:eastAsia="仿宋_GB2312" w:cs="仿宋_GB2312"/>
          <w:i w:val="0"/>
          <w:iCs w:val="0"/>
          <w:caps w:val="0"/>
          <w:color w:val="auto"/>
          <w:spacing w:val="0"/>
          <w:sz w:val="32"/>
          <w:szCs w:val="32"/>
          <w:highlight w:val="none"/>
        </w:rPr>
        <w:t>《地下水质量标准》（GB/T14848-2017）Ⅲ类水质标准</w:t>
      </w:r>
      <w:r>
        <w:rPr>
          <w:rFonts w:hint="eastAsia" w:ascii="仿宋_GB2312" w:hAnsi="仿宋_GB2312" w:eastAsia="仿宋_GB2312" w:cs="仿宋_GB2312"/>
          <w:i w:val="0"/>
          <w:iCs w:val="0"/>
          <w:caps w:val="0"/>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lang w:eastAsia="zh-CN"/>
        </w:rPr>
        <w:t>其余乡镇水源地</w:t>
      </w:r>
      <w:r>
        <w:rPr>
          <w:rFonts w:hint="eastAsia" w:ascii="仿宋_GB2312" w:hAnsi="仿宋_GB2312" w:eastAsia="仿宋_GB2312" w:cs="仿宋_GB2312"/>
          <w:i w:val="0"/>
          <w:iCs w:val="0"/>
          <w:caps w:val="0"/>
          <w:color w:val="auto"/>
          <w:spacing w:val="0"/>
          <w:sz w:val="32"/>
          <w:szCs w:val="32"/>
          <w:highlight w:val="none"/>
          <w:lang w:val="en-US" w:eastAsia="zh-CN"/>
        </w:rPr>
        <w:t>8处，分别是石灰关集中式饮用水源地、水关集中式饮用水源地、红沙河集中式饮用水源地、明水村集中式饮用水源地、元兴村集中式饮用水源地、许三湾村集中式饮用水源地、常丰村集中式饮用水源地、盐池村集中式饮用水源地，水质监测均由甘肃张掖生态环境监测中心承担，监测频次为一年1次。其中石灰关集中式饮用水源地、水关集中式饮用水源地、红沙河集中式饮用水源地是地表水型水源地，水质达到</w:t>
      </w:r>
      <w:r>
        <w:rPr>
          <w:rFonts w:hint="eastAsia" w:ascii="仿宋_GB2312" w:hAnsi="仿宋_GB2312" w:eastAsia="仿宋_GB2312" w:cs="仿宋_GB2312"/>
          <w:i w:val="0"/>
          <w:iCs w:val="0"/>
          <w:caps w:val="0"/>
          <w:color w:val="auto"/>
          <w:spacing w:val="0"/>
          <w:sz w:val="32"/>
          <w:szCs w:val="32"/>
          <w:highlight w:val="none"/>
        </w:rPr>
        <w:t>《地</w:t>
      </w:r>
      <w:r>
        <w:rPr>
          <w:rFonts w:hint="eastAsia" w:ascii="仿宋_GB2312" w:hAnsi="仿宋_GB2312" w:eastAsia="仿宋_GB2312" w:cs="仿宋_GB2312"/>
          <w:i w:val="0"/>
          <w:iCs w:val="0"/>
          <w:caps w:val="0"/>
          <w:color w:val="auto"/>
          <w:spacing w:val="0"/>
          <w:sz w:val="32"/>
          <w:szCs w:val="32"/>
          <w:highlight w:val="none"/>
          <w:lang w:eastAsia="zh-CN"/>
        </w:rPr>
        <w:t>表</w:t>
      </w:r>
      <w:r>
        <w:rPr>
          <w:rFonts w:hint="eastAsia" w:ascii="仿宋_GB2312" w:hAnsi="仿宋_GB2312" w:eastAsia="仿宋_GB2312" w:cs="仿宋_GB2312"/>
          <w:i w:val="0"/>
          <w:iCs w:val="0"/>
          <w:caps w:val="0"/>
          <w:color w:val="auto"/>
          <w:spacing w:val="0"/>
          <w:sz w:val="32"/>
          <w:szCs w:val="32"/>
          <w:highlight w:val="none"/>
        </w:rPr>
        <w:t>水</w:t>
      </w:r>
      <w:r>
        <w:rPr>
          <w:rFonts w:hint="eastAsia" w:ascii="仿宋_GB2312" w:hAnsi="仿宋_GB2312" w:eastAsia="仿宋_GB2312" w:cs="仿宋_GB2312"/>
          <w:i w:val="0"/>
          <w:iCs w:val="0"/>
          <w:caps w:val="0"/>
          <w:color w:val="auto"/>
          <w:spacing w:val="0"/>
          <w:sz w:val="32"/>
          <w:szCs w:val="32"/>
          <w:highlight w:val="none"/>
          <w:lang w:eastAsia="zh-CN"/>
        </w:rPr>
        <w:t>环境</w:t>
      </w:r>
      <w:r>
        <w:rPr>
          <w:rFonts w:hint="eastAsia" w:ascii="仿宋_GB2312" w:hAnsi="仿宋_GB2312" w:eastAsia="仿宋_GB2312" w:cs="仿宋_GB2312"/>
          <w:i w:val="0"/>
          <w:iCs w:val="0"/>
          <w:caps w:val="0"/>
          <w:color w:val="auto"/>
          <w:spacing w:val="0"/>
          <w:sz w:val="32"/>
          <w:szCs w:val="32"/>
          <w:highlight w:val="none"/>
        </w:rPr>
        <w:t>质量标准》（GB</w:t>
      </w:r>
      <w:r>
        <w:rPr>
          <w:rFonts w:hint="eastAsia" w:ascii="仿宋_GB2312" w:hAnsi="仿宋_GB2312" w:eastAsia="仿宋_GB2312" w:cs="仿宋_GB2312"/>
          <w:i w:val="0"/>
          <w:iCs w:val="0"/>
          <w:caps w:val="0"/>
          <w:color w:val="auto"/>
          <w:spacing w:val="0"/>
          <w:sz w:val="32"/>
          <w:szCs w:val="32"/>
          <w:highlight w:val="none"/>
          <w:lang w:val="en-US" w:eastAsia="zh-CN"/>
        </w:rPr>
        <w:t>3838</w:t>
      </w:r>
      <w:r>
        <w:rPr>
          <w:rFonts w:hint="eastAsia" w:ascii="仿宋_GB2312" w:hAnsi="仿宋_GB2312" w:eastAsia="仿宋_GB2312" w:cs="仿宋_GB2312"/>
          <w:i w:val="0"/>
          <w:iCs w:val="0"/>
          <w:caps w:val="0"/>
          <w:color w:val="auto"/>
          <w:spacing w:val="0"/>
          <w:sz w:val="32"/>
          <w:szCs w:val="32"/>
          <w:highlight w:val="none"/>
        </w:rPr>
        <w:t>-20</w:t>
      </w:r>
      <w:r>
        <w:rPr>
          <w:rFonts w:hint="eastAsia" w:ascii="仿宋_GB2312" w:hAnsi="仿宋_GB2312" w:eastAsia="仿宋_GB2312" w:cs="仿宋_GB2312"/>
          <w:i w:val="0"/>
          <w:iCs w:val="0"/>
          <w:caps w:val="0"/>
          <w:color w:val="auto"/>
          <w:spacing w:val="0"/>
          <w:sz w:val="32"/>
          <w:szCs w:val="32"/>
          <w:highlight w:val="none"/>
          <w:lang w:val="en-US" w:eastAsia="zh-CN"/>
        </w:rPr>
        <w:t>02</w:t>
      </w:r>
      <w:r>
        <w:rPr>
          <w:rFonts w:hint="eastAsia" w:ascii="仿宋_GB2312" w:hAnsi="仿宋_GB2312" w:eastAsia="仿宋_GB2312" w:cs="仿宋_GB2312"/>
          <w:i w:val="0"/>
          <w:iCs w:val="0"/>
          <w:caps w:val="0"/>
          <w:color w:val="auto"/>
          <w:spacing w:val="0"/>
          <w:sz w:val="32"/>
          <w:szCs w:val="32"/>
          <w:highlight w:val="none"/>
        </w:rPr>
        <w:t>）Ⅲ类水质标准</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明水村集中式饮用水源地、元兴村集中式饮用水源地、许三湾村集中式饮用水源地、常丰村集中式饮用水源地、盐池村集中式饮用水源地是地下水型水源地，水质达到</w:t>
      </w:r>
      <w:r>
        <w:rPr>
          <w:rFonts w:hint="eastAsia" w:ascii="仿宋_GB2312" w:hAnsi="仿宋_GB2312" w:eastAsia="仿宋_GB2312" w:cs="仿宋_GB2312"/>
          <w:i w:val="0"/>
          <w:iCs w:val="0"/>
          <w:caps w:val="0"/>
          <w:color w:val="auto"/>
          <w:spacing w:val="0"/>
          <w:sz w:val="32"/>
          <w:szCs w:val="32"/>
          <w:highlight w:val="none"/>
        </w:rPr>
        <w:t>《地下水质量标准》（GB/T14848-2017）Ⅲ类水质标准</w:t>
      </w:r>
      <w:r>
        <w:rPr>
          <w:rFonts w:hint="eastAsia" w:ascii="仿宋_GB2312" w:hAnsi="仿宋_GB2312" w:eastAsia="仿宋_GB2312" w:cs="仿宋_GB2312"/>
          <w:i w:val="0"/>
          <w:iCs w:val="0"/>
          <w:caps w:val="0"/>
          <w:color w:val="auto"/>
          <w:spacing w:val="0"/>
          <w:sz w:val="32"/>
          <w:szCs w:val="32"/>
          <w:highlight w:val="none"/>
          <w:lang w:eastAsia="zh-CN"/>
        </w:rPr>
        <w:t>。</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left="0" w:leftChars="0" w:firstLine="448"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pacing w:val="-48"/>
          <w:sz w:val="32"/>
          <w:szCs w:val="32"/>
        </w:rPr>
        <w:t xml:space="preserve"> </w:t>
      </w:r>
      <w:bookmarkStart w:id="44" w:name="_Toc22481"/>
      <w:r>
        <w:rPr>
          <w:rFonts w:hint="eastAsia" w:ascii="仿宋_GB2312" w:hAnsi="仿宋_GB2312" w:eastAsia="仿宋_GB2312" w:cs="仿宋_GB2312"/>
          <w:color w:val="auto"/>
          <w:spacing w:val="-2"/>
          <w:sz w:val="32"/>
          <w:szCs w:val="32"/>
        </w:rPr>
        <w:fldChar w:fldCharType="end"/>
      </w:r>
      <w:r>
        <w:rPr>
          <w:rFonts w:hint="eastAsia" w:ascii="仿宋_GB2312" w:hAnsi="仿宋_GB2312" w:eastAsia="仿宋_GB2312" w:cs="仿宋_GB2312"/>
          <w:color w:val="auto"/>
          <w:spacing w:val="-2"/>
          <w:sz w:val="32"/>
          <w:szCs w:val="32"/>
          <w:lang w:val="en-US" w:eastAsia="zh-CN"/>
        </w:rPr>
        <w:t>2.</w:t>
      </w:r>
      <w:r>
        <w:rPr>
          <w:rFonts w:hint="eastAsia" w:ascii="仿宋_GB2312" w:hAnsi="仿宋_GB2312" w:eastAsia="仿宋_GB2312" w:cs="仿宋_GB2312"/>
          <w:b/>
          <w:bCs/>
          <w:i w:val="0"/>
          <w:iCs w:val="0"/>
          <w:caps w:val="0"/>
          <w:color w:val="auto"/>
          <w:spacing w:val="0"/>
          <w:sz w:val="32"/>
          <w:szCs w:val="32"/>
          <w:lang w:val="en-US" w:eastAsia="zh-CN"/>
        </w:rPr>
        <w:fldChar w:fldCharType="begin"/>
      </w:r>
      <w:r>
        <w:rPr>
          <w:rFonts w:hint="eastAsia" w:ascii="仿宋_GB2312" w:hAnsi="仿宋_GB2312" w:eastAsia="仿宋_GB2312" w:cs="仿宋_GB2312"/>
          <w:b/>
          <w:bCs/>
          <w:i w:val="0"/>
          <w:iCs w:val="0"/>
          <w:caps w:val="0"/>
          <w:color w:val="auto"/>
          <w:spacing w:val="0"/>
          <w:sz w:val="32"/>
          <w:szCs w:val="32"/>
          <w:lang w:val="en-US" w:eastAsia="zh-CN"/>
        </w:rPr>
        <w:instrText xml:space="preserve"> HYPERLINK \l "bookmark43" </w:instrText>
      </w:r>
      <w:r>
        <w:rPr>
          <w:rFonts w:hint="eastAsia" w:ascii="仿宋_GB2312" w:hAnsi="仿宋_GB2312" w:eastAsia="仿宋_GB2312" w:cs="仿宋_GB2312"/>
          <w:b/>
          <w:bCs/>
          <w:i w:val="0"/>
          <w:iCs w:val="0"/>
          <w:caps w:val="0"/>
          <w:color w:val="auto"/>
          <w:spacing w:val="0"/>
          <w:sz w:val="32"/>
          <w:szCs w:val="32"/>
          <w:lang w:val="en-US" w:eastAsia="zh-CN"/>
        </w:rPr>
        <w:fldChar w:fldCharType="separate"/>
      </w:r>
      <w:r>
        <w:rPr>
          <w:rFonts w:hint="eastAsia" w:ascii="仿宋_GB2312" w:hAnsi="仿宋_GB2312" w:eastAsia="仿宋_GB2312" w:cs="仿宋_GB2312"/>
          <w:b/>
          <w:bCs/>
          <w:i w:val="0"/>
          <w:iCs w:val="0"/>
          <w:caps w:val="0"/>
          <w:color w:val="auto"/>
          <w:spacing w:val="0"/>
          <w:sz w:val="32"/>
          <w:szCs w:val="32"/>
          <w:lang w:val="en-US" w:eastAsia="zh-CN"/>
        </w:rPr>
        <w:t xml:space="preserve">4声环境质量状况 </w:t>
      </w:r>
      <w:r>
        <w:rPr>
          <w:rFonts w:hint="eastAsia" w:ascii="仿宋_GB2312" w:hAnsi="仿宋_GB2312" w:eastAsia="仿宋_GB2312" w:cs="仿宋_GB2312"/>
          <w:b/>
          <w:bCs/>
          <w:i w:val="0"/>
          <w:iCs w:val="0"/>
          <w:caps w:val="0"/>
          <w:color w:val="auto"/>
          <w:spacing w:val="0"/>
          <w:sz w:val="32"/>
          <w:szCs w:val="32"/>
          <w:lang w:val="en-US" w:eastAsia="zh-CN"/>
        </w:rPr>
        <w:fldChar w:fldCharType="end"/>
      </w:r>
      <w:bookmarkEnd w:id="44"/>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40" w:firstLineChars="200"/>
        <w:textAlignment w:val="auto"/>
        <w:rPr>
          <w:rFonts w:hint="default"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eastAsia="zh-CN"/>
        </w:rPr>
        <w:t>高台县声环境质量由</w:t>
      </w:r>
      <w:r>
        <w:rPr>
          <w:rFonts w:hint="eastAsia" w:ascii="仿宋_GB2312" w:hAnsi="仿宋_GB2312" w:eastAsia="仿宋_GB2312" w:cs="仿宋_GB2312"/>
          <w:i w:val="0"/>
          <w:iCs w:val="0"/>
          <w:caps w:val="0"/>
          <w:color w:val="auto"/>
          <w:spacing w:val="0"/>
          <w:sz w:val="32"/>
          <w:szCs w:val="32"/>
          <w:highlight w:val="none"/>
        </w:rPr>
        <w:t>甘肃省张掖生态环境监测中心承担常规监测工作</w:t>
      </w:r>
      <w:r>
        <w:rPr>
          <w:rFonts w:hint="eastAsia" w:ascii="仿宋_GB2312" w:hAnsi="仿宋_GB2312" w:eastAsia="仿宋_GB2312" w:cs="仿宋_GB2312"/>
          <w:i w:val="0"/>
          <w:iCs w:val="0"/>
          <w:caps w:val="0"/>
          <w:color w:val="auto"/>
          <w:spacing w:val="0"/>
          <w:sz w:val="32"/>
          <w:szCs w:val="32"/>
          <w:highlight w:val="none"/>
          <w:lang w:eastAsia="zh-CN"/>
        </w:rPr>
        <w:t>辖区共有区域声环境质量点位</w:t>
      </w:r>
      <w:r>
        <w:rPr>
          <w:rFonts w:hint="eastAsia" w:ascii="仿宋_GB2312" w:hAnsi="仿宋_GB2312" w:eastAsia="仿宋_GB2312" w:cs="仿宋_GB2312"/>
          <w:i w:val="0"/>
          <w:iCs w:val="0"/>
          <w:caps w:val="0"/>
          <w:color w:val="auto"/>
          <w:spacing w:val="0"/>
          <w:sz w:val="32"/>
          <w:szCs w:val="32"/>
          <w:highlight w:val="none"/>
          <w:lang w:val="en-US" w:eastAsia="zh-CN"/>
        </w:rPr>
        <w:t>103个，道路交通声环境点位20个，功能区声环境点位7个，合计130个。</w:t>
      </w:r>
    </w:p>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73" w:firstLineChars="200"/>
        <w:jc w:val="center"/>
        <w:textAlignment w:val="auto"/>
        <w:rPr>
          <w:rFonts w:hint="default" w:ascii="Times New Roman" w:hAnsi="Times New Roman" w:eastAsia="方正黑体简体" w:cs="Times New Roman"/>
          <w:color w:val="auto"/>
          <w:spacing w:val="0"/>
          <w:w w:val="100"/>
          <w:position w:val="0"/>
          <w:sz w:val="24"/>
          <w:szCs w:val="24"/>
        </w:rPr>
      </w:pPr>
      <w:r>
        <w:rPr>
          <w:rFonts w:hint="eastAsia" w:ascii="仿宋_GB2312" w:hAnsi="仿宋_GB2312" w:eastAsia="仿宋_GB2312" w:cs="仿宋_GB2312"/>
          <w:b/>
          <w:bCs/>
          <w:color w:val="auto"/>
          <w:spacing w:val="-2"/>
          <w:sz w:val="24"/>
          <w:szCs w:val="24"/>
        </w:rPr>
        <w:t>表</w:t>
      </w:r>
      <w:r>
        <w:rPr>
          <w:rFonts w:hint="eastAsia" w:ascii="仿宋_GB2312" w:hAnsi="仿宋_GB2312" w:eastAsia="仿宋_GB2312" w:cs="仿宋_GB2312"/>
          <w:b/>
          <w:bCs/>
          <w:color w:val="auto"/>
          <w:spacing w:val="-2"/>
          <w:sz w:val="24"/>
          <w:szCs w:val="24"/>
          <w:lang w:val="en-US" w:eastAsia="zh-CN"/>
        </w:rPr>
        <w:t>4</w:t>
      </w:r>
      <w:r>
        <w:rPr>
          <w:rFonts w:hint="eastAsia" w:ascii="仿宋_GB2312" w:hAnsi="仿宋_GB2312" w:eastAsia="仿宋_GB2312" w:cs="仿宋_GB2312"/>
          <w:b/>
          <w:bCs/>
          <w:color w:val="auto"/>
          <w:spacing w:val="-2"/>
          <w:sz w:val="24"/>
          <w:szCs w:val="24"/>
        </w:rPr>
        <w:t>-</w:t>
      </w:r>
      <w:r>
        <w:rPr>
          <w:rFonts w:hint="eastAsia" w:ascii="仿宋_GB2312" w:hAnsi="仿宋_GB2312" w:eastAsia="仿宋_GB2312" w:cs="仿宋_GB2312"/>
          <w:b/>
          <w:bCs/>
          <w:color w:val="auto"/>
          <w:spacing w:val="-2"/>
          <w:sz w:val="24"/>
          <w:szCs w:val="24"/>
          <w:lang w:val="en-US" w:eastAsia="zh-CN"/>
        </w:rPr>
        <w:t>1</w:t>
      </w:r>
      <w:r>
        <w:rPr>
          <w:rFonts w:hint="eastAsia" w:ascii="Times New Roman" w:hAnsi="Times New Roman" w:eastAsia="方正黑体简体" w:cs="Times New Roman"/>
          <w:color w:val="auto"/>
          <w:spacing w:val="0"/>
          <w:w w:val="100"/>
          <w:position w:val="0"/>
          <w:sz w:val="24"/>
          <w:szCs w:val="24"/>
          <w:lang w:eastAsia="zh-CN"/>
        </w:rPr>
        <w:t>高台县</w:t>
      </w:r>
      <w:r>
        <w:rPr>
          <w:rFonts w:hint="default" w:ascii="Times New Roman" w:hAnsi="Times New Roman" w:eastAsia="方正黑体简体" w:cs="Times New Roman"/>
          <w:color w:val="auto"/>
          <w:spacing w:val="0"/>
          <w:w w:val="100"/>
          <w:position w:val="0"/>
          <w:sz w:val="24"/>
          <w:szCs w:val="24"/>
        </w:rPr>
        <w:t xml:space="preserve">声环境质量监测点位设置 </w:t>
      </w:r>
      <w:r>
        <w:rPr>
          <w:rFonts w:hint="default" w:ascii="Times New Roman" w:hAnsi="Times New Roman" w:eastAsia="方正黑体简体" w:cs="Times New Roman"/>
          <w:color w:val="auto"/>
          <w:spacing w:val="0"/>
          <w:w w:val="100"/>
          <w:position w:val="0"/>
          <w:sz w:val="24"/>
          <w:szCs w:val="24"/>
          <w:lang w:val="en-US" w:eastAsia="zh-CN"/>
        </w:rPr>
        <w:t xml:space="preserve"> </w:t>
      </w:r>
      <w:r>
        <w:rPr>
          <w:rFonts w:hint="default" w:ascii="Times New Roman" w:hAnsi="Times New Roman" w:eastAsia="方正黑体简体" w:cs="Times New Roman"/>
          <w:color w:val="auto"/>
          <w:spacing w:val="0"/>
          <w:w w:val="100"/>
          <w:position w:val="0"/>
          <w:sz w:val="24"/>
          <w:szCs w:val="24"/>
        </w:rPr>
        <w:t>单位：个</w:t>
      </w:r>
    </w:p>
    <w:tbl>
      <w:tblPr>
        <w:tblStyle w:val="12"/>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84"/>
        <w:gridCol w:w="1255"/>
        <w:gridCol w:w="1701"/>
        <w:gridCol w:w="709"/>
        <w:gridCol w:w="709"/>
        <w:gridCol w:w="709"/>
        <w:gridCol w:w="708"/>
        <w:gridCol w:w="668"/>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984" w:type="dxa"/>
            <w:vMerge w:val="restart"/>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shd w:val="clear" w:color="auto" w:fill="auto"/>
              </w:rPr>
            </w:pPr>
            <w:r>
              <w:rPr>
                <w:rFonts w:hint="default" w:ascii="Times New Roman" w:hAnsi="Times New Roman" w:eastAsia="方正黑体简体" w:cs="Times New Roman"/>
                <w:color w:val="auto"/>
                <w:spacing w:val="0"/>
                <w:w w:val="100"/>
                <w:kern w:val="0"/>
                <w:position w:val="0"/>
                <w:sz w:val="21"/>
                <w:szCs w:val="21"/>
                <w:shd w:val="clear" w:color="auto" w:fill="auto"/>
              </w:rPr>
              <w:t>县区</w:t>
            </w:r>
          </w:p>
        </w:tc>
        <w:tc>
          <w:tcPr>
            <w:tcW w:w="1255" w:type="dxa"/>
            <w:vMerge w:val="restart"/>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shd w:val="clear" w:color="auto" w:fill="auto"/>
              </w:rPr>
            </w:pPr>
            <w:r>
              <w:rPr>
                <w:rFonts w:hint="default" w:ascii="Times New Roman" w:hAnsi="Times New Roman" w:eastAsia="方正黑体简体" w:cs="Times New Roman"/>
                <w:color w:val="auto"/>
                <w:spacing w:val="0"/>
                <w:w w:val="100"/>
                <w:kern w:val="0"/>
                <w:position w:val="0"/>
                <w:sz w:val="21"/>
                <w:szCs w:val="21"/>
                <w:shd w:val="clear" w:color="auto" w:fill="auto"/>
              </w:rPr>
              <w:t>区域声环境</w:t>
            </w:r>
          </w:p>
        </w:tc>
        <w:tc>
          <w:tcPr>
            <w:tcW w:w="1701" w:type="dxa"/>
            <w:vMerge w:val="restart"/>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shd w:val="clear" w:color="auto" w:fill="auto"/>
              </w:rPr>
            </w:pPr>
            <w:r>
              <w:rPr>
                <w:rFonts w:hint="default" w:ascii="Times New Roman" w:hAnsi="Times New Roman" w:eastAsia="方正黑体简体" w:cs="Times New Roman"/>
                <w:color w:val="auto"/>
                <w:spacing w:val="0"/>
                <w:w w:val="100"/>
                <w:kern w:val="0"/>
                <w:position w:val="0"/>
                <w:sz w:val="21"/>
                <w:szCs w:val="21"/>
                <w:shd w:val="clear" w:color="auto" w:fill="auto"/>
              </w:rPr>
              <w:t>道路交通声环境</w:t>
            </w:r>
          </w:p>
        </w:tc>
        <w:tc>
          <w:tcPr>
            <w:tcW w:w="3503" w:type="dxa"/>
            <w:gridSpan w:val="5"/>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方正黑体简体" w:cs="Times New Roman"/>
                <w:color w:val="auto"/>
                <w:spacing w:val="0"/>
                <w:w w:val="100"/>
                <w:kern w:val="0"/>
                <w:position w:val="0"/>
                <w:sz w:val="21"/>
                <w:szCs w:val="21"/>
                <w:shd w:val="clear" w:color="auto" w:fill="auto"/>
              </w:rPr>
            </w:pPr>
            <w:r>
              <w:rPr>
                <w:rFonts w:hint="default" w:ascii="Times New Roman" w:hAnsi="Times New Roman" w:eastAsia="方正黑体简体" w:cs="Times New Roman"/>
                <w:color w:val="auto"/>
                <w:spacing w:val="0"/>
                <w:w w:val="100"/>
                <w:kern w:val="0"/>
                <w:position w:val="0"/>
                <w:sz w:val="21"/>
                <w:szCs w:val="21"/>
                <w:shd w:val="clear" w:color="auto" w:fill="auto"/>
              </w:rPr>
              <w:t>功能区声环境</w:t>
            </w:r>
          </w:p>
        </w:tc>
        <w:tc>
          <w:tcPr>
            <w:tcW w:w="890" w:type="dxa"/>
            <w:vMerge w:val="restart"/>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shd w:val="clear" w:color="auto" w:fill="auto"/>
              </w:rPr>
            </w:pPr>
            <w:r>
              <w:rPr>
                <w:rFonts w:hint="default" w:ascii="Times New Roman" w:hAnsi="Times New Roman" w:eastAsia="方正黑体简体" w:cs="Times New Roman"/>
                <w:color w:val="auto"/>
                <w:spacing w:val="0"/>
                <w:w w:val="100"/>
                <w:kern w:val="0"/>
                <w:position w:val="0"/>
                <w:sz w:val="21"/>
                <w:szCs w:val="21"/>
                <w:shd w:val="clear" w:color="auto" w:fill="auto"/>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984" w:type="dxa"/>
            <w:vMerge w:val="continue"/>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方正黑体简体" w:cs="Times New Roman"/>
                <w:color w:val="auto"/>
                <w:spacing w:val="0"/>
                <w:w w:val="100"/>
                <w:kern w:val="0"/>
                <w:position w:val="0"/>
                <w:sz w:val="21"/>
                <w:szCs w:val="21"/>
              </w:rPr>
            </w:pPr>
          </w:p>
        </w:tc>
        <w:tc>
          <w:tcPr>
            <w:tcW w:w="1255" w:type="dxa"/>
            <w:vMerge w:val="continue"/>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方正黑体简体" w:cs="Times New Roman"/>
                <w:color w:val="auto"/>
                <w:spacing w:val="0"/>
                <w:w w:val="100"/>
                <w:kern w:val="0"/>
                <w:position w:val="0"/>
                <w:sz w:val="21"/>
                <w:szCs w:val="21"/>
              </w:rPr>
            </w:pPr>
          </w:p>
        </w:tc>
        <w:tc>
          <w:tcPr>
            <w:tcW w:w="1701" w:type="dxa"/>
            <w:vMerge w:val="continue"/>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方正黑体简体" w:cs="Times New Roman"/>
                <w:color w:val="auto"/>
                <w:spacing w:val="0"/>
                <w:w w:val="100"/>
                <w:kern w:val="0"/>
                <w:position w:val="0"/>
                <w:sz w:val="21"/>
                <w:szCs w:val="21"/>
              </w:rPr>
            </w:pPr>
          </w:p>
        </w:tc>
        <w:tc>
          <w:tcPr>
            <w:tcW w:w="709" w:type="dxa"/>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rPr>
            </w:pPr>
            <w:r>
              <w:rPr>
                <w:rFonts w:hint="default" w:ascii="Times New Roman" w:hAnsi="Times New Roman" w:eastAsia="方正黑体简体" w:cs="Times New Roman"/>
                <w:color w:val="auto"/>
                <w:spacing w:val="0"/>
                <w:w w:val="100"/>
                <w:kern w:val="0"/>
                <w:position w:val="0"/>
                <w:sz w:val="21"/>
                <w:szCs w:val="21"/>
              </w:rPr>
              <w:t>1类</w:t>
            </w:r>
          </w:p>
        </w:tc>
        <w:tc>
          <w:tcPr>
            <w:tcW w:w="709" w:type="dxa"/>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rPr>
            </w:pPr>
            <w:r>
              <w:rPr>
                <w:rFonts w:hint="default" w:ascii="Times New Roman" w:hAnsi="Times New Roman" w:eastAsia="方正黑体简体" w:cs="Times New Roman"/>
                <w:color w:val="auto"/>
                <w:spacing w:val="0"/>
                <w:w w:val="100"/>
                <w:kern w:val="0"/>
                <w:position w:val="0"/>
                <w:sz w:val="21"/>
                <w:szCs w:val="21"/>
              </w:rPr>
              <w:t>2类</w:t>
            </w:r>
          </w:p>
        </w:tc>
        <w:tc>
          <w:tcPr>
            <w:tcW w:w="709" w:type="dxa"/>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rPr>
            </w:pPr>
            <w:r>
              <w:rPr>
                <w:rFonts w:hint="default" w:ascii="Times New Roman" w:hAnsi="Times New Roman" w:eastAsia="方正黑体简体" w:cs="Times New Roman"/>
                <w:color w:val="auto"/>
                <w:spacing w:val="0"/>
                <w:w w:val="100"/>
                <w:kern w:val="0"/>
                <w:position w:val="0"/>
                <w:sz w:val="21"/>
                <w:szCs w:val="21"/>
              </w:rPr>
              <w:t>3类</w:t>
            </w:r>
          </w:p>
        </w:tc>
        <w:tc>
          <w:tcPr>
            <w:tcW w:w="708" w:type="dxa"/>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rPr>
            </w:pPr>
            <w:r>
              <w:rPr>
                <w:rFonts w:hint="default" w:ascii="Times New Roman" w:hAnsi="Times New Roman" w:eastAsia="方正黑体简体" w:cs="Times New Roman"/>
                <w:color w:val="auto"/>
                <w:spacing w:val="0"/>
                <w:w w:val="100"/>
                <w:kern w:val="0"/>
                <w:position w:val="0"/>
                <w:sz w:val="21"/>
                <w:szCs w:val="21"/>
              </w:rPr>
              <w:t>4类</w:t>
            </w:r>
          </w:p>
        </w:tc>
        <w:tc>
          <w:tcPr>
            <w:tcW w:w="668" w:type="dxa"/>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center"/>
              <w:textAlignment w:val="auto"/>
              <w:rPr>
                <w:rFonts w:hint="default" w:ascii="Times New Roman" w:hAnsi="Times New Roman" w:eastAsia="方正黑体简体" w:cs="Times New Roman"/>
                <w:color w:val="auto"/>
                <w:spacing w:val="0"/>
                <w:w w:val="100"/>
                <w:kern w:val="0"/>
                <w:position w:val="0"/>
                <w:sz w:val="21"/>
                <w:szCs w:val="21"/>
              </w:rPr>
            </w:pPr>
            <w:r>
              <w:rPr>
                <w:rFonts w:hint="default" w:ascii="Times New Roman" w:hAnsi="Times New Roman" w:eastAsia="方正黑体简体" w:cs="Times New Roman"/>
                <w:color w:val="auto"/>
                <w:spacing w:val="0"/>
                <w:w w:val="100"/>
                <w:kern w:val="0"/>
                <w:position w:val="0"/>
                <w:sz w:val="21"/>
                <w:szCs w:val="21"/>
              </w:rPr>
              <w:t>小计</w:t>
            </w:r>
          </w:p>
        </w:tc>
        <w:tc>
          <w:tcPr>
            <w:tcW w:w="890" w:type="dxa"/>
            <w:vMerge w:val="continue"/>
            <w:shd w:val="clear" w:color="auto" w:fill="B5C7EA" w:themeFill="accent1" w:themeFillTint="66"/>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方正黑体简体" w:cs="Times New Roman"/>
                <w:color w:val="auto"/>
                <w:spacing w:val="0"/>
                <w:w w:val="100"/>
                <w:kern w:val="0"/>
                <w:positio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984"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right="0"/>
              <w:jc w:val="both"/>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高台县</w:t>
            </w:r>
          </w:p>
        </w:tc>
        <w:tc>
          <w:tcPr>
            <w:tcW w:w="1255"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eastAsia" w:ascii="Times New Roman" w:hAnsi="Times New Roman" w:eastAsia="仿宋_GB2312" w:cs="Times New Roman"/>
                <w:color w:val="auto"/>
                <w:spacing w:val="0"/>
                <w:w w:val="100"/>
                <w:kern w:val="0"/>
                <w:position w:val="0"/>
                <w:sz w:val="21"/>
                <w:szCs w:val="21"/>
                <w:lang w:eastAsia="zh-CN"/>
              </w:rPr>
            </w:pPr>
            <w:r>
              <w:rPr>
                <w:rFonts w:hint="default" w:ascii="Times New Roman" w:hAnsi="Times New Roman" w:eastAsia="仿宋_GB2312" w:cs="Times New Roman"/>
                <w:color w:val="auto"/>
                <w:spacing w:val="0"/>
                <w:w w:val="100"/>
                <w:kern w:val="0"/>
                <w:position w:val="0"/>
                <w:sz w:val="21"/>
                <w:szCs w:val="21"/>
              </w:rPr>
              <w:t>10</w:t>
            </w:r>
            <w:r>
              <w:rPr>
                <w:rFonts w:hint="eastAsia" w:ascii="Times New Roman" w:hAnsi="Times New Roman" w:eastAsia="仿宋_GB2312" w:cs="Times New Roman"/>
                <w:color w:val="auto"/>
                <w:spacing w:val="0"/>
                <w:w w:val="100"/>
                <w:kern w:val="0"/>
                <w:position w:val="0"/>
                <w:sz w:val="21"/>
                <w:szCs w:val="21"/>
                <w:lang w:val="en-US" w:eastAsia="zh-CN"/>
              </w:rPr>
              <w:t>3</w:t>
            </w:r>
          </w:p>
        </w:tc>
        <w:tc>
          <w:tcPr>
            <w:tcW w:w="1701"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20</w:t>
            </w:r>
          </w:p>
        </w:tc>
        <w:tc>
          <w:tcPr>
            <w:tcW w:w="709"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3</w:t>
            </w:r>
          </w:p>
        </w:tc>
        <w:tc>
          <w:tcPr>
            <w:tcW w:w="709"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2</w:t>
            </w:r>
          </w:p>
        </w:tc>
        <w:tc>
          <w:tcPr>
            <w:tcW w:w="709"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1</w:t>
            </w:r>
          </w:p>
        </w:tc>
        <w:tc>
          <w:tcPr>
            <w:tcW w:w="708"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1</w:t>
            </w:r>
          </w:p>
        </w:tc>
        <w:tc>
          <w:tcPr>
            <w:tcW w:w="668"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rPr>
            </w:pPr>
            <w:r>
              <w:rPr>
                <w:rFonts w:hint="default" w:ascii="Times New Roman" w:hAnsi="Times New Roman" w:eastAsia="仿宋_GB2312" w:cs="Times New Roman"/>
                <w:color w:val="auto"/>
                <w:spacing w:val="0"/>
                <w:w w:val="100"/>
                <w:kern w:val="0"/>
                <w:position w:val="0"/>
                <w:sz w:val="21"/>
                <w:szCs w:val="21"/>
              </w:rPr>
              <w:t>7</w:t>
            </w:r>
          </w:p>
        </w:tc>
        <w:tc>
          <w:tcPr>
            <w:tcW w:w="890" w:type="dxa"/>
            <w:noWrap w:val="0"/>
            <w:vAlign w:val="center"/>
          </w:tcPr>
          <w:p>
            <w:pPr>
              <w:keepNext w:val="0"/>
              <w:keepLines w:val="0"/>
              <w:pageBreakBefore w:val="0"/>
              <w:widowControl w:val="0"/>
              <w:kinsoku/>
              <w:wordWrap w:val="0"/>
              <w:overflowPunct/>
              <w:topLinePunct w:val="0"/>
              <w:autoSpaceDE w:val="0"/>
              <w:autoSpaceDN w:val="0"/>
              <w:bidi w:val="0"/>
              <w:adjustRightInd/>
              <w:snapToGrid/>
              <w:spacing w:beforeAutospacing="0" w:afterAutospacing="0" w:line="500" w:lineRule="exact"/>
              <w:ind w:left="0" w:leftChars="0" w:right="0" w:firstLine="420" w:firstLineChars="200"/>
              <w:jc w:val="center"/>
              <w:textAlignment w:val="auto"/>
              <w:rPr>
                <w:rFonts w:hint="default" w:ascii="Times New Roman" w:hAnsi="Times New Roman" w:eastAsia="仿宋_GB2312" w:cs="Times New Roman"/>
                <w:color w:val="auto"/>
                <w:spacing w:val="0"/>
                <w:w w:val="100"/>
                <w:kern w:val="0"/>
                <w:position w:val="0"/>
                <w:sz w:val="21"/>
                <w:szCs w:val="21"/>
                <w:lang w:val="en-US" w:eastAsia="zh-CN"/>
              </w:rPr>
            </w:pPr>
            <w:r>
              <w:rPr>
                <w:rFonts w:hint="eastAsia" w:ascii="Times New Roman" w:hAnsi="Times New Roman" w:eastAsia="仿宋_GB2312" w:cs="Times New Roman"/>
                <w:color w:val="auto"/>
                <w:spacing w:val="0"/>
                <w:w w:val="100"/>
                <w:kern w:val="0"/>
                <w:position w:val="0"/>
                <w:sz w:val="21"/>
                <w:szCs w:val="21"/>
                <w:lang w:val="en-US" w:eastAsia="zh-CN"/>
              </w:rPr>
              <w:t>130</w:t>
            </w:r>
          </w:p>
        </w:tc>
      </w:tr>
    </w:tbl>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leftChars="0" w:right="0" w:rightChars="0" w:firstLine="642" w:firstLineChars="200"/>
        <w:jc w:val="both"/>
        <w:outlineLvl w:val="2"/>
        <w:rPr>
          <w:rFonts w:hint="eastAsia" w:ascii="仿宋_GB2312" w:hAnsi="仿宋_GB2312" w:eastAsia="仿宋_GB2312" w:cs="仿宋_GB2312"/>
          <w:b/>
          <w:bCs/>
          <w:i w:val="0"/>
          <w:iCs w:val="0"/>
          <w:caps w:val="0"/>
          <w:color w:val="auto"/>
          <w:spacing w:val="0"/>
          <w:kern w:val="2"/>
          <w:sz w:val="32"/>
          <w:szCs w:val="32"/>
        </w:rPr>
      </w:pPr>
      <w:bookmarkStart w:id="45" w:name="_Toc13530"/>
      <w:bookmarkStart w:id="46" w:name="_Toc11355"/>
      <w:r>
        <w:rPr>
          <w:rFonts w:hint="eastAsia" w:ascii="仿宋_GB2312" w:hAnsi="仿宋_GB2312" w:eastAsia="仿宋_GB2312" w:cs="仿宋_GB2312"/>
          <w:b/>
          <w:bCs/>
          <w:i w:val="0"/>
          <w:iCs w:val="0"/>
          <w:caps w:val="0"/>
          <w:color w:val="auto"/>
          <w:spacing w:val="0"/>
          <w:kern w:val="2"/>
          <w:sz w:val="32"/>
          <w:szCs w:val="32"/>
          <w:lang w:val="en-US" w:eastAsia="zh-CN" w:bidi="ar"/>
        </w:rPr>
        <w:t>2.4.1区域环境噪声</w:t>
      </w:r>
      <w:bookmarkEnd w:id="45"/>
      <w:bookmarkEnd w:id="46"/>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rPr>
      </w:pPr>
      <w:r>
        <w:rPr>
          <w:rFonts w:hint="eastAsia" w:ascii="仿宋_GB2312" w:hAnsi="仿宋_GB2312" w:eastAsia="仿宋_GB2312" w:cs="仿宋_GB2312"/>
          <w:i w:val="0"/>
          <w:iCs w:val="0"/>
          <w:caps w:val="0"/>
          <w:color w:val="auto"/>
          <w:spacing w:val="0"/>
          <w:kern w:val="2"/>
          <w:sz w:val="32"/>
          <w:szCs w:val="32"/>
          <w:lang w:val="en-US" w:eastAsia="zh-CN" w:bidi="ar"/>
        </w:rPr>
        <w:t>区域环境噪声监测范围为高台县县城建成区，按声功能区划250×250米网格划分监测单元，共设置103个监测点位，实际监测103个，覆盖居住、商业、工业、行政办公等不同功能区域，监测点位分布均匀，具有良好的代表性。监测频次为每年监测1次，每次监测10分钟等效连续A声级，监测方法执行《声环境质量标准》（GB3096-2008）。</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b w:val="0"/>
          <w:bCs w:val="0"/>
          <w:i w:val="0"/>
          <w:iCs w:val="0"/>
          <w:caps w:val="0"/>
          <w:color w:val="auto"/>
          <w:spacing w:val="0"/>
          <w:kern w:val="2"/>
          <w:sz w:val="32"/>
          <w:szCs w:val="32"/>
        </w:rPr>
      </w:pPr>
      <w:r>
        <w:rPr>
          <w:rFonts w:hint="eastAsia" w:ascii="仿宋_GB2312" w:hAnsi="仿宋_GB2312" w:eastAsia="仿宋_GB2312" w:cs="仿宋_GB2312"/>
          <w:i w:val="0"/>
          <w:iCs w:val="0"/>
          <w:caps w:val="0"/>
          <w:color w:val="auto"/>
          <w:spacing w:val="0"/>
          <w:kern w:val="2"/>
          <w:sz w:val="32"/>
          <w:szCs w:val="32"/>
          <w:lang w:val="en-US" w:eastAsia="zh-CN" w:bidi="ar"/>
        </w:rPr>
        <w:t>2022年区域声环境质量状况等级为“二级”，2023年等级为二级，2024年等级为二级，</w:t>
      </w:r>
      <w:r>
        <w:rPr>
          <w:rFonts w:hint="eastAsia" w:ascii="仿宋_GB2312" w:hAnsi="仿宋_GB2312" w:eastAsia="仿宋_GB2312" w:cs="仿宋_GB2312"/>
          <w:b w:val="0"/>
          <w:bCs w:val="0"/>
          <w:i w:val="0"/>
          <w:iCs w:val="0"/>
          <w:caps w:val="0"/>
          <w:color w:val="auto"/>
          <w:spacing w:val="0"/>
          <w:kern w:val="2"/>
          <w:sz w:val="32"/>
          <w:szCs w:val="32"/>
          <w:lang w:val="en-US" w:eastAsia="zh-CN" w:bidi="ar"/>
        </w:rPr>
        <w:t>2025年等级为二级。</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leftChars="0" w:right="0" w:rightChars="0" w:firstLine="642" w:firstLineChars="200"/>
        <w:jc w:val="both"/>
        <w:outlineLvl w:val="2"/>
        <w:rPr>
          <w:rFonts w:hint="eastAsia" w:ascii="仿宋_GB2312" w:hAnsi="仿宋_GB2312" w:eastAsia="仿宋_GB2312" w:cs="仿宋_GB2312"/>
          <w:b/>
          <w:bCs/>
          <w:i w:val="0"/>
          <w:iCs w:val="0"/>
          <w:caps w:val="0"/>
          <w:color w:val="auto"/>
          <w:spacing w:val="0"/>
          <w:kern w:val="2"/>
          <w:sz w:val="32"/>
          <w:szCs w:val="32"/>
        </w:rPr>
      </w:pPr>
      <w:bookmarkStart w:id="47" w:name="_Toc5492"/>
      <w:bookmarkStart w:id="48" w:name="_Toc30588"/>
      <w:r>
        <w:rPr>
          <w:rFonts w:hint="eastAsia" w:ascii="仿宋_GB2312" w:hAnsi="仿宋_GB2312" w:eastAsia="仿宋_GB2312" w:cs="仿宋_GB2312"/>
          <w:b/>
          <w:bCs/>
          <w:i w:val="0"/>
          <w:iCs w:val="0"/>
          <w:caps w:val="0"/>
          <w:color w:val="auto"/>
          <w:spacing w:val="0"/>
          <w:kern w:val="2"/>
          <w:sz w:val="32"/>
          <w:szCs w:val="32"/>
          <w:lang w:val="en-US" w:eastAsia="zh-CN" w:bidi="ar"/>
        </w:rPr>
        <w:t>2.4.2城市道路交通噪声质量状况</w:t>
      </w:r>
      <w:bookmarkEnd w:id="47"/>
      <w:bookmarkEnd w:id="48"/>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i w:val="0"/>
          <w:iCs w:val="0"/>
          <w:caps w:val="0"/>
          <w:color w:val="auto"/>
          <w:spacing w:val="0"/>
          <w:kern w:val="2"/>
          <w:sz w:val="32"/>
          <w:szCs w:val="32"/>
        </w:rPr>
      </w:pPr>
      <w:r>
        <w:rPr>
          <w:rFonts w:hint="eastAsia" w:ascii="仿宋_GB2312" w:hAnsi="仿宋_GB2312" w:eastAsia="仿宋_GB2312" w:cs="仿宋_GB2312"/>
          <w:i w:val="0"/>
          <w:iCs w:val="0"/>
          <w:caps w:val="0"/>
          <w:color w:val="auto"/>
          <w:spacing w:val="0"/>
          <w:kern w:val="2"/>
          <w:sz w:val="32"/>
          <w:szCs w:val="32"/>
          <w:lang w:val="en-US" w:eastAsia="zh-CN" w:bidi="ar"/>
        </w:rPr>
        <w:t>道路交通噪声监测范围为高台县县城建成区20条主要交通主干道，设置20个监测点位，实际监测20个，每个点位监测路段长度不少于1公里，监测道路总长35.3公里，平均路宽24.3米。监测频次为每年9月监测1次，监测时间为上午8:30-12:00、14:30-18:00（双休日除外），每次监测20分钟等效连续A声级，同步记录车流量，监测仪器采用AWA6218A+型噪声统计分析仪，监测方法执行《声环境质量标准》（GB3096-2008）。</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b w:val="0"/>
          <w:bCs w:val="0"/>
          <w:i w:val="0"/>
          <w:iCs w:val="0"/>
          <w:caps w:val="0"/>
          <w:color w:val="auto"/>
          <w:spacing w:val="0"/>
          <w:kern w:val="2"/>
          <w:sz w:val="32"/>
          <w:szCs w:val="32"/>
        </w:rPr>
      </w:pPr>
      <w:r>
        <w:rPr>
          <w:rFonts w:hint="eastAsia" w:ascii="仿宋_GB2312" w:hAnsi="仿宋_GB2312" w:eastAsia="仿宋_GB2312" w:cs="仿宋_GB2312"/>
          <w:i w:val="0"/>
          <w:iCs w:val="0"/>
          <w:caps w:val="0"/>
          <w:color w:val="auto"/>
          <w:spacing w:val="0"/>
          <w:kern w:val="2"/>
          <w:sz w:val="32"/>
          <w:szCs w:val="32"/>
          <w:lang w:val="en-US" w:eastAsia="zh-CN" w:bidi="ar"/>
        </w:rPr>
        <w:t>2022年城市道路交通噪声环境质量状况评价等级为“好”。2023年噪声等级为一级，2024年噪声等级为一级，2025年噪声等级为一级。</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leftChars="0" w:right="0" w:rightChars="0" w:firstLine="642" w:firstLineChars="200"/>
        <w:jc w:val="both"/>
        <w:outlineLvl w:val="2"/>
        <w:rPr>
          <w:rFonts w:hint="eastAsia" w:ascii="仿宋_GB2312" w:hAnsi="仿宋_GB2312" w:eastAsia="仿宋_GB2312" w:cs="仿宋_GB2312"/>
          <w:b/>
          <w:bCs/>
          <w:i w:val="0"/>
          <w:iCs w:val="0"/>
          <w:caps w:val="0"/>
          <w:color w:val="auto"/>
          <w:spacing w:val="0"/>
          <w:kern w:val="2"/>
          <w:sz w:val="32"/>
          <w:szCs w:val="32"/>
        </w:rPr>
      </w:pPr>
      <w:bookmarkStart w:id="49" w:name="_Toc589"/>
      <w:bookmarkStart w:id="50" w:name="_Toc4513"/>
      <w:r>
        <w:rPr>
          <w:rFonts w:hint="eastAsia" w:ascii="仿宋_GB2312" w:hAnsi="仿宋_GB2312" w:eastAsia="仿宋_GB2312" w:cs="仿宋_GB2312"/>
          <w:b/>
          <w:bCs/>
          <w:i w:val="0"/>
          <w:iCs w:val="0"/>
          <w:caps w:val="0"/>
          <w:color w:val="auto"/>
          <w:spacing w:val="0"/>
          <w:kern w:val="2"/>
          <w:sz w:val="32"/>
          <w:szCs w:val="32"/>
          <w:lang w:val="en-US" w:eastAsia="zh-CN" w:bidi="ar"/>
        </w:rPr>
        <w:t>2.4.3功能区噪声</w:t>
      </w:r>
      <w:bookmarkEnd w:id="49"/>
      <w:bookmarkEnd w:id="50"/>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b/>
          <w:bCs/>
          <w:i w:val="0"/>
          <w:iCs w:val="0"/>
          <w:caps w:val="0"/>
          <w:color w:val="auto"/>
          <w:spacing w:val="0"/>
          <w:kern w:val="2"/>
          <w:sz w:val="32"/>
          <w:szCs w:val="32"/>
        </w:rPr>
      </w:pPr>
      <w:r>
        <w:rPr>
          <w:rFonts w:hint="eastAsia" w:ascii="仿宋_GB2312" w:hAnsi="仿宋_GB2312" w:eastAsia="仿宋_GB2312" w:cs="仿宋_GB2312"/>
          <w:i w:val="0"/>
          <w:iCs w:val="0"/>
          <w:caps w:val="0"/>
          <w:color w:val="auto"/>
          <w:spacing w:val="0"/>
          <w:kern w:val="2"/>
          <w:sz w:val="32"/>
          <w:szCs w:val="32"/>
          <w:lang w:val="en-US" w:eastAsia="zh-CN" w:bidi="ar"/>
        </w:rPr>
        <w:t>功能区噪声监测设置7个监测点位，分别对应1类、2类、3类、4类声环境功能区：1类区3个点位</w:t>
      </w:r>
      <w:r>
        <w:rPr>
          <w:rFonts w:hint="eastAsia" w:ascii="仿宋_GB2312" w:hAnsi="仿宋_GB2312" w:eastAsia="仿宋_GB2312" w:cs="仿宋_GB2312"/>
          <w:color w:val="auto"/>
          <w:kern w:val="2"/>
          <w:sz w:val="32"/>
          <w:szCs w:val="32"/>
          <w:lang w:val="en-US" w:eastAsia="zh-CN" w:bidi="ar"/>
        </w:rPr>
        <w:t>（市生态环境局高台分局、高台县水务局水质检测中心、中国工农红军西路军纪念馆）</w:t>
      </w:r>
      <w:r>
        <w:rPr>
          <w:rFonts w:hint="eastAsia" w:ascii="仿宋_GB2312" w:hAnsi="仿宋_GB2312" w:eastAsia="仿宋_GB2312" w:cs="仿宋_GB2312"/>
          <w:i w:val="0"/>
          <w:iCs w:val="0"/>
          <w:caps w:val="0"/>
          <w:color w:val="auto"/>
          <w:spacing w:val="0"/>
          <w:kern w:val="2"/>
          <w:sz w:val="32"/>
          <w:szCs w:val="32"/>
          <w:lang w:val="en-US" w:eastAsia="zh-CN" w:bidi="ar"/>
        </w:rPr>
        <w:t>，2类区2个点位</w:t>
      </w:r>
      <w:r>
        <w:rPr>
          <w:rFonts w:hint="eastAsia" w:ascii="仿宋_GB2312" w:hAnsi="仿宋_GB2312" w:eastAsia="仿宋_GB2312" w:cs="仿宋_GB2312"/>
          <w:color w:val="auto"/>
          <w:kern w:val="2"/>
          <w:sz w:val="32"/>
          <w:szCs w:val="32"/>
          <w:lang w:val="en-US" w:eastAsia="zh-CN" w:bidi="ar"/>
        </w:rPr>
        <w:t>（雨田酒店、双龙宾馆（东升大厦））</w:t>
      </w:r>
      <w:r>
        <w:rPr>
          <w:rFonts w:hint="eastAsia" w:ascii="仿宋_GB2312" w:hAnsi="仿宋_GB2312" w:eastAsia="仿宋_GB2312" w:cs="仿宋_GB2312"/>
          <w:i w:val="0"/>
          <w:iCs w:val="0"/>
          <w:caps w:val="0"/>
          <w:color w:val="auto"/>
          <w:spacing w:val="0"/>
          <w:kern w:val="2"/>
          <w:sz w:val="32"/>
          <w:szCs w:val="32"/>
          <w:lang w:val="en-US" w:eastAsia="zh-CN" w:bidi="ar"/>
        </w:rPr>
        <w:t>，</w:t>
      </w:r>
      <w:r>
        <w:rPr>
          <w:rFonts w:hint="eastAsia" w:ascii="仿宋_GB2312" w:hAnsi="仿宋_GB2312" w:eastAsia="仿宋_GB2312" w:cs="仿宋_GB2312"/>
          <w:color w:val="auto"/>
          <w:kern w:val="2"/>
          <w:sz w:val="32"/>
          <w:szCs w:val="32"/>
          <w:lang w:val="en-US" w:eastAsia="zh-CN" w:bidi="ar"/>
        </w:rPr>
        <w:t>Ⅲ类区1个点位（高台县污水处理厂），</w:t>
      </w:r>
      <w:r>
        <w:rPr>
          <w:rFonts w:hint="eastAsia" w:ascii="仿宋_GB2312" w:hAnsi="仿宋_GB2312" w:eastAsia="仿宋_GB2312" w:cs="仿宋_GB2312"/>
          <w:i w:val="0"/>
          <w:iCs w:val="0"/>
          <w:caps w:val="0"/>
          <w:color w:val="auto"/>
          <w:spacing w:val="0"/>
          <w:kern w:val="2"/>
          <w:sz w:val="32"/>
          <w:szCs w:val="32"/>
          <w:lang w:val="en-US" w:eastAsia="zh-CN" w:bidi="ar"/>
        </w:rPr>
        <w:t>4类区1个点位</w:t>
      </w:r>
      <w:r>
        <w:rPr>
          <w:rFonts w:hint="eastAsia" w:ascii="仿宋_GB2312" w:hAnsi="仿宋_GB2312" w:eastAsia="仿宋_GB2312" w:cs="仿宋_GB2312"/>
          <w:color w:val="auto"/>
          <w:kern w:val="2"/>
          <w:sz w:val="32"/>
          <w:szCs w:val="32"/>
          <w:lang w:val="en-US" w:eastAsia="zh-CN" w:bidi="ar"/>
        </w:rPr>
        <w:t>（高台宾馆）</w:t>
      </w:r>
      <w:r>
        <w:rPr>
          <w:rFonts w:hint="eastAsia" w:ascii="仿宋_GB2312" w:hAnsi="仿宋_GB2312" w:eastAsia="仿宋_GB2312" w:cs="仿宋_GB2312"/>
          <w:i w:val="0"/>
          <w:iCs w:val="0"/>
          <w:caps w:val="0"/>
          <w:color w:val="auto"/>
          <w:spacing w:val="0"/>
          <w:kern w:val="2"/>
          <w:sz w:val="32"/>
          <w:szCs w:val="32"/>
          <w:lang w:val="en-US" w:eastAsia="zh-CN" w:bidi="ar"/>
        </w:rPr>
        <w:t>。监测频次为每季度监测1次，连续监测24小时每小时等效连续A声级，监测仪器采用AWA6218A+型噪声统计分析仪，监测方法执行《声环境质量标准》（GB3096-2008）。</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2022年，昼间全年达标率为 97.9%，夜间监测全年达标率为92.7%。1类区昼间、夜间监测达标率分别为91.7%和83.3%，2类区昼间、夜间监测达标率分别为100%和87.5%，3类区昼间、夜间监测达标率均为100%，4类区昼间、夜间监测达标率均为100%。</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2023年，昼间全年达标率为 98.3%，夜间监测全年达标率为98.3%。1类区昼间、夜间监测达标率均为91.7%，2类区昼间、夜间监测达标率均为100%，3类区昼间、夜间监测达标率均为100%，4类区昼间、夜间监测达标率均为100%。</w:t>
      </w:r>
    </w:p>
    <w:p>
      <w:pPr>
        <w:keepNext w:val="0"/>
        <w:keepLines w:val="0"/>
        <w:pageBreakBefore w:val="0"/>
        <w:widowControl w:val="0"/>
        <w:suppressLineNumbers w:val="0"/>
        <w:kinsoku/>
        <w:wordWrap w:val="0"/>
        <w:overflowPunct/>
        <w:topLinePunct w:val="0"/>
        <w:autoSpaceDE w:val="0"/>
        <w:autoSpaceDN w:val="0"/>
        <w:bidi w:val="0"/>
        <w:spacing w:before="0" w:beforeAutospacing="0" w:after="0" w:afterAutospacing="0" w:line="500" w:lineRule="exact"/>
        <w:ind w:left="0" w:right="0" w:firstLine="640" w:firstLineChars="200"/>
        <w:jc w:val="both"/>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2024年，昼间全年达标率为100%，夜间监测全年达标率为 96.9%。1 类区昼间、夜间监测达标率均为 100%，2 类区昼间、夜间监测达标率分别为 100%和 87.5%，3类区昼间、夜间监测达标率均为 100%，4 类区昼间、夜间监测达标率均为 100%。</w:t>
      </w:r>
    </w:p>
    <w:p>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500" w:lineRule="exact"/>
        <w:ind w:left="0" w:right="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2025年昼间、夜间全年监测点次达标率均为100%。1类区、2类区、3类区、4类区昼间、夜间监测点次达标率均为100%。</w:t>
      </w:r>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4" w:line="500" w:lineRule="exact"/>
        <w:ind w:firstLine="642" w:firstLineChars="200"/>
        <w:textAlignment w:val="baseline"/>
        <w:outlineLvl w:val="1"/>
        <w:rPr>
          <w:rFonts w:hint="eastAsia" w:ascii="仿宋_GB2312" w:hAnsi="仿宋_GB2312" w:eastAsia="仿宋_GB2312" w:cs="仿宋_GB2312"/>
          <w:color w:val="auto"/>
          <w:spacing w:val="1"/>
          <w:sz w:val="32"/>
          <w:szCs w:val="32"/>
          <w:highlight w:val="yellow"/>
        </w:rPr>
      </w:pPr>
      <w:bookmarkStart w:id="51" w:name="_Toc2543"/>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fldChar w:fldCharType="begin"/>
      </w:r>
      <w:r>
        <w:rPr>
          <w:rFonts w:hint="eastAsia" w:ascii="仿宋_GB2312" w:hAnsi="仿宋_GB2312" w:eastAsia="仿宋_GB2312" w:cs="仿宋_GB2312"/>
          <w:b/>
          <w:bCs/>
          <w:color w:val="auto"/>
          <w:sz w:val="32"/>
          <w:szCs w:val="32"/>
        </w:rPr>
        <w:instrText xml:space="preserve"> HYPERLINK \l "bookmark51" </w:instrText>
      </w:r>
      <w:r>
        <w:rPr>
          <w:rFonts w:hint="eastAsia" w:ascii="仿宋_GB2312" w:hAnsi="仿宋_GB2312" w:eastAsia="仿宋_GB2312" w:cs="仿宋_GB2312"/>
          <w:b/>
          <w:bCs/>
          <w:color w:val="auto"/>
          <w:sz w:val="32"/>
          <w:szCs w:val="32"/>
        </w:rPr>
        <w:fldChar w:fldCharType="separate"/>
      </w:r>
      <w:r>
        <w:rPr>
          <w:rFonts w:hint="eastAsia" w:ascii="仿宋_GB2312" w:hAnsi="仿宋_GB2312" w:eastAsia="仿宋_GB2312" w:cs="仿宋_GB2312"/>
          <w:b/>
          <w:bCs/>
          <w:color w:val="auto"/>
          <w:spacing w:val="6"/>
          <w:sz w:val="32"/>
          <w:szCs w:val="32"/>
          <w:lang w:val="en-US" w:eastAsia="zh-CN"/>
        </w:rPr>
        <w:t>5核与辐射环境状况</w:t>
      </w:r>
      <w:r>
        <w:rPr>
          <w:rFonts w:hint="eastAsia" w:ascii="仿宋_GB2312" w:hAnsi="仿宋_GB2312" w:eastAsia="仿宋_GB2312" w:cs="仿宋_GB2312"/>
          <w:b/>
          <w:bCs/>
          <w:color w:val="auto"/>
          <w:spacing w:val="-3"/>
          <w:sz w:val="32"/>
          <w:szCs w:val="32"/>
        </w:rPr>
        <w:fldChar w:fldCharType="end"/>
      </w:r>
      <w:bookmarkEnd w:id="51"/>
    </w:p>
    <w:p>
      <w:pPr>
        <w:keepNext w:val="0"/>
        <w:keepLines w:val="0"/>
        <w:pageBreakBefore w:val="0"/>
        <w:widowControl w:val="0"/>
        <w:kinsoku/>
        <w:wordWrap w:val="0"/>
        <w:overflowPunct/>
        <w:topLinePunct w:val="0"/>
        <w:autoSpaceDE w:val="0"/>
        <w:autoSpaceDN w:val="0"/>
        <w:bidi w:val="0"/>
        <w:adjustRightInd/>
        <w:snapToGrid/>
        <w:spacing w:line="500" w:lineRule="exact"/>
        <w:ind w:left="0" w:right="0" w:firstLine="640" w:firstLineChars="200"/>
        <w:textAlignment w:val="auto"/>
        <w:rPr>
          <w:rFonts w:hint="eastAsia"/>
          <w:color w:val="auto"/>
          <w:lang w:val="en-US" w:eastAsia="zh-CN"/>
        </w:rPr>
      </w:pPr>
      <w:r>
        <w:rPr>
          <w:rFonts w:hint="eastAsia" w:ascii="仿宋_GB2312" w:hAnsi="仿宋_GB2312" w:eastAsia="仿宋_GB2312" w:cs="仿宋_GB2312"/>
          <w:color w:val="auto"/>
          <w:spacing w:val="0"/>
          <w:sz w:val="32"/>
          <w:szCs w:val="32"/>
        </w:rPr>
        <w:t>截至202</w:t>
      </w:r>
      <w:r>
        <w:rPr>
          <w:rFonts w:hint="eastAsia" w:ascii="仿宋_GB2312" w:hAnsi="仿宋_GB2312" w:eastAsia="仿宋_GB2312" w:cs="仿宋_GB2312"/>
          <w:color w:val="auto"/>
          <w:spacing w:val="0"/>
          <w:sz w:val="32"/>
          <w:szCs w:val="32"/>
          <w:lang w:val="en-US" w:eastAsia="zh-CN"/>
        </w:rPr>
        <w:t>5</w:t>
      </w:r>
      <w:r>
        <w:rPr>
          <w:rFonts w:hint="eastAsia" w:ascii="仿宋_GB2312" w:hAnsi="仿宋_GB2312" w:eastAsia="仿宋_GB2312" w:cs="仿宋_GB2312"/>
          <w:color w:val="auto"/>
          <w:spacing w:val="0"/>
          <w:sz w:val="32"/>
          <w:szCs w:val="32"/>
        </w:rPr>
        <w:t>年年底，</w:t>
      </w:r>
      <w:r>
        <w:rPr>
          <w:rFonts w:hint="eastAsia" w:ascii="仿宋_GB2312" w:hAnsi="仿宋_GB2312" w:eastAsia="仿宋_GB2312" w:cs="仿宋_GB2312"/>
          <w:color w:val="auto"/>
          <w:spacing w:val="0"/>
          <w:sz w:val="32"/>
          <w:szCs w:val="32"/>
          <w:lang w:eastAsia="zh-CN"/>
        </w:rPr>
        <w:t>高台</w:t>
      </w:r>
      <w:r>
        <w:rPr>
          <w:rFonts w:hint="eastAsia" w:ascii="仿宋_GB2312" w:hAnsi="仿宋_GB2312" w:eastAsia="仿宋_GB2312" w:cs="仿宋_GB2312"/>
          <w:color w:val="auto"/>
          <w:spacing w:val="0"/>
          <w:sz w:val="32"/>
          <w:szCs w:val="32"/>
          <w:lang w:val="en-US" w:eastAsia="zh-CN"/>
        </w:rPr>
        <w:t>县无</w:t>
      </w:r>
      <w:r>
        <w:rPr>
          <w:rFonts w:hint="eastAsia" w:ascii="仿宋_GB2312" w:hAnsi="仿宋_GB2312" w:eastAsia="仿宋_GB2312" w:cs="仿宋_GB2312"/>
          <w:color w:val="auto"/>
          <w:spacing w:val="0"/>
          <w:sz w:val="32"/>
          <w:szCs w:val="32"/>
        </w:rPr>
        <w:t>放射源，射线装置使用单位共有</w:t>
      </w:r>
      <w:r>
        <w:rPr>
          <w:rFonts w:hint="eastAsia" w:ascii="仿宋_GB2312" w:hAnsi="仿宋_GB2312" w:eastAsia="仿宋_GB2312" w:cs="仿宋_GB2312"/>
          <w:color w:val="auto"/>
          <w:spacing w:val="0"/>
          <w:sz w:val="32"/>
          <w:szCs w:val="32"/>
          <w:lang w:val="en-US" w:eastAsia="zh-CN"/>
        </w:rPr>
        <w:t>14</w:t>
      </w:r>
      <w:r>
        <w:rPr>
          <w:rFonts w:hint="eastAsia" w:ascii="仿宋_GB2312" w:hAnsi="仿宋_GB2312" w:eastAsia="仿宋_GB2312" w:cs="仿宋_GB2312"/>
          <w:color w:val="auto"/>
          <w:spacing w:val="0"/>
          <w:sz w:val="32"/>
          <w:szCs w:val="32"/>
        </w:rPr>
        <w:t>家</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2"/>
          <w:sz w:val="32"/>
          <w:szCs w:val="32"/>
        </w:rPr>
        <w:t>城区</w:t>
      </w:r>
      <w:r>
        <w:rPr>
          <w:rFonts w:hint="eastAsia" w:ascii="仿宋_GB2312" w:hAnsi="仿宋_GB2312" w:eastAsia="仿宋_GB2312" w:cs="仿宋_GB2312"/>
          <w:color w:val="auto"/>
          <w:spacing w:val="-2"/>
          <w:sz w:val="32"/>
          <w:szCs w:val="32"/>
          <w:lang w:eastAsia="zh-CN"/>
        </w:rPr>
        <w:t>医疗机构（含个体诊所）</w:t>
      </w:r>
      <w:r>
        <w:rPr>
          <w:rFonts w:hint="eastAsia" w:ascii="仿宋_GB2312" w:hAnsi="仿宋_GB2312" w:eastAsia="仿宋_GB2312" w:cs="仿宋_GB2312"/>
          <w:color w:val="auto"/>
          <w:spacing w:val="-2"/>
          <w:sz w:val="32"/>
          <w:szCs w:val="32"/>
        </w:rPr>
        <w:t>8家，乡镇</w:t>
      </w:r>
      <w:r>
        <w:rPr>
          <w:rFonts w:hint="eastAsia" w:ascii="仿宋_GB2312" w:hAnsi="仿宋_GB2312" w:eastAsia="仿宋_GB2312" w:cs="仿宋_GB2312"/>
          <w:color w:val="auto"/>
          <w:spacing w:val="-2"/>
          <w:sz w:val="32"/>
          <w:szCs w:val="32"/>
          <w:lang w:eastAsia="zh-CN"/>
        </w:rPr>
        <w:t>卫生院</w:t>
      </w:r>
      <w:r>
        <w:rPr>
          <w:rFonts w:hint="eastAsia" w:ascii="仿宋_GB2312" w:hAnsi="仿宋_GB2312" w:eastAsia="仿宋_GB2312" w:cs="仿宋_GB2312"/>
          <w:color w:val="auto"/>
          <w:spacing w:val="-2"/>
          <w:sz w:val="32"/>
          <w:szCs w:val="32"/>
        </w:rPr>
        <w:t>6家</w:t>
      </w:r>
      <w:r>
        <w:rPr>
          <w:rFonts w:hint="eastAsia" w:ascii="仿宋_GB2312" w:hAnsi="仿宋_GB2312" w:eastAsia="仿宋_GB2312" w:cs="仿宋_GB2312"/>
          <w:color w:val="auto"/>
          <w:spacing w:val="-2"/>
          <w:sz w:val="32"/>
          <w:szCs w:val="32"/>
          <w:lang w:eastAsia="zh-CN"/>
        </w:rPr>
        <w:t>。</w:t>
      </w:r>
      <w:r>
        <w:rPr>
          <w:rFonts w:hint="eastAsia" w:ascii="仿宋_GB2312" w:hAnsi="仿宋_GB2312" w:eastAsia="仿宋_GB2312" w:cs="仿宋_GB2312"/>
          <w:color w:val="auto"/>
          <w:spacing w:val="-2"/>
          <w:sz w:val="32"/>
          <w:szCs w:val="32"/>
        </w:rPr>
        <w:t>共有射线装置58台，其中</w:t>
      </w:r>
      <w:r>
        <w:rPr>
          <w:rFonts w:hint="eastAsia" w:ascii="仿宋_GB2312" w:hAnsi="仿宋_GB2312" w:eastAsia="仿宋_GB2312" w:cs="仿宋_GB2312"/>
          <w:color w:val="auto"/>
          <w:spacing w:val="-2"/>
          <w:sz w:val="32"/>
          <w:szCs w:val="32"/>
          <w:lang w:eastAsia="zh-CN"/>
        </w:rPr>
        <w:t>Ⅱ</w:t>
      </w:r>
      <w:r>
        <w:rPr>
          <w:rFonts w:hint="eastAsia" w:ascii="仿宋_GB2312" w:hAnsi="仿宋_GB2312" w:eastAsia="仿宋_GB2312" w:cs="仿宋_GB2312"/>
          <w:color w:val="auto"/>
          <w:spacing w:val="-2"/>
          <w:sz w:val="32"/>
          <w:szCs w:val="32"/>
        </w:rPr>
        <w:t>类2台</w:t>
      </w:r>
      <w:r>
        <w:rPr>
          <w:rFonts w:hint="eastAsia" w:ascii="仿宋_GB2312" w:hAnsi="仿宋_GB2312" w:eastAsia="仿宋_GB2312" w:cs="仿宋_GB2312"/>
          <w:color w:val="auto"/>
          <w:spacing w:val="-2"/>
          <w:sz w:val="32"/>
          <w:szCs w:val="32"/>
          <w:lang w:eastAsia="zh-CN"/>
        </w:rPr>
        <w:t>（均在用）</w:t>
      </w:r>
      <w:r>
        <w:rPr>
          <w:rFonts w:hint="eastAsia" w:ascii="仿宋_GB2312" w:hAnsi="仿宋_GB2312" w:eastAsia="仿宋_GB2312" w:cs="仿宋_GB2312"/>
          <w:color w:val="auto"/>
          <w:spacing w:val="-2"/>
          <w:sz w:val="32"/>
          <w:szCs w:val="32"/>
        </w:rPr>
        <w:t>，Ⅲ类5</w:t>
      </w:r>
      <w:r>
        <w:rPr>
          <w:rFonts w:hint="eastAsia" w:ascii="仿宋_GB2312" w:hAnsi="仿宋_GB2312" w:eastAsia="仿宋_GB2312" w:cs="仿宋_GB2312"/>
          <w:color w:val="auto"/>
          <w:spacing w:val="-2"/>
          <w:sz w:val="32"/>
          <w:szCs w:val="32"/>
          <w:lang w:val="en-US" w:eastAsia="zh-CN"/>
        </w:rPr>
        <w:t>6</w:t>
      </w:r>
      <w:r>
        <w:rPr>
          <w:rFonts w:hint="eastAsia" w:ascii="仿宋_GB2312" w:hAnsi="仿宋_GB2312" w:eastAsia="仿宋_GB2312" w:cs="仿宋_GB2312"/>
          <w:color w:val="auto"/>
          <w:spacing w:val="-2"/>
          <w:sz w:val="32"/>
          <w:szCs w:val="32"/>
        </w:rPr>
        <w:t>台，在用</w:t>
      </w:r>
      <w:r>
        <w:rPr>
          <w:rFonts w:hint="eastAsia" w:ascii="仿宋_GB2312" w:hAnsi="仿宋_GB2312" w:eastAsia="仿宋_GB2312" w:cs="仿宋_GB2312"/>
          <w:color w:val="auto"/>
          <w:spacing w:val="-2"/>
          <w:sz w:val="32"/>
          <w:szCs w:val="32"/>
          <w:lang w:eastAsia="zh-CN"/>
        </w:rPr>
        <w:t>设备</w:t>
      </w:r>
      <w:r>
        <w:rPr>
          <w:rFonts w:hint="eastAsia" w:ascii="仿宋_GB2312" w:hAnsi="仿宋_GB2312" w:eastAsia="仿宋_GB2312" w:cs="仿宋_GB2312"/>
          <w:color w:val="auto"/>
          <w:spacing w:val="-2"/>
          <w:sz w:val="32"/>
          <w:szCs w:val="32"/>
        </w:rPr>
        <w:t>34台，闲置</w:t>
      </w:r>
      <w:r>
        <w:rPr>
          <w:rFonts w:hint="eastAsia" w:ascii="仿宋_GB2312" w:hAnsi="仿宋_GB2312" w:eastAsia="仿宋_GB2312" w:cs="仿宋_GB2312"/>
          <w:color w:val="auto"/>
          <w:spacing w:val="-2"/>
          <w:sz w:val="32"/>
          <w:szCs w:val="32"/>
          <w:lang w:eastAsia="zh-CN"/>
        </w:rPr>
        <w:t>设备</w:t>
      </w:r>
      <w:r>
        <w:rPr>
          <w:rFonts w:hint="eastAsia" w:ascii="仿宋_GB2312" w:hAnsi="仿宋_GB2312" w:eastAsia="仿宋_GB2312" w:cs="仿宋_GB2312"/>
          <w:color w:val="auto"/>
          <w:spacing w:val="-2"/>
          <w:sz w:val="32"/>
          <w:szCs w:val="32"/>
        </w:rPr>
        <w:t>24台</w:t>
      </w:r>
      <w:r>
        <w:rPr>
          <w:rFonts w:hint="eastAsia" w:ascii="仿宋_GB2312" w:hAnsi="仿宋_GB2312" w:eastAsia="仿宋_GB2312" w:cs="仿宋_GB2312"/>
          <w:color w:val="auto"/>
          <w:spacing w:val="-2"/>
          <w:sz w:val="32"/>
          <w:szCs w:val="32"/>
          <w:lang w:eastAsia="zh-CN"/>
        </w:rPr>
        <w:t>，所有设备均</w:t>
      </w:r>
      <w:r>
        <w:rPr>
          <w:rFonts w:hint="eastAsia" w:ascii="仿宋_GB2312" w:hAnsi="仿宋_GB2312" w:eastAsia="仿宋_GB2312" w:cs="仿宋_GB2312"/>
          <w:color w:val="auto"/>
          <w:spacing w:val="-2"/>
          <w:sz w:val="32"/>
          <w:szCs w:val="32"/>
        </w:rPr>
        <w:t>用于医疗诊断。</w:t>
      </w:r>
      <w:r>
        <w:rPr>
          <w:rFonts w:hint="eastAsia" w:ascii="仿宋_GB2312" w:hAnsi="仿宋_GB2312" w:eastAsia="仿宋_GB2312" w:cs="仿宋_GB2312"/>
          <w:b w:val="0"/>
          <w:bCs w:val="0"/>
          <w:snapToGrid w:val="0"/>
          <w:color w:val="auto"/>
          <w:spacing w:val="5"/>
          <w:kern w:val="0"/>
          <w:sz w:val="32"/>
          <w:szCs w:val="32"/>
          <w:lang w:val="en-US" w:eastAsia="zh-CN" w:bidi="ar-SA"/>
        </w:rPr>
        <w:t>县级及以上集中式饮用水水源地总α放射性、总β放射性全部达标。高台县新区湿地公园土壤放射性核素活度浓度测量值在全省土壤放射性核素活度浓度同步测量值范围内。</w:t>
      </w:r>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4" w:line="500" w:lineRule="exact"/>
        <w:ind w:firstLine="642" w:firstLineChars="200"/>
        <w:textAlignment w:val="baseline"/>
        <w:outlineLvl w:val="1"/>
        <w:rPr>
          <w:rFonts w:hint="eastAsia" w:ascii="仿宋_GB2312" w:hAnsi="仿宋_GB2312" w:eastAsia="仿宋_GB2312" w:cs="仿宋_GB2312"/>
          <w:b/>
          <w:bCs/>
          <w:color w:val="auto"/>
          <w:spacing w:val="1"/>
          <w:sz w:val="32"/>
          <w:szCs w:val="32"/>
          <w:highlight w:val="yellow"/>
        </w:rPr>
      </w:pPr>
      <w:bookmarkStart w:id="52" w:name="_Toc29879"/>
      <w:r>
        <w:rPr>
          <w:rFonts w:hint="eastAsia" w:ascii="仿宋_GB2312" w:hAnsi="仿宋_GB2312" w:eastAsia="仿宋_GB2312" w:cs="仿宋_GB2312"/>
          <w:b/>
          <w:bCs/>
          <w:color w:val="auto"/>
          <w:sz w:val="32"/>
          <w:szCs w:val="32"/>
          <w:lang w:val="en-US" w:eastAsia="zh-CN"/>
        </w:rPr>
        <w:t>2.6</w:t>
      </w:r>
      <w:r>
        <w:rPr>
          <w:rFonts w:hint="eastAsia" w:ascii="仿宋_GB2312" w:hAnsi="仿宋_GB2312" w:eastAsia="仿宋_GB2312" w:cs="仿宋_GB2312"/>
          <w:b/>
          <w:bCs/>
          <w:color w:val="auto"/>
          <w:spacing w:val="8"/>
          <w:sz w:val="32"/>
          <w:szCs w:val="32"/>
          <w:highlight w:val="none"/>
          <w:lang w:val="en-US" w:eastAsia="zh-CN"/>
        </w:rPr>
        <w:t>农村环境质量状况</w:t>
      </w:r>
      <w:bookmarkEnd w:id="52"/>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60" w:firstLineChars="200"/>
        <w:textAlignment w:val="auto"/>
        <w:rPr>
          <w:rFonts w:hint="eastAsia" w:ascii="仿宋_GB2312" w:hAnsi="仿宋_GB2312" w:eastAsia="仿宋_GB2312" w:cs="仿宋_GB2312"/>
          <w:b w:val="0"/>
          <w:bCs w:val="0"/>
          <w:snapToGrid w:val="0"/>
          <w:color w:val="auto"/>
          <w:spacing w:val="5"/>
          <w:kern w:val="0"/>
          <w:sz w:val="32"/>
          <w:szCs w:val="32"/>
          <w:lang w:val="en-US" w:eastAsia="zh-CN" w:bidi="ar-SA"/>
        </w:rPr>
      </w:pPr>
      <w:r>
        <w:rPr>
          <w:rFonts w:hint="eastAsia" w:ascii="仿宋_GB2312" w:hAnsi="仿宋_GB2312" w:eastAsia="仿宋_GB2312" w:cs="仿宋_GB2312"/>
          <w:b w:val="0"/>
          <w:bCs w:val="0"/>
          <w:snapToGrid w:val="0"/>
          <w:color w:val="auto"/>
          <w:spacing w:val="5"/>
          <w:kern w:val="0"/>
          <w:sz w:val="32"/>
          <w:szCs w:val="32"/>
          <w:lang w:val="en-US" w:eastAsia="zh-CN" w:bidi="ar-SA"/>
        </w:rPr>
        <w:t>“十四五”期间，高台县农村环境质量监测选取1个代表性行政村，为巷道镇殷家桥村（平原农业区）。监测内容包括环境空气、湖库点位、农业面源污染控制断面、土壤质量，监测频次为环境空气每季度监测1次，连续监测5天。湖库点位、农业面源污染控制断面每季度监测1次。土壤每五年监测1次。</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2021</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2025年，监测村庄</w:t>
      </w:r>
      <w:r>
        <w:rPr>
          <w:rFonts w:hint="eastAsia" w:ascii="仿宋_GB2312" w:hAnsi="仿宋_GB2312" w:eastAsia="仿宋_GB2312" w:cs="仿宋_GB2312"/>
          <w:i w:val="0"/>
          <w:iCs w:val="0"/>
          <w:caps w:val="0"/>
          <w:color w:val="auto"/>
          <w:spacing w:val="0"/>
          <w:sz w:val="32"/>
          <w:szCs w:val="32"/>
          <w:lang w:val="en-US" w:eastAsia="zh-CN"/>
        </w:rPr>
        <w:t>殷家桥</w:t>
      </w:r>
      <w:r>
        <w:rPr>
          <w:rFonts w:hint="eastAsia" w:ascii="仿宋_GB2312" w:hAnsi="仿宋_GB2312" w:eastAsia="仿宋_GB2312" w:cs="仿宋_GB2312"/>
          <w:i w:val="0"/>
          <w:iCs w:val="0"/>
          <w:caps w:val="0"/>
          <w:color w:val="auto"/>
          <w:spacing w:val="0"/>
          <w:sz w:val="32"/>
          <w:szCs w:val="32"/>
        </w:rPr>
        <w:t>环境空气质量符合《环境空气质量标准》（GB3095-2012）二级标准</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b w:val="0"/>
          <w:bCs w:val="0"/>
          <w:snapToGrid w:val="0"/>
          <w:color w:val="auto"/>
          <w:spacing w:val="5"/>
          <w:kern w:val="0"/>
          <w:sz w:val="32"/>
          <w:szCs w:val="32"/>
          <w:lang w:val="en-US" w:eastAsia="zh-CN" w:bidi="ar-SA"/>
        </w:rPr>
        <w:t>湖库点位监测《地表水环境质量标准》（GB3838-2002）表1中基本项目（共24项）监测，加测流量和硝酸盐（以N计）2项指标。</w:t>
      </w:r>
      <w:r>
        <w:rPr>
          <w:rFonts w:hint="eastAsia" w:ascii="仿宋_GB2312" w:hAnsi="仿宋_GB2312" w:eastAsia="仿宋_GB2312" w:cs="仿宋_GB2312"/>
          <w:i w:val="0"/>
          <w:iCs w:val="0"/>
          <w:caps w:val="0"/>
          <w:color w:val="auto"/>
          <w:spacing w:val="0"/>
          <w:sz w:val="32"/>
          <w:szCs w:val="32"/>
        </w:rPr>
        <w:t>2021</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2025年水质达标率</w:t>
      </w:r>
      <w:r>
        <w:rPr>
          <w:rFonts w:hint="eastAsia" w:ascii="仿宋_GB2312" w:hAnsi="仿宋_GB2312" w:eastAsia="仿宋_GB2312" w:cs="仿宋_GB2312"/>
          <w:i w:val="0"/>
          <w:iCs w:val="0"/>
          <w:caps w:val="0"/>
          <w:color w:val="auto"/>
          <w:spacing w:val="0"/>
          <w:sz w:val="32"/>
          <w:szCs w:val="32"/>
          <w:lang w:val="en-US" w:eastAsia="zh-CN"/>
        </w:rPr>
        <w:t>100</w:t>
      </w:r>
      <w:r>
        <w:rPr>
          <w:rFonts w:hint="eastAsia" w:ascii="仿宋_GB2312" w:hAnsi="仿宋_GB2312" w:eastAsia="仿宋_GB2312" w:cs="仿宋_GB2312"/>
          <w:i w:val="0"/>
          <w:iCs w:val="0"/>
          <w:caps w:val="0"/>
          <w:color w:val="auto"/>
          <w:spacing w:val="0"/>
          <w:sz w:val="32"/>
          <w:szCs w:val="32"/>
        </w:rPr>
        <w:t>%，监测指标年均浓度均符合</w:t>
      </w:r>
      <w:r>
        <w:rPr>
          <w:rFonts w:hint="eastAsia" w:ascii="仿宋_GB2312" w:hAnsi="仿宋_GB2312" w:eastAsia="仿宋_GB2312" w:cs="仿宋_GB2312"/>
          <w:i w:val="0"/>
          <w:iCs w:val="0"/>
          <w:caps w:val="0"/>
          <w:color w:val="auto"/>
          <w:spacing w:val="0"/>
          <w:sz w:val="32"/>
          <w:szCs w:val="32"/>
          <w:highlight w:val="none"/>
        </w:rPr>
        <w:t>《地表水环境质量标准》（GB3838-2002）</w:t>
      </w:r>
      <w:r>
        <w:rPr>
          <w:rFonts w:hint="eastAsia" w:ascii="仿宋_GB2312" w:hAnsi="仿宋_GB2312" w:eastAsia="仿宋_GB2312" w:cs="仿宋_GB2312"/>
          <w:i w:val="0"/>
          <w:iCs w:val="0"/>
          <w:caps w:val="0"/>
          <w:color w:val="auto"/>
          <w:spacing w:val="0"/>
          <w:sz w:val="32"/>
          <w:szCs w:val="32"/>
        </w:rPr>
        <w:t>Ⅲ类标准要求</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b w:val="0"/>
          <w:bCs w:val="0"/>
          <w:snapToGrid w:val="0"/>
          <w:color w:val="auto"/>
          <w:spacing w:val="5"/>
          <w:kern w:val="0"/>
          <w:sz w:val="32"/>
          <w:szCs w:val="32"/>
          <w:lang w:val="en-US" w:eastAsia="zh-CN" w:bidi="ar-SA"/>
        </w:rPr>
        <w:t>农业面源污染控制断面</w:t>
      </w:r>
      <w:r>
        <w:rPr>
          <w:rFonts w:hint="eastAsia" w:ascii="仿宋_GB2312" w:hAnsi="仿宋_GB2312" w:eastAsia="仿宋_GB2312" w:cs="仿宋_GB2312"/>
          <w:i w:val="0"/>
          <w:iCs w:val="0"/>
          <w:caps w:val="0"/>
          <w:color w:val="auto"/>
          <w:spacing w:val="0"/>
          <w:sz w:val="32"/>
          <w:szCs w:val="32"/>
        </w:rPr>
        <w:t>2021</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2025年水质稳定达到《地表水环境质量标准》（GB3838-2002）</w:t>
      </w:r>
      <w:r>
        <w:rPr>
          <w:rFonts w:hint="eastAsia" w:ascii="仿宋_GB2312" w:hAnsi="仿宋_GB2312" w:eastAsia="仿宋_GB2312" w:cs="仿宋_GB2312"/>
          <w:i w:val="0"/>
          <w:iCs w:val="0"/>
          <w:caps w:val="0"/>
          <w:color w:val="auto"/>
          <w:spacing w:val="0"/>
          <w:sz w:val="32"/>
          <w:szCs w:val="32"/>
          <w:lang w:eastAsia="zh-CN"/>
        </w:rPr>
        <w:t>Ⅱ类</w:t>
      </w:r>
      <w:r>
        <w:rPr>
          <w:rFonts w:hint="eastAsia" w:ascii="仿宋_GB2312" w:hAnsi="仿宋_GB2312" w:eastAsia="仿宋_GB2312" w:cs="仿宋_GB2312"/>
          <w:i w:val="0"/>
          <w:iCs w:val="0"/>
          <w:caps w:val="0"/>
          <w:color w:val="auto"/>
          <w:spacing w:val="0"/>
          <w:sz w:val="32"/>
          <w:szCs w:val="32"/>
        </w:rPr>
        <w:t>标准，地表水水质呈持续改善趋势。监测村庄土壤环境质量总体清洁，2021年监测指标均符合《土壤环境质量 农用地土壤污染风险管控标准》（GB15618-2018）风险筛选值要求，无土壤污染现象。土壤</w:t>
      </w:r>
      <w:r>
        <w:rPr>
          <w:rFonts w:hint="eastAsia" w:ascii="仿宋_GB2312" w:hAnsi="仿宋_GB2312" w:eastAsia="仿宋_GB2312" w:cs="仿宋_GB2312"/>
          <w:i w:val="0"/>
          <w:iCs w:val="0"/>
          <w:caps w:val="0"/>
          <w:color w:val="auto"/>
          <w:spacing w:val="0"/>
          <w:sz w:val="32"/>
          <w:szCs w:val="32"/>
          <w:lang w:val="en-US" w:eastAsia="zh-CN"/>
        </w:rPr>
        <w:t>各类监测值</w:t>
      </w:r>
      <w:r>
        <w:rPr>
          <w:rFonts w:hint="eastAsia" w:ascii="仿宋_GB2312" w:hAnsi="仿宋_GB2312" w:eastAsia="仿宋_GB2312" w:cs="仿宋_GB2312"/>
          <w:i w:val="0"/>
          <w:iCs w:val="0"/>
          <w:caps w:val="0"/>
          <w:color w:val="auto"/>
          <w:spacing w:val="0"/>
          <w:sz w:val="32"/>
          <w:szCs w:val="32"/>
        </w:rPr>
        <w:t>均远低于风险筛选值，土壤环境质量安全</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无污染现象。</w:t>
      </w:r>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60" w:firstLineChars="200"/>
        <w:textAlignment w:val="auto"/>
        <w:rPr>
          <w:rFonts w:hint="eastAsia" w:ascii="仿宋_GB2312" w:hAnsi="仿宋_GB2312" w:eastAsia="仿宋_GB2312" w:cs="仿宋_GB2312"/>
          <w:b w:val="0"/>
          <w:bCs w:val="0"/>
          <w:snapToGrid w:val="0"/>
          <w:color w:val="auto"/>
          <w:spacing w:val="5"/>
          <w:kern w:val="0"/>
          <w:sz w:val="32"/>
          <w:szCs w:val="32"/>
          <w:lang w:val="en-US" w:eastAsia="zh-CN" w:bidi="ar-SA"/>
        </w:rPr>
      </w:pPr>
      <w:r>
        <w:rPr>
          <w:rFonts w:hint="eastAsia" w:ascii="仿宋_GB2312" w:hAnsi="仿宋_GB2312" w:eastAsia="仿宋_GB2312" w:cs="仿宋_GB2312"/>
          <w:b w:val="0"/>
          <w:bCs w:val="0"/>
          <w:snapToGrid w:val="0"/>
          <w:color w:val="auto"/>
          <w:spacing w:val="5"/>
          <w:kern w:val="0"/>
          <w:sz w:val="32"/>
          <w:szCs w:val="32"/>
          <w:lang w:val="en-US" w:eastAsia="zh-CN" w:bidi="ar-SA"/>
        </w:rPr>
        <w:t>高台县农村生活污水处理设施共31座，实行“各镇属地管理、市生态环境局高台分局监督、第三方日常运营维护”的模式，由张掖市高台生态环境监测站承担每季度一次的监测任务，主要监测指标为pH、悬浮物、氨氮、化学需氧量。近年来，辖区农村生活污水处理站均运行正常，水质达到甘肃省《农村生活污水处理设施水污染物排放标准》（DB62/T 4014-2019）三级A标准。</w:t>
      </w:r>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4" w:line="500" w:lineRule="exact"/>
        <w:ind w:firstLine="674" w:firstLineChars="200"/>
        <w:textAlignment w:val="baseline"/>
        <w:outlineLvl w:val="1"/>
        <w:rPr>
          <w:rFonts w:hint="eastAsia"/>
          <w:b/>
          <w:bCs/>
          <w:color w:val="auto"/>
          <w:lang w:val="en-US" w:eastAsia="zh-CN"/>
        </w:rPr>
      </w:pPr>
      <w:bookmarkStart w:id="53" w:name="_Toc386"/>
      <w:r>
        <w:rPr>
          <w:rFonts w:hint="eastAsia" w:ascii="仿宋_GB2312" w:hAnsi="仿宋_GB2312" w:eastAsia="仿宋_GB2312" w:cs="仿宋_GB2312"/>
          <w:b/>
          <w:bCs/>
          <w:color w:val="auto"/>
          <w:spacing w:val="8"/>
          <w:sz w:val="32"/>
          <w:szCs w:val="32"/>
          <w:lang w:val="en-US" w:eastAsia="zh-CN"/>
        </w:rPr>
        <w:t>2.7固体废物及危废（医疗废物）管理情况</w:t>
      </w:r>
      <w:bookmarkEnd w:id="53"/>
    </w:p>
    <w:p>
      <w:pPr>
        <w:keepNext w:val="0"/>
        <w:keepLines w:val="0"/>
        <w:pageBreakBefore w:val="0"/>
        <w:widowControl w:val="0"/>
        <w:numPr>
          <w:ilvl w:val="0"/>
          <w:numId w:val="0"/>
        </w:numPr>
        <w:kinsoku/>
        <w:wordWrap w:val="0"/>
        <w:overflowPunct/>
        <w:topLinePunct w:val="0"/>
        <w:autoSpaceDE w:val="0"/>
        <w:autoSpaceDN w:val="0"/>
        <w:bidi w:val="0"/>
        <w:adjustRightInd/>
        <w:snapToGrid/>
        <w:spacing w:line="500" w:lineRule="exact"/>
        <w:ind w:firstLine="660" w:firstLineChars="200"/>
        <w:textAlignment w:val="auto"/>
        <w:rPr>
          <w:rFonts w:hint="eastAsia" w:ascii="仿宋_GB2312" w:hAnsi="仿宋_GB2312" w:eastAsia="仿宋_GB2312" w:cs="仿宋_GB2312"/>
          <w:b w:val="0"/>
          <w:bCs w:val="0"/>
          <w:snapToGrid w:val="0"/>
          <w:color w:val="auto"/>
          <w:spacing w:val="5"/>
          <w:kern w:val="0"/>
          <w:sz w:val="32"/>
          <w:szCs w:val="32"/>
          <w:lang w:val="en-US" w:eastAsia="zh-CN" w:bidi="ar-SA"/>
        </w:rPr>
      </w:pPr>
      <w:r>
        <w:rPr>
          <w:rFonts w:hint="eastAsia" w:ascii="仿宋_GB2312" w:hAnsi="仿宋_GB2312" w:eastAsia="仿宋_GB2312" w:cs="仿宋_GB2312"/>
          <w:b w:val="0"/>
          <w:bCs w:val="0"/>
          <w:snapToGrid w:val="0"/>
          <w:color w:val="auto"/>
          <w:spacing w:val="5"/>
          <w:kern w:val="0"/>
          <w:sz w:val="32"/>
          <w:szCs w:val="32"/>
          <w:lang w:val="en-US" w:eastAsia="zh-CN" w:bidi="ar-SA"/>
        </w:rPr>
        <w:t>“十四五”期间（2021—2025年），高台县深入贯彻《中华人民共和国固体废物污染环境防治法》，全面落实“减量化、资源化、无害化”总体方针，统筹推进工业固体废物、危险废物等各类固体废物污染防治工作。全县固体废物监管体系日趋完善，处置能力显著提升，资源化利用水平持续提高，固体废物环境风险得到有效防控，生态环境质量保持安全稳定，为全县经济社会高质量发展筑牢环境安全底线。</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一般工业固体废物</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2021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2025年，全县工业经济稳步发展，一般工业固体废物主要来源于化工、矿山开采、</w:t>
      </w:r>
      <w:r>
        <w:rPr>
          <w:rFonts w:hint="eastAsia" w:ascii="仿宋_GB2312" w:hAnsi="仿宋_GB2312" w:eastAsia="仿宋_GB2312" w:cs="仿宋_GB2312"/>
          <w:color w:val="auto"/>
          <w:sz w:val="32"/>
          <w:szCs w:val="32"/>
          <w:lang w:eastAsia="zh-CN"/>
        </w:rPr>
        <w:t>热力生产</w:t>
      </w:r>
      <w:r>
        <w:rPr>
          <w:rFonts w:hint="eastAsia" w:ascii="仿宋_GB2312" w:hAnsi="仿宋_GB2312" w:eastAsia="仿宋_GB2312" w:cs="仿宋_GB2312"/>
          <w:color w:val="auto"/>
          <w:sz w:val="32"/>
          <w:szCs w:val="32"/>
        </w:rPr>
        <w:t>等行业，以脱硫石膏、石英石粉、硫酸镁、硫酸钠、尾矿、炉渣等为主。五年累计产生量约186万吨，综合利用量约162万吨，综合利用率稳定在87%以上；填埋处置量约24万吨，无害化处置率达100%。建成南华工业园区、盐池工业园区2座一般工业固废填埋场，总库容27万立方米，可处置Ⅰ类、Ⅱ类一般工业固体废物。依托园区企业内部资源化利用设施，推动脱硫石膏、工业废渣等用于建材生产、土壤改良，实现“点对点”循环利用与梯级利用，大幅提升固废资源化利用效能。</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危险废物</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全县危险废物主要产生于工业企业、医疗机构、汽修行业等，类别涵盖蒸馏残渣、废活性炭、废催化剂、</w:t>
      </w:r>
      <w:r>
        <w:rPr>
          <w:rFonts w:hint="eastAsia" w:ascii="仿宋_GB2312" w:hAnsi="仿宋_GB2312" w:eastAsia="仿宋_GB2312" w:cs="仿宋_GB2312"/>
          <w:color w:val="auto"/>
          <w:sz w:val="32"/>
          <w:szCs w:val="32"/>
          <w:lang w:eastAsia="zh-CN"/>
        </w:rPr>
        <w:t>混盐、</w:t>
      </w:r>
      <w:r>
        <w:rPr>
          <w:rFonts w:hint="eastAsia" w:ascii="仿宋_GB2312" w:hAnsi="仿宋_GB2312" w:eastAsia="仿宋_GB2312" w:cs="仿宋_GB2312"/>
          <w:color w:val="auto"/>
          <w:sz w:val="32"/>
          <w:szCs w:val="32"/>
        </w:rPr>
        <w:t>医疗废物等。五年累计产生危险废物约1.2万吨，全部实现规范化收集、贮存、转运、处置，规范化管理率达100%。建成危险废物智能化信息监管平台，全县135家危险废物产生单位完成环境管理评估，7家重点单位接入平台，实现危险废物从产生到处置的全过程电子化跟踪、智能化监控。2021年9月开工建设张掖市危废（固废）处置及资源化利用中心，项目总投资5.07亿元，占地400亩，2024年全面建成投运。项目总处置规模15.1万吨/年，包含焚烧处置2万吨/年、物化处置1万吨/年、固化填埋10万吨/年、废铅酸电池收集0.3万吨/年、工业固废安全填埋1.8万吨/年，填补了河西地区综合性危废处置空白，满足全县及周边区域危废处置需求。</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生活垃圾</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2021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2025年，全县生活垃圾产生量逐年平稳增长，五年累计产生约16.4万吨，全部实现无害化处理，无害化处理率稳定100%。生活垃圾</w:t>
      </w:r>
      <w:r>
        <w:rPr>
          <w:rFonts w:hint="eastAsia" w:ascii="仿宋_GB2312" w:hAnsi="仿宋_GB2312" w:eastAsia="仿宋_GB2312" w:cs="仿宋_GB2312"/>
          <w:color w:val="auto"/>
          <w:sz w:val="32"/>
          <w:szCs w:val="32"/>
          <w:lang w:eastAsia="zh-CN"/>
        </w:rPr>
        <w:t>采用卫生填埋为主</w:t>
      </w:r>
      <w:r>
        <w:rPr>
          <w:rFonts w:hint="eastAsia" w:ascii="仿宋_GB2312" w:hAnsi="仿宋_GB2312" w:eastAsia="仿宋_GB2312" w:cs="仿宋_GB2312"/>
          <w:color w:val="auto"/>
          <w:sz w:val="32"/>
          <w:szCs w:val="32"/>
        </w:rPr>
        <w:t>、压缩转运为辅的处理模式，县城及乡镇生活垃圾统一收集、集中处置。建成县城生活垃圾填埋场1座、乡镇生活垃圾填埋场2座。配备垃圾箱（桶）3.54万个、垃圾斗2487个、人力保洁车1245辆、垃圾压缩车15辆，实现农村“一户一桶、一社一斗、一镇一车”全覆盖，城乡生活垃圾收运处置体系全面完善。</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2025年，高台县固体废物污染防治工作取得显著成效，监管体系不断健全、处置能力大幅提升、资源化利用水平持续提高、环境风险有效防控。全县固体废物产生、利用、处置总体规范，生态环境质量保持安全稳定。</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74" w:firstLineChars="200"/>
        <w:textAlignment w:val="auto"/>
        <w:outlineLvl w:val="1"/>
        <w:rPr>
          <w:rFonts w:hint="eastAsia" w:ascii="仿宋_GB2312" w:hAnsi="仿宋_GB2312" w:eastAsia="仿宋_GB2312" w:cs="仿宋_GB2312"/>
          <w:b/>
          <w:bCs/>
          <w:color w:val="auto"/>
          <w:spacing w:val="1"/>
          <w:sz w:val="32"/>
          <w:szCs w:val="32"/>
          <w:highlight w:val="yellow"/>
        </w:rPr>
      </w:pPr>
      <w:bookmarkStart w:id="54" w:name="_Toc15656"/>
      <w:r>
        <w:rPr>
          <w:rFonts w:hint="eastAsia" w:ascii="仿宋_GB2312" w:hAnsi="仿宋_GB2312" w:eastAsia="仿宋_GB2312" w:cs="仿宋_GB2312"/>
          <w:b/>
          <w:bCs/>
          <w:color w:val="auto"/>
          <w:spacing w:val="8"/>
          <w:sz w:val="32"/>
          <w:szCs w:val="32"/>
          <w:highlight w:val="none"/>
          <w:lang w:val="en-US" w:eastAsia="zh-CN"/>
        </w:rPr>
        <w:t>2.8</w:t>
      </w:r>
      <w:r>
        <w:rPr>
          <w:rFonts w:hint="eastAsia" w:ascii="仿宋_GB2312" w:hAnsi="仿宋_GB2312" w:eastAsia="仿宋_GB2312" w:cs="仿宋_GB2312"/>
          <w:b/>
          <w:bCs/>
          <w:color w:val="auto"/>
          <w:sz w:val="32"/>
          <w:szCs w:val="32"/>
        </w:rPr>
        <w:fldChar w:fldCharType="begin"/>
      </w:r>
      <w:r>
        <w:rPr>
          <w:rFonts w:hint="eastAsia" w:ascii="仿宋_GB2312" w:hAnsi="仿宋_GB2312" w:eastAsia="仿宋_GB2312" w:cs="仿宋_GB2312"/>
          <w:b/>
          <w:bCs/>
          <w:color w:val="auto"/>
          <w:sz w:val="32"/>
          <w:szCs w:val="32"/>
        </w:rPr>
        <w:instrText xml:space="preserve"> HYPERLINK \l "bookmark51" </w:instrText>
      </w:r>
      <w:r>
        <w:rPr>
          <w:rFonts w:hint="eastAsia" w:ascii="仿宋_GB2312" w:hAnsi="仿宋_GB2312" w:eastAsia="仿宋_GB2312" w:cs="仿宋_GB2312"/>
          <w:b/>
          <w:bCs/>
          <w:color w:val="auto"/>
          <w:sz w:val="32"/>
          <w:szCs w:val="32"/>
        </w:rPr>
        <w:fldChar w:fldCharType="separate"/>
      </w:r>
      <w:r>
        <w:rPr>
          <w:rFonts w:hint="eastAsia" w:ascii="仿宋_GB2312" w:hAnsi="仿宋_GB2312" w:eastAsia="仿宋_GB2312" w:cs="仿宋_GB2312"/>
          <w:b/>
          <w:bCs/>
          <w:color w:val="auto"/>
          <w:spacing w:val="6"/>
          <w:sz w:val="32"/>
          <w:szCs w:val="32"/>
        </w:rPr>
        <w:t>主要污染物</w:t>
      </w:r>
      <w:r>
        <w:rPr>
          <w:rFonts w:hint="eastAsia" w:ascii="仿宋_GB2312" w:hAnsi="仿宋_GB2312" w:eastAsia="仿宋_GB2312" w:cs="仿宋_GB2312"/>
          <w:b/>
          <w:bCs/>
          <w:color w:val="auto"/>
          <w:spacing w:val="6"/>
          <w:sz w:val="32"/>
          <w:szCs w:val="32"/>
          <w:lang w:val="en-US" w:eastAsia="zh-CN"/>
        </w:rPr>
        <w:t>总量减排及污染控制</w:t>
      </w:r>
      <w:r>
        <w:rPr>
          <w:rFonts w:hint="eastAsia" w:ascii="仿宋_GB2312" w:hAnsi="仿宋_GB2312" w:eastAsia="仿宋_GB2312" w:cs="仿宋_GB2312"/>
          <w:b/>
          <w:bCs/>
          <w:color w:val="auto"/>
          <w:spacing w:val="-50"/>
          <w:sz w:val="32"/>
          <w:szCs w:val="32"/>
        </w:rPr>
        <w:t xml:space="preserve"> </w:t>
      </w:r>
      <w:r>
        <w:rPr>
          <w:rFonts w:hint="eastAsia" w:ascii="仿宋_GB2312" w:hAnsi="仿宋_GB2312" w:eastAsia="仿宋_GB2312" w:cs="仿宋_GB2312"/>
          <w:b/>
          <w:bCs/>
          <w:color w:val="auto"/>
          <w:spacing w:val="-3"/>
          <w:sz w:val="32"/>
          <w:szCs w:val="32"/>
        </w:rPr>
        <w:fldChar w:fldCharType="end"/>
      </w:r>
      <w:bookmarkEnd w:id="54"/>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四五”期间，高台县严格落实污染物总量控制制度，通过产业结构优化、污染治理设施建设、清洁能源替代等一系列措施，污染物排放总量持续下降，环境质量得到有效改善。“十四五”期间，全县主要污染物排放总量大幅削减，其中化学需氧量削减210吨、氨氮削减4吨、氮氧化物削减147吨，挥发性有机物削减28吨，均超额完成“十四五”总量减排目标任务。</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6" w:firstLineChars="200"/>
        <w:textAlignment w:val="auto"/>
        <w:outlineLvl w:val="1"/>
        <w:rPr>
          <w:rFonts w:hint="eastAsia" w:ascii="仿宋_GB2312" w:hAnsi="仿宋_GB2312" w:eastAsia="仿宋_GB2312" w:cs="仿宋_GB2312"/>
          <w:color w:val="auto"/>
          <w:spacing w:val="1"/>
          <w:sz w:val="32"/>
          <w:szCs w:val="32"/>
          <w:highlight w:val="yellow"/>
        </w:rPr>
      </w:pPr>
      <w:bookmarkStart w:id="55" w:name="_Toc18391"/>
      <w:r>
        <w:rPr>
          <w:rFonts w:hint="eastAsia" w:ascii="仿宋_GB2312" w:hAnsi="仿宋_GB2312" w:eastAsia="仿宋_GB2312" w:cs="仿宋_GB2312"/>
          <w:b/>
          <w:bCs/>
          <w:color w:val="auto"/>
          <w:spacing w:val="1"/>
          <w:sz w:val="32"/>
          <w:szCs w:val="32"/>
          <w:highlight w:val="none"/>
          <w:lang w:val="en-US" w:eastAsia="zh-CN"/>
        </w:rPr>
        <w:t>2.9黑河湿地及祁连山自然保护区监管情况</w:t>
      </w:r>
      <w:bookmarkEnd w:id="55"/>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为进一步加强我县自然保护区生态环境监督检查，着力解决自然保护区内存在的各类生态环境问题，全面履行自然保护区监督管理的工作要求，</w:t>
      </w:r>
      <w:r>
        <w:rPr>
          <w:rFonts w:hint="eastAsia" w:ascii="仿宋_GB2312" w:hAnsi="仿宋_GB2312" w:eastAsia="仿宋_GB2312" w:cs="仿宋_GB2312"/>
          <w:color w:val="auto"/>
          <w:sz w:val="32"/>
          <w:szCs w:val="32"/>
          <w:lang w:val="en-US" w:eastAsia="zh-CN"/>
        </w:rPr>
        <w:t>“十四五”期间，按照</w:t>
      </w:r>
      <w:r>
        <w:rPr>
          <w:rFonts w:hint="default" w:ascii="仿宋_GB2312" w:hAnsi="仿宋_GB2312" w:eastAsia="仿宋_GB2312" w:cs="仿宋_GB2312"/>
          <w:color w:val="auto"/>
          <w:sz w:val="32"/>
          <w:szCs w:val="32"/>
          <w:lang w:val="en-US" w:eastAsia="zh-CN"/>
        </w:rPr>
        <w:t>《张掖市生态环境局高台分局自然保护区环保监督专项检查工作方案》，</w:t>
      </w:r>
      <w:r>
        <w:rPr>
          <w:rFonts w:hint="eastAsia" w:ascii="仿宋_GB2312" w:hAnsi="仿宋_GB2312" w:eastAsia="仿宋_GB2312" w:cs="仿宋_GB2312"/>
          <w:color w:val="auto"/>
          <w:sz w:val="32"/>
          <w:szCs w:val="32"/>
          <w:lang w:val="en-US" w:eastAsia="zh-CN"/>
        </w:rPr>
        <w:t>联合</w:t>
      </w:r>
      <w:r>
        <w:rPr>
          <w:rFonts w:hint="default" w:ascii="仿宋_GB2312" w:hAnsi="仿宋_GB2312" w:eastAsia="仿宋_GB2312" w:cs="仿宋_GB2312"/>
          <w:color w:val="auto"/>
          <w:sz w:val="32"/>
          <w:szCs w:val="32"/>
          <w:lang w:val="en-US" w:eastAsia="zh-CN"/>
        </w:rPr>
        <w:t>县湿地局、县水务局组成联合检查组</w:t>
      </w:r>
      <w:r>
        <w:rPr>
          <w:rFonts w:hint="eastAsia" w:ascii="仿宋_GB2312" w:hAnsi="仿宋_GB2312" w:eastAsia="仿宋_GB2312" w:cs="仿宋_GB2312"/>
          <w:color w:val="auto"/>
          <w:sz w:val="32"/>
          <w:szCs w:val="32"/>
          <w:lang w:val="en-US" w:eastAsia="zh-CN"/>
        </w:rPr>
        <w:t>每季度</w:t>
      </w:r>
      <w:r>
        <w:rPr>
          <w:rFonts w:hint="default" w:ascii="仿宋_GB2312" w:hAnsi="仿宋_GB2312" w:eastAsia="仿宋_GB2312" w:cs="仿宋_GB2312"/>
          <w:color w:val="auto"/>
          <w:sz w:val="32"/>
          <w:szCs w:val="32"/>
          <w:lang w:val="en-US" w:eastAsia="zh-CN"/>
        </w:rPr>
        <w:t>对黑河湿地国家级自然保护区和祁连山自然保护区我县涉及我县的摆浪河水库、水关河水库、石灰关水库、黑达坂水库和红沙河塘坝等点位开展实地检查。</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一是联合县湿地局对黑河湿地自然保护区环境保护情况进行专项检查，通过实地检查、查阅资料等方式，对自然保护区93个设施点进行了检查，</w:t>
      </w:r>
      <w:r>
        <w:rPr>
          <w:rFonts w:hint="eastAsia" w:ascii="仿宋_GB2312" w:hAnsi="仿宋_GB2312" w:eastAsia="仿宋_GB2312" w:cs="仿宋_GB2312"/>
          <w:color w:val="auto"/>
          <w:sz w:val="32"/>
          <w:szCs w:val="32"/>
          <w:lang w:val="en-US" w:eastAsia="zh-CN"/>
        </w:rPr>
        <w:t>五年来</w:t>
      </w:r>
      <w:r>
        <w:rPr>
          <w:rFonts w:hint="default" w:ascii="仿宋_GB2312" w:hAnsi="仿宋_GB2312" w:eastAsia="仿宋_GB2312" w:cs="仿宋_GB2312"/>
          <w:color w:val="auto"/>
          <w:sz w:val="32"/>
          <w:szCs w:val="32"/>
          <w:lang w:val="en-US" w:eastAsia="zh-CN"/>
        </w:rPr>
        <w:t>自然保护区内生态环境良好，周边环境干净整洁，且无发生新的破坏现象。</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二是联合县水务局对涉及我县祁连山自然保护区4库1塘生态环境开展巡查检查，通过现场检查和无人机航拍，4座水库下泄灌溉用水</w:t>
      </w:r>
      <w:r>
        <w:rPr>
          <w:rFonts w:hint="eastAsia" w:ascii="仿宋_GB2312" w:hAnsi="仿宋_GB2312" w:eastAsia="仿宋_GB2312" w:cs="仿宋_GB2312"/>
          <w:color w:val="auto"/>
          <w:sz w:val="32"/>
          <w:szCs w:val="32"/>
          <w:lang w:val="en-US" w:eastAsia="zh-CN"/>
        </w:rPr>
        <w:t>正常</w:t>
      </w:r>
      <w:r>
        <w:rPr>
          <w:rFonts w:hint="default" w:ascii="仿宋_GB2312" w:hAnsi="仿宋_GB2312" w:eastAsia="仿宋_GB2312" w:cs="仿宋_GB2312"/>
          <w:color w:val="auto"/>
          <w:sz w:val="32"/>
          <w:szCs w:val="32"/>
          <w:lang w:val="en-US" w:eastAsia="zh-CN"/>
        </w:rPr>
        <w:t>，5个点位周边区域整体环境保护状况良好，植被覆盖度稳步提高，水土保持功能有效发挥，与周边自然地貌融为一体，无明显生态差异。栽植的各类树木、芨芨草等绿化植物长势良好，管护责任落实，对枯死树木及时进行了补植，使成活率及保存率符合预期。部分区域已实施围栏封育措施，有效杜绝了乱挖砂、取土、放牧、采摘等人类活动干扰。</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三是完善巡查记录台账。认真查看相关整改点巡查记录台账和工作资料，对存在的问题进行现场交办，督促做到即知即改。结合巡查实际，按要求规范做好巡查记录和执法检查工作台账，坚持做到“四有”</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有检查、有记录、有影像、有档案，形成了完整的工作资料。</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四是县湿地局组织对自然保护区协管员进行培训，督促协管员认真落实每日巡护制度，全面排查火灾隐患和及时劝阻在湿地自然保护区个别放牧的行为，确保自然保护区环境安全。</w:t>
      </w:r>
    </w:p>
    <w:p>
      <w:pPr>
        <w:keepNext w:val="0"/>
        <w:keepLines w:val="0"/>
        <w:pageBreakBefore w:val="0"/>
        <w:widowControl w:val="0"/>
        <w:kinsoku/>
        <w:wordWrap w:val="0"/>
        <w:overflowPunct/>
        <w:topLinePunct w:val="0"/>
        <w:autoSpaceDE w:val="0"/>
        <w:autoSpaceDN w:val="0"/>
        <w:bidi w:val="0"/>
        <w:adjustRightInd/>
        <w:snapToGrid/>
        <w:spacing w:line="500" w:lineRule="exact"/>
        <w:ind w:firstLine="640" w:firstLineChars="200"/>
        <w:textAlignment w:val="auto"/>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lang w:val="en-US" w:eastAsia="zh-CN"/>
        </w:rPr>
        <w:t>五是</w:t>
      </w:r>
      <w:r>
        <w:rPr>
          <w:rFonts w:hint="default" w:ascii="仿宋_GB2312" w:hAnsi="仿宋_GB2312" w:eastAsia="仿宋_GB2312" w:cs="仿宋_GB2312"/>
          <w:color w:val="auto"/>
          <w:sz w:val="32"/>
          <w:szCs w:val="32"/>
          <w:lang w:val="en-US" w:eastAsia="zh-CN"/>
        </w:rPr>
        <w:t>多种形式并举，开展宣传教育。“两节”期间，结合全县文化科技卫生“三下乡”活动，到各镇设置宣传咨询点开展生态环境保护方面法律法规的宣传和群众咨询投诉，</w:t>
      </w:r>
      <w:r>
        <w:rPr>
          <w:rFonts w:hint="eastAsia" w:ascii="仿宋_GB2312" w:hAnsi="仿宋_GB2312" w:eastAsia="仿宋_GB2312" w:cs="仿宋_GB2312"/>
          <w:color w:val="auto"/>
          <w:sz w:val="32"/>
          <w:szCs w:val="32"/>
          <w:lang w:val="en-US" w:eastAsia="zh-CN"/>
        </w:rPr>
        <w:t>通过</w:t>
      </w:r>
      <w:r>
        <w:rPr>
          <w:rFonts w:hint="default" w:ascii="仿宋_GB2312" w:hAnsi="仿宋_GB2312" w:eastAsia="仿宋_GB2312" w:cs="仿宋_GB2312"/>
          <w:color w:val="auto"/>
          <w:sz w:val="32"/>
          <w:szCs w:val="32"/>
          <w:lang w:val="en-US" w:eastAsia="zh-CN"/>
        </w:rPr>
        <w:t>展出生物多样性、碳达峰、碳中和、《</w:t>
      </w:r>
      <w:r>
        <w:rPr>
          <w:rFonts w:hint="eastAsia" w:ascii="仿宋_GB2312" w:hAnsi="仿宋_GB2312" w:eastAsia="仿宋_GB2312" w:cs="仿宋_GB2312"/>
          <w:color w:val="auto"/>
          <w:sz w:val="32"/>
          <w:szCs w:val="32"/>
          <w:lang w:val="en-US" w:eastAsia="zh-CN"/>
        </w:rPr>
        <w:t>中华人民共和国环境保护法</w:t>
      </w:r>
      <w:r>
        <w:rPr>
          <w:rFonts w:hint="default"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en-US" w:eastAsia="zh-CN"/>
        </w:rPr>
        <w:t>宣传展板</w:t>
      </w:r>
      <w:r>
        <w:rPr>
          <w:rFonts w:hint="default" w:ascii="仿宋_GB2312" w:hAnsi="仿宋_GB2312" w:eastAsia="仿宋_GB2312" w:cs="仿宋_GB2312"/>
          <w:color w:val="auto"/>
          <w:sz w:val="32"/>
          <w:szCs w:val="32"/>
          <w:lang w:val="en-US" w:eastAsia="zh-CN"/>
        </w:rPr>
        <w:t>、发放宣传册，现场解答群众咨询，受理交办环境信访投诉件</w:t>
      </w:r>
      <w:r>
        <w:rPr>
          <w:rFonts w:hint="eastAsia" w:ascii="仿宋_GB2312" w:hAnsi="仿宋_GB2312" w:eastAsia="仿宋_GB2312" w:cs="仿宋_GB2312"/>
          <w:color w:val="auto"/>
          <w:sz w:val="32"/>
          <w:szCs w:val="32"/>
          <w:lang w:val="en-US" w:eastAsia="zh-CN"/>
        </w:rPr>
        <w:t>等方式进行集中宣传</w:t>
      </w:r>
      <w:bookmarkStart w:id="56" w:name="_Toc983"/>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2" w:line="500" w:lineRule="exact"/>
        <w:jc w:val="center"/>
        <w:textAlignment w:val="baseline"/>
        <w:outlineLvl w:val="0"/>
        <w:rPr>
          <w:rFonts w:hint="eastAsia" w:ascii="黑体" w:hAnsi="黑体" w:eastAsia="黑体" w:cs="黑体"/>
          <w:color w:val="auto"/>
          <w:spacing w:val="3"/>
          <w:sz w:val="32"/>
          <w:szCs w:val="32"/>
          <w:lang w:val="en-US" w:eastAsia="zh-CN"/>
        </w:rPr>
      </w:pPr>
      <w:r>
        <w:rPr>
          <w:rFonts w:hint="eastAsia" w:ascii="黑体" w:hAnsi="黑体" w:eastAsia="黑体" w:cs="黑体"/>
          <w:color w:val="auto"/>
          <w:sz w:val="32"/>
          <w:szCs w:val="32"/>
        </w:rPr>
        <w:fldChar w:fldCharType="begin"/>
      </w:r>
      <w:r>
        <w:rPr>
          <w:rFonts w:hint="eastAsia" w:ascii="黑体" w:hAnsi="黑体" w:eastAsia="黑体" w:cs="黑体"/>
          <w:color w:val="auto"/>
          <w:sz w:val="32"/>
          <w:szCs w:val="32"/>
        </w:rPr>
        <w:instrText xml:space="preserve"> HYPERLINK \l "bookmark26" </w:instrText>
      </w:r>
      <w:r>
        <w:rPr>
          <w:rFonts w:hint="eastAsia" w:ascii="黑体" w:hAnsi="黑体" w:eastAsia="黑体" w:cs="黑体"/>
          <w:color w:val="auto"/>
          <w:sz w:val="32"/>
          <w:szCs w:val="32"/>
        </w:rPr>
        <w:fldChar w:fldCharType="separate"/>
      </w:r>
      <w:r>
        <w:rPr>
          <w:rFonts w:hint="eastAsia" w:ascii="黑体" w:hAnsi="黑体" w:eastAsia="黑体" w:cs="黑体"/>
          <w:color w:val="auto"/>
          <w:sz w:val="32"/>
          <w:szCs w:val="32"/>
          <w:lang w:eastAsia="zh-CN"/>
        </w:rPr>
        <w:t>三、</w:t>
      </w:r>
      <w:r>
        <w:rPr>
          <w:rFonts w:hint="eastAsia" w:ascii="黑体" w:hAnsi="黑体" w:eastAsia="黑体" w:cs="黑体"/>
          <w:color w:val="auto"/>
          <w:spacing w:val="7"/>
          <w:sz w:val="32"/>
          <w:szCs w:val="32"/>
          <w:lang w:val="en-US" w:eastAsia="zh-CN"/>
        </w:rPr>
        <w:t>生态环境问题诊断</w:t>
      </w:r>
      <w:r>
        <w:rPr>
          <w:rFonts w:hint="eastAsia" w:ascii="黑体" w:hAnsi="黑体" w:eastAsia="黑体" w:cs="黑体"/>
          <w:color w:val="auto"/>
          <w:spacing w:val="3"/>
          <w:sz w:val="32"/>
          <w:szCs w:val="32"/>
        </w:rPr>
        <w:fldChar w:fldCharType="end"/>
      </w:r>
      <w:bookmarkEnd w:id="56"/>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57" w:name="_Toc15581"/>
      <w:r>
        <w:rPr>
          <w:rFonts w:hint="eastAsia" w:ascii="仿宋_GB2312" w:hAnsi="仿宋_GB2312" w:eastAsia="仿宋_GB2312" w:cs="仿宋_GB2312"/>
          <w:b/>
          <w:bCs/>
          <w:i w:val="0"/>
          <w:iCs w:val="0"/>
          <w:caps w:val="0"/>
          <w:color w:val="auto"/>
          <w:spacing w:val="0"/>
          <w:sz w:val="32"/>
          <w:szCs w:val="32"/>
          <w:lang w:val="en-US" w:eastAsia="zh-CN"/>
        </w:rPr>
        <w:t>3.1生态环境质量明显改善，但稳中向好基础尚未稳固。</w:t>
      </w:r>
      <w:bookmarkEnd w:id="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楷体" w:hAnsi="楷体" w:eastAsia="楷体" w:cs="楷体"/>
          <w:b w:val="0"/>
          <w:bCs w:val="0"/>
          <w:i w:val="0"/>
          <w:iCs w:val="0"/>
          <w:caps w:val="0"/>
          <w:color w:val="auto"/>
          <w:spacing w:val="0"/>
          <w:sz w:val="32"/>
          <w:szCs w:val="32"/>
          <w:lang w:val="en-US" w:eastAsia="zh-CN"/>
        </w:rPr>
        <w:t>大气环境质量稳定达标存在挑战：</w:t>
      </w:r>
      <w:r>
        <w:rPr>
          <w:rFonts w:hint="eastAsia" w:ascii="仿宋_GB2312" w:hAnsi="仿宋_GB2312" w:eastAsia="仿宋_GB2312" w:cs="仿宋_GB2312"/>
          <w:b w:val="0"/>
          <w:bCs w:val="0"/>
          <w:i w:val="0"/>
          <w:iCs w:val="0"/>
          <w:caps w:val="0"/>
          <w:color w:val="auto"/>
          <w:spacing w:val="0"/>
          <w:sz w:val="32"/>
          <w:szCs w:val="32"/>
          <w:lang w:val="en-US" w:eastAsia="zh-CN"/>
        </w:rPr>
        <w:t>高台县荒漠化土地面积大、绿化覆盖率偏低，机动车保有量持续增长，PM10、PM2.5浓度背景值偏高，区域环境容量有限，空气环境质量综合指数在全市六县区排名靠后，空气质量持续改善压力较大。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楷体" w:hAnsi="楷体" w:eastAsia="楷体" w:cs="楷体"/>
          <w:b w:val="0"/>
          <w:bCs w:val="0"/>
          <w:i w:val="0"/>
          <w:iCs w:val="0"/>
          <w:caps w:val="0"/>
          <w:color w:val="auto"/>
          <w:spacing w:val="0"/>
          <w:sz w:val="32"/>
          <w:szCs w:val="32"/>
          <w:lang w:val="en-US" w:eastAsia="zh-CN"/>
        </w:rPr>
        <w:t>农业面源污染防治压力持续增大。</w:t>
      </w:r>
      <w:r>
        <w:rPr>
          <w:rFonts w:hint="eastAsia" w:ascii="仿宋_GB2312" w:hAnsi="仿宋_GB2312" w:eastAsia="仿宋_GB2312" w:cs="仿宋_GB2312"/>
          <w:b w:val="0"/>
          <w:bCs w:val="0"/>
          <w:i w:val="0"/>
          <w:iCs w:val="0"/>
          <w:caps w:val="0"/>
          <w:color w:val="auto"/>
          <w:spacing w:val="0"/>
          <w:sz w:val="32"/>
          <w:szCs w:val="32"/>
          <w:lang w:val="en-US" w:eastAsia="zh-CN"/>
        </w:rPr>
        <w:t>全县第一产业占GDP比重较高，农业生产规模大、覆盖面广，农药化肥流失、畜禽养殖粪污污染等问题依然突出。传统农业生产方式仍占主导，秸秆、尾菜、废旧农膜等资源化利用与循环农业模式推广范围有限，农业面源污染监管能力、监管覆盖面仍存在差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楷体" w:hAnsi="楷体" w:eastAsia="楷体" w:cs="楷体"/>
          <w:b w:val="0"/>
          <w:bCs w:val="0"/>
          <w:i w:val="0"/>
          <w:iCs w:val="0"/>
          <w:caps w:val="0"/>
          <w:color w:val="auto"/>
          <w:spacing w:val="0"/>
          <w:sz w:val="32"/>
          <w:szCs w:val="32"/>
          <w:lang w:val="en-US" w:eastAsia="zh-CN"/>
        </w:rPr>
        <w:t>城镇污水处理设施有待提质增效。</w:t>
      </w:r>
      <w:r>
        <w:rPr>
          <w:rFonts w:hint="eastAsia" w:ascii="仿宋_GB2312" w:hAnsi="仿宋_GB2312" w:eastAsia="仿宋_GB2312" w:cs="仿宋_GB2312"/>
          <w:b w:val="0"/>
          <w:bCs w:val="0"/>
          <w:i w:val="0"/>
          <w:iCs w:val="0"/>
          <w:caps w:val="0"/>
          <w:color w:val="auto"/>
          <w:spacing w:val="0"/>
          <w:sz w:val="32"/>
          <w:szCs w:val="32"/>
          <w:lang w:val="en-US" w:eastAsia="zh-CN"/>
        </w:rPr>
        <w:t>从污染源自动监控数据看，县城生活污水处理厂仍存在偶尔超标排放现象，可能对黑河干流水质造成影响，城镇污水收集管网不完善、处理工艺运行不稳定、运维管理精细化不足等问题制约水环境质量持续巩固。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58" w:name="_Toc1837"/>
      <w:r>
        <w:rPr>
          <w:rFonts w:hint="eastAsia" w:ascii="仿宋_GB2312" w:hAnsi="仿宋_GB2312" w:eastAsia="仿宋_GB2312" w:cs="仿宋_GB2312"/>
          <w:b/>
          <w:bCs/>
          <w:i w:val="0"/>
          <w:iCs w:val="0"/>
          <w:caps w:val="0"/>
          <w:color w:val="auto"/>
          <w:spacing w:val="0"/>
          <w:sz w:val="32"/>
          <w:szCs w:val="32"/>
          <w:lang w:val="en-US" w:eastAsia="zh-CN"/>
        </w:rPr>
        <w:t>3.2水资源供需矛盾突出，地下水超采治理难度大。</w:t>
      </w:r>
      <w:bookmarkEnd w:id="5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受干旱气候影响，山区河流径流量减少，黑河来水时空分布不均，水资源总量严重不足，在优先保障农田灌溉前提下，仅能满足少量公益林灌溉与湿地生态补水。随着经济社会发展，农业、工业、生态用水需求持续增长，水源工程建设不足、地表水调蓄能力弱，区域性缺水问题突出，用水供需矛盾逐年加剧，地下水超采治理压力大，水资源紧缺已成为制约全县高质量发展的突出瓶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59" w:name="_Toc21188"/>
      <w:r>
        <w:rPr>
          <w:rFonts w:hint="eastAsia" w:ascii="仿宋_GB2312" w:hAnsi="仿宋_GB2312" w:eastAsia="仿宋_GB2312" w:cs="仿宋_GB2312"/>
          <w:b/>
          <w:bCs/>
          <w:i w:val="0"/>
          <w:iCs w:val="0"/>
          <w:caps w:val="0"/>
          <w:color w:val="auto"/>
          <w:spacing w:val="0"/>
          <w:sz w:val="32"/>
          <w:szCs w:val="32"/>
          <w:lang w:val="en-US" w:eastAsia="zh-CN"/>
        </w:rPr>
        <w:t>3.3环境监管现代化水平不足，难以支撑治理体系高效运转。</w:t>
      </w:r>
      <w:bookmarkEnd w:id="5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环境监管信息化、智能化水平不高，大数据、无人机等先进技术应用不足，环境监管信息资源整合、共享与开发利用不充分。盐池化工园区入驻企业逐年增多，环境风险单元与隐患点增加，危废与固废规范化管理、废水稳定达标排放、挥发性有机物治理、智慧监管平台建设等任务繁重。部分化工企业环保投入不足、治污设施运行不到位，生态环境违法违规问题时有发生；生态环境专业技术人才短缺，监管力量与监管难度不匹配，现代化治理能力亟待提升。</w:t>
      </w:r>
      <w:bookmarkStart w:id="60" w:name="_Toc4186"/>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2" w:line="560" w:lineRule="exact"/>
        <w:ind w:left="20" w:leftChars="0" w:firstLine="640" w:firstLineChars="200"/>
        <w:jc w:val="center"/>
        <w:textAlignment w:val="baseline"/>
        <w:outlineLvl w:val="0"/>
        <w:rPr>
          <w:rFonts w:hint="eastAsia" w:ascii="黑体" w:hAnsi="黑体" w:eastAsia="黑体" w:cs="黑体"/>
          <w:color w:val="auto"/>
          <w:spacing w:val="3"/>
          <w:sz w:val="32"/>
          <w:szCs w:val="32"/>
          <w:lang w:val="en-US" w:eastAsia="zh-CN"/>
        </w:rPr>
      </w:pPr>
      <w:r>
        <w:rPr>
          <w:rFonts w:hint="eastAsia" w:ascii="黑体" w:hAnsi="黑体" w:eastAsia="黑体" w:cs="黑体"/>
          <w:color w:val="auto"/>
          <w:sz w:val="32"/>
          <w:szCs w:val="32"/>
        </w:rPr>
        <w:fldChar w:fldCharType="begin"/>
      </w:r>
      <w:r>
        <w:rPr>
          <w:rFonts w:hint="eastAsia" w:ascii="黑体" w:hAnsi="黑体" w:eastAsia="黑体" w:cs="黑体"/>
          <w:color w:val="auto"/>
          <w:sz w:val="32"/>
          <w:szCs w:val="32"/>
        </w:rPr>
        <w:instrText xml:space="preserve"> HYPERLINK \l "bookmark26" </w:instrText>
      </w:r>
      <w:r>
        <w:rPr>
          <w:rFonts w:hint="eastAsia" w:ascii="黑体" w:hAnsi="黑体" w:eastAsia="黑体" w:cs="黑体"/>
          <w:color w:val="auto"/>
          <w:sz w:val="32"/>
          <w:szCs w:val="32"/>
        </w:rPr>
        <w:fldChar w:fldCharType="separate"/>
      </w:r>
      <w:r>
        <w:rPr>
          <w:rFonts w:hint="eastAsia" w:ascii="黑体" w:hAnsi="黑体" w:eastAsia="黑体" w:cs="黑体"/>
          <w:color w:val="auto"/>
          <w:sz w:val="32"/>
          <w:szCs w:val="32"/>
          <w:lang w:eastAsia="zh-CN"/>
        </w:rPr>
        <w:t>四、</w:t>
      </w:r>
      <w:r>
        <w:rPr>
          <w:rFonts w:hint="eastAsia" w:ascii="黑体" w:hAnsi="黑体" w:eastAsia="黑体" w:cs="黑体"/>
          <w:color w:val="auto"/>
          <w:spacing w:val="7"/>
          <w:sz w:val="32"/>
          <w:szCs w:val="32"/>
          <w:lang w:val="en-US" w:eastAsia="zh-CN"/>
        </w:rPr>
        <w:t>生态环境质量改善提升对策措施</w:t>
      </w:r>
      <w:r>
        <w:rPr>
          <w:rFonts w:hint="eastAsia" w:ascii="黑体" w:hAnsi="黑体" w:eastAsia="黑体" w:cs="黑体"/>
          <w:color w:val="auto"/>
          <w:spacing w:val="3"/>
          <w:sz w:val="32"/>
          <w:szCs w:val="32"/>
        </w:rPr>
        <w:fldChar w:fldCharType="end"/>
      </w:r>
      <w:bookmarkEnd w:id="6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61" w:name="_Toc22202"/>
      <w:r>
        <w:rPr>
          <w:rFonts w:hint="eastAsia" w:ascii="仿宋_GB2312" w:hAnsi="仿宋_GB2312" w:eastAsia="仿宋_GB2312" w:cs="仿宋_GB2312"/>
          <w:b/>
          <w:bCs/>
          <w:i w:val="0"/>
          <w:iCs w:val="0"/>
          <w:caps w:val="0"/>
          <w:color w:val="auto"/>
          <w:spacing w:val="0"/>
          <w:sz w:val="32"/>
          <w:szCs w:val="32"/>
          <w:lang w:val="en-US" w:eastAsia="zh-CN"/>
        </w:rPr>
        <w:t>4.1持续深化污染防治攻坚，夯实环境质量向好基础。</w:t>
      </w:r>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一是强化大气污染治理。聚焦PM10、PM2.5与臭氧协同治理，系统推进大气污染综合治理。从严抓实扬尘污染常态化管控，严格落实“六个百分百”抑尘措施，强化裸露土地扬尘治理，加大重点路段洒水和机械清扫力度，从源头削减扬尘污染负荷。深化面源污染全域整治，规范建筑、生活、农用垃圾处置，扎实推进餐饮油烟治理，深化面源管控和秸秆禁烧，严格烟花爆竹禁（限）放管理，全方位织密防控防线。狠抓重点行业深度减排，加快燃煤锅炉清洁化改造，严控工业企业无组织排放，持续削减污染物总量。全面提升移动源污染治理效能，加强机动车和非道路移动机械监管，加大新能源车辆推广应用，有效降低移动源污染。健全完善沙尘天气监测预警、应急响应及区域联防联控工作机制，持续推进防风固沙与绿化提升工程，降低大气污染物背景浓度，推动空气质量稳步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二是强化水污染治理。坚持以水定城、以水定地、以水定产，严格总量与强度双控，优化水资源配置，加快水源工程及调蓄设施建设，推进地下水超采治理，发展高效节水农业，有效缓解水资源紧缺压力。强化水生态保护与修复，推进入河排污口溯源整治，落实河湖长制，推进黑河流域协同治理，确保六坝桥、正义峡国控断面水质稳定达到或优于Ⅱ类。加强饮用水水源保护，巩固提升城乡水源地规范化建设水平，保障集中式饮用水水源地水质100%达标。强化工业水污染治理，落实生态环境分区管控及产业准入要求，严控高耗水、高排放、高风险项目落地。全面实行排污许可“一证式”管理，推进重点行业清洁生产审核与升级改造，加强工业园区污水处理设施运行监管及尾水深度治理。着力提升城镇生活污水收集处理效能，加快污水处理厂提标扩容，完善配套管网，推进老旧管网更新与雨污分流改造，健全污泥无害化、资源化处置体系，切实提高污水收集率和处置达标率。</w:t>
      </w:r>
    </w:p>
    <w:p>
      <w:pPr>
        <w:keepNext w:val="0"/>
        <w:keepLines w:val="0"/>
        <w:pageBreakBefore w:val="0"/>
        <w:widowControl w:val="0"/>
        <w:kinsoku w:val="0"/>
        <w:wordWrap/>
        <w:overflowPunct/>
        <w:topLinePunct w:val="0"/>
        <w:autoSpaceDE w:val="0"/>
        <w:autoSpaceDN w:val="0"/>
        <w:bidi w:val="0"/>
        <w:adjustRightInd/>
        <w:snapToGrid/>
        <w:spacing w:line="560" w:lineRule="exact"/>
        <w:ind w:right="0" w:firstLine="640" w:firstLineChars="200"/>
        <w:jc w:val="both"/>
        <w:textAlignment w:val="baseline"/>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三是强化土壤污染治理。坚持预防为主、保护优先、风险管控，保障全县土壤和地下水环境安全。强化重点单位监管，动态更新名录，深化隐患排查整治，定期开展土壤污染重点监管单位周边土壤环境监测，鼓励土壤污染重点监管单位因地制宜实施绿色化改造。严格建设用地准入，以“一住两公”为重点，依法开展调查评估。列入风险管控和修复名录的地块，不得作为住宅、公共管理与公共服务用地，严禁办理土地征收、供应及用途变更等手续。深入推进农村环境整治，实施生活污水资源化利用、黑臭水体治理、畜禽养殖管控及固废、农业废弃物、生活垃圾分类收集和闭环监管。强化农业面源污染治理，加大化肥农药减量、粪污资源化、农膜回收等监管力度，推动农业绿色低碳发展。推进农作物病虫绿色防控和统防统治，完善病虫监测预警体系。实施绿色防控替代化学防治行动，推广生态控制、生物防治等绿色技术和新型植保机械，推行专业化统防统治。实施整县推进美丽乡村建设行动，建设村庄干净整洁、农业绿色低碳、生态环境优美的人与自然和谐共生的美丽乡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62" w:name="_Toc9639"/>
      <w:r>
        <w:rPr>
          <w:rFonts w:hint="eastAsia" w:ascii="仿宋_GB2312" w:hAnsi="仿宋_GB2312" w:eastAsia="仿宋_GB2312" w:cs="仿宋_GB2312"/>
          <w:b/>
          <w:bCs/>
          <w:i w:val="0"/>
          <w:iCs w:val="0"/>
          <w:caps w:val="0"/>
          <w:color w:val="auto"/>
          <w:spacing w:val="0"/>
          <w:sz w:val="32"/>
          <w:szCs w:val="32"/>
          <w:lang w:val="en-US" w:eastAsia="zh-CN"/>
        </w:rPr>
        <w:t>4.2提升环境监管现代化水平，筑牢环境安全底线。</w:t>
      </w:r>
      <w:bookmarkEnd w:id="6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一是加强环境监管执法。深化网格化环境监管体系建设，完善部门联动、会商研判、联合执法工作机制，强化跨区域跨流域协同监管与联防联控，推动环境监管实现全覆盖、无死角。深化“网格+片区”执法监管模式，进一步提升监管精准度和执法效能，持续夯实生态环境安全基础。加快构建“互联网+环保”智慧监管体系，推广应用大数据、无人机、走航监测、在线监控等先进技术，推动环境监管信息互联互通、共享共用。深入开展重点领域、重点企业、重点流域环境安全隐患拉网式排查，建立隐患问题台账，实行清单化管理、闭环式整改，及时化解各类环境风险隐患，切实守牢生态环境安全底线。</w:t>
      </w:r>
    </w:p>
    <w:p>
      <w:pPr>
        <w:pStyle w:val="10"/>
        <w:keepNext w:val="0"/>
        <w:keepLines w:val="0"/>
        <w:pageBreakBefore w:val="0"/>
        <w:widowControl w:val="0"/>
        <w:numPr>
          <w:ilvl w:val="0"/>
          <w:numId w:val="0"/>
        </w:numPr>
        <w:kinsoku w:val="0"/>
        <w:wordWrap/>
        <w:overflowPunct/>
        <w:topLinePunct w:val="0"/>
        <w:autoSpaceDE w:val="0"/>
        <w:autoSpaceDN w:val="0"/>
        <w:bidi w:val="0"/>
        <w:adjustRightInd/>
        <w:snapToGrid/>
        <w:spacing w:before="0" w:beforeAutospacing="0" w:after="0" w:afterAutospacing="0" w:line="560" w:lineRule="exact"/>
        <w:ind w:left="0" w:leftChars="0" w:firstLine="628" w:firstLineChars="200"/>
        <w:jc w:val="both"/>
        <w:textAlignment w:val="baseline"/>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snapToGrid w:val="0"/>
          <w:color w:val="auto"/>
          <w:spacing w:val="-3"/>
          <w:kern w:val="0"/>
          <w:sz w:val="32"/>
          <w:szCs w:val="32"/>
          <w:lang w:val="en-US" w:eastAsia="zh-CN" w:bidi="ar-SA"/>
        </w:rPr>
        <w:t>二是强化重点区域工业污染治理。深入开展化工企业专项整治，全面排查和有效治理排放恶臭等废气的化工企业，严格控制新增污染源。对不符合安全生产条件、不能稳定达标排放的企业，坚决予以关闭。完善落后产能常态化淘汰机制，建立淘汰落后产能企业名单公告制度，鼓励工业企业主动提前淘汰相对落后产能和低端产品制造能力。同时加大违法行为查处力度，对查处问题不整改或屡次发生、污染防治设施落实不到位、不正常使用污染防治设施、超标超浓度排污、伪造或篡改环境监测数据等恶意环境违法行为的企业，依法从严从快处罚，进行媒体曝光，并对其相关人员按照法律法规移送公安机关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三是加强环境应急管理。健全“县－乡－企”三级突发环境事件应急预案体系，修订完善《高台县突发环境事件应急预案》及其专项预案，实现与市级预案有效衔接。重点企业依法编制突发环境事件应急预案并备案，定期组织实战化应急演练，提升快速反应和协同处置能力。完善环境应急物资储备库，在黑河沿线、工业园区、重点矿区等关键节点布局应急物资存放点，配备围油栏、便携式监测设备等必要装备。强化跨部门联动机制，与水务、气象、交通、卫生健康等部门建立信息共享和应急协作机制，进一步提升环境风险防控能力。畅通群众举报渠道，落实突发环境事件信息报告制度，做到早发现、早预警、早处置，最大限度降低环境损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四是加强核与辐射安全监管。持续加强监督管理，严格落实《放射性同位素与射线装置安全和防护条例》，加强对医疗卫生机构、通信基站、输变电设施等涉及放射源和电磁辐射单位的日常监管，督促相关单位落实辐射安全责任制，完善辐射安全防护设施，配备个人剂量报警仪、辐射监测仪等设备，定期开展从业人员培训和职业健康体检。加大执法检查力度，严厉打击无证使用、超范围使用、未按规定检测等违法行为。组织开展辐射事故应急演练，提高应对放射源丢失、被盗或泄漏等突发事件的处置能力，确保全县核与辐射环境安全可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63" w:name="_Toc13418"/>
      <w:r>
        <w:rPr>
          <w:rFonts w:hint="eastAsia" w:ascii="仿宋_GB2312" w:hAnsi="仿宋_GB2312" w:eastAsia="仿宋_GB2312" w:cs="仿宋_GB2312"/>
          <w:b/>
          <w:bCs/>
          <w:i w:val="0"/>
          <w:iCs w:val="0"/>
          <w:caps w:val="0"/>
          <w:color w:val="auto"/>
          <w:spacing w:val="0"/>
          <w:sz w:val="32"/>
          <w:szCs w:val="32"/>
          <w:lang w:val="en-US" w:eastAsia="zh-CN"/>
        </w:rPr>
        <w:t>4.3加强生态保护修复，提升生态系统稳定性。</w:t>
      </w:r>
      <w:bookmarkEnd w:id="6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一是优化生态安全格局与空间管控。强化生态环境分区管控，严格落实张掖市生态环境分区管控要求，充分发挥生态环境分区管控成果的基础性、约束性作用，将其深度融入政策制定、环境准入、园区管理、执法监管等关键环节，为生态环境保护管理提供系统化、科学化、精细化的平台。健全以环境影响评价制度为核心的源头预防体系，优化审批流程、压缩审批时限、提升审批效能，从严把好项目准入关口。深入推进排污许可“一证式”管理，全面构建以排污许可制为核心的固定污染源监管闭环，形成贯穿源头严防、过程严管、后果严惩的全链条生态环境管理体系，切实筑牢生态环境安全底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二是加强生态保护修复。坚持系统思维，统筹推进山水林田湖草沙一体化保护和系统治理修复，遵循自然恢复和综合治理相结合，充分尊重生态系统内在规律。聚焦浅山区重要水源地、绿洲边缘、河湖湿地、生态脆弱区、生态敏感区及沙化土地等关键生态节点，精准把握生态本底特征和治理需求，坚持因时因地制宜、分区分类施策，宜林则林、宜草则草、宜湿则湿、宜荒则荒，不搞“一刀切”。积极争取国家和省级政策资金支持，重点推进生态保护修复、沙化土地综合治理、生物多样性保护等重大生态工程，通过科学配置治理措施，持续增厚生态绿量、稳固生态基底、提升生态功能，着力增强生态系统的完整性、稳定性和可持续性，筑牢区域生态安全屏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三是加强生物多样性保护与生物安全。认真落实《张掖市生物多样性保护行动规划（2025-2035）》，持续优化生物多样性保护空间格局，加大执法和监督检查力度，确保重要生态系统、生物物种和生物遗传资源得到有效保护。结合“5.22”生物多样性日等重要节点，积极开展生物多样性保护宣传，营造全民参与、共同保护的社会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四是加强自然保护地保护。加快构建以自然保护地为基本骨架的自然保护地体系，实施自然保护地分级、分区管控，加大自然生态保护力度。完善自然保护地布局，填补保护空白，优化现有自然保护地边界。持续推进黑河湿地国家级自然保护区优化调整工作，建设区域合理、边界清晰、功能完善的湿地自然保护地体系。加强自然保护地体系原真性完整性保护，促进重要栖息地生态廊道建设和管护设施升级，开展保护管理成效评估。深入推进“绿盾”自然保护地强化监督专项行动，严肃查处各类自然保护地内破坏生态环境的违法违规行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color w:val="auto"/>
          <w:spacing w:val="0"/>
          <w:sz w:val="32"/>
          <w:szCs w:val="32"/>
          <w:lang w:val="en-US" w:eastAsia="zh-CN"/>
        </w:rPr>
      </w:pPr>
      <w:bookmarkStart w:id="64" w:name="_Toc12403"/>
      <w:r>
        <w:rPr>
          <w:rFonts w:hint="eastAsia" w:ascii="仿宋_GB2312" w:hAnsi="仿宋_GB2312" w:eastAsia="仿宋_GB2312" w:cs="仿宋_GB2312"/>
          <w:b/>
          <w:bCs/>
          <w:color w:val="auto"/>
          <w:spacing w:val="0"/>
          <w:sz w:val="32"/>
          <w:szCs w:val="32"/>
          <w:lang w:val="en-US" w:eastAsia="zh-CN"/>
        </w:rPr>
        <w:t>4.4聚焦水资源管理，提升水资源保障能力</w:t>
      </w:r>
      <w:bookmarkEnd w:id="64"/>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全面落实新时代“十六字”治水方针和</w:t>
      </w:r>
      <w:r>
        <w:rPr>
          <w:rFonts w:hint="eastAsia" w:ascii="仿宋_GB2312" w:hAnsi="仿宋_GB2312" w:eastAsia="仿宋_GB2312" w:cs="仿宋_GB2312"/>
          <w:snapToGrid/>
          <w:color w:val="auto"/>
          <w:spacing w:val="0"/>
          <w:kern w:val="21"/>
          <w:sz w:val="32"/>
          <w:szCs w:val="32"/>
          <w:highlight w:val="none"/>
          <w:u w:val="none"/>
          <w:shd w:val="clear" w:color="auto" w:fill="auto"/>
          <w:lang w:val="en-US" w:eastAsia="zh-CN"/>
        </w:rPr>
        <w:t>“四水四定”</w:t>
      </w:r>
      <w:r>
        <w:rPr>
          <w:rFonts w:hint="default" w:ascii="仿宋_GB2312" w:hAnsi="仿宋_GB2312" w:eastAsia="仿宋_GB2312" w:cs="仿宋_GB2312"/>
          <w:snapToGrid/>
          <w:color w:val="auto"/>
          <w:spacing w:val="0"/>
          <w:kern w:val="21"/>
          <w:sz w:val="32"/>
          <w:szCs w:val="32"/>
          <w:highlight w:val="none"/>
          <w:u w:val="none"/>
          <w:shd w:val="clear" w:color="auto" w:fill="auto"/>
          <w:lang w:eastAsia="zh-CN"/>
        </w:rPr>
        <w:t>原则</w:t>
      </w:r>
      <w:r>
        <w:rPr>
          <w:rFonts w:hint="eastAsia" w:ascii="仿宋_GB2312" w:hAnsi="仿宋_GB2312" w:eastAsia="仿宋_GB2312" w:cs="仿宋_GB2312"/>
          <w:snapToGrid/>
          <w:color w:val="auto"/>
          <w:spacing w:val="0"/>
          <w:kern w:val="21"/>
          <w:sz w:val="32"/>
          <w:szCs w:val="32"/>
          <w:highlight w:val="none"/>
          <w:u w:val="none"/>
          <w:shd w:val="clear" w:color="auto" w:fill="auto"/>
          <w:lang w:val="en-US" w:eastAsia="zh-CN"/>
        </w:rPr>
        <w:t>，</w:t>
      </w:r>
      <w:r>
        <w:rPr>
          <w:rFonts w:hint="eastAsia" w:ascii="仿宋_GB2312" w:hAnsi="仿宋_GB2312" w:eastAsia="仿宋_GB2312" w:cs="仿宋_GB2312"/>
          <w:color w:val="auto"/>
          <w:spacing w:val="0"/>
          <w:kern w:val="21"/>
          <w:sz w:val="32"/>
          <w:szCs w:val="32"/>
          <w:highlight w:val="none"/>
          <w:u w:val="none"/>
          <w:shd w:val="clear" w:color="auto" w:fill="auto"/>
          <w:lang w:val="en-US" w:eastAsia="zh-CN"/>
        </w:rPr>
        <w:t>扎实推进水资源规范管理突破年、水权水价和用水管理体制改革年活动，深化农业节水增效、工业节水减排、城镇节水降损，加强地下水超采区治理，推动实现水资源总量管理、科学配置、全面节约、循环利用，着力打造新时代节水型社会建设新标杆。</w:t>
      </w:r>
      <w:r>
        <w:rPr>
          <w:rFonts w:hint="eastAsia" w:ascii="仿宋_GB2312" w:hAnsi="仿宋_GB2312" w:eastAsia="仿宋_GB2312" w:cs="仿宋_GB2312"/>
          <w:color w:val="auto"/>
          <w:spacing w:val="0"/>
          <w:kern w:val="0"/>
          <w:sz w:val="32"/>
          <w:szCs w:val="32"/>
        </w:rPr>
        <w:t>统筹水资源、水环境、水生态保护治理，深入推进河湖长制，</w:t>
      </w:r>
      <w:r>
        <w:rPr>
          <w:rFonts w:hint="eastAsia" w:ascii="仿宋_GB2312" w:hAnsi="仿宋_GB2312" w:eastAsia="仿宋_GB2312" w:cs="仿宋_GB2312"/>
          <w:color w:val="auto"/>
          <w:spacing w:val="0"/>
          <w:sz w:val="32"/>
        </w:rPr>
        <w:t>巩固提升祁连山和黑河湿地生态环境问题整治成果，实现人水和谐共生</w:t>
      </w:r>
      <w:r>
        <w:rPr>
          <w:rFonts w:hint="eastAsia" w:ascii="仿宋_GB2312" w:hAnsi="仿宋_GB2312" w:eastAsia="仿宋_GB2312" w:cs="仿宋_GB2312"/>
          <w:color w:val="auto"/>
          <w:spacing w:val="0"/>
          <w:kern w:val="0"/>
          <w:sz w:val="32"/>
          <w:szCs w:val="32"/>
        </w:rPr>
        <w:t>。</w:t>
      </w:r>
      <w:r>
        <w:rPr>
          <w:rFonts w:hint="eastAsia" w:ascii="仿宋_GB2312" w:hAnsi="仿宋_GB2312" w:eastAsia="仿宋_GB2312" w:cs="仿宋_GB2312"/>
          <w:b w:val="0"/>
          <w:bCs w:val="0"/>
          <w:color w:val="auto"/>
          <w:spacing w:val="0"/>
          <w:sz w:val="32"/>
          <w:szCs w:val="32"/>
          <w:highlight w:val="none"/>
          <w:lang w:val="en-US" w:eastAsia="zh-CN"/>
        </w:rPr>
        <w:t>刚性约束控总量，</w:t>
      </w:r>
      <w:r>
        <w:rPr>
          <w:rFonts w:hint="eastAsia" w:ascii="仿宋_GB2312" w:hAnsi="仿宋_GB2312" w:eastAsia="仿宋_GB2312" w:cs="仿宋_GB2312"/>
          <w:color w:val="auto"/>
          <w:spacing w:val="0"/>
          <w:sz w:val="32"/>
          <w:szCs w:val="32"/>
          <w:highlight w:val="none"/>
          <w:lang w:val="en-US" w:eastAsia="zh-CN"/>
        </w:rPr>
        <w:t>压紧压实各镇在水资源管理中的主体责任，严格执行地下水削减规划和年度压减计划，实施农业节水增效、工业节水减排、城镇节水降损、生态节水保绿等措施。紧盯水位季度降幅幅度，动态分析观测井水位变化，聚焦地下水超采区治理，采取置换减量、节水降量、回灌补量、关井压量、管理控量等措施，加大地下水资源恢复力度，保持地下水水位变幅稳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b/>
          <w:bCs/>
          <w:i w:val="0"/>
          <w:iCs w:val="0"/>
          <w:caps w:val="0"/>
          <w:color w:val="auto"/>
          <w:spacing w:val="0"/>
          <w:sz w:val="32"/>
          <w:szCs w:val="32"/>
          <w:lang w:val="en-US" w:eastAsia="zh-CN"/>
        </w:rPr>
      </w:pPr>
      <w:bookmarkStart w:id="65" w:name="_Toc12945"/>
      <w:r>
        <w:rPr>
          <w:rFonts w:hint="eastAsia" w:ascii="仿宋_GB2312" w:hAnsi="仿宋_GB2312" w:eastAsia="仿宋_GB2312" w:cs="仿宋_GB2312"/>
          <w:b/>
          <w:bCs/>
          <w:i w:val="0"/>
          <w:iCs w:val="0"/>
          <w:caps w:val="0"/>
          <w:color w:val="auto"/>
          <w:spacing w:val="0"/>
          <w:sz w:val="32"/>
          <w:szCs w:val="32"/>
          <w:lang w:val="en-US" w:eastAsia="zh-CN"/>
        </w:rPr>
        <w:t>4.5健全现代环境治理体系，推动常态长效管护。</w:t>
      </w:r>
      <w:bookmarkEnd w:id="6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一是健全领导体制，压实环保工作责任。坚持和完善生态文明建设领导体制，严格落实“党政同责、‘一岗双责’、齐抓共管、失职追责”要求，牢牢坚守“管发展必须管环保、管生产必须管环保、管行业必须管环保”工作原则。细化完善生态环境保护责任清单，厘清职责边界、压实监管责任，加快构建上下贯通、左右协同、闭环管理、严密高效的责任落实体系，推动生态环保各项工作落地落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二是凝聚共治合力，完善全域治理格局。持续优化生态环境治理体系，健全部门协同、政企联动、社会参与的全域“大环保”工作格局。严格落实生态环保考核、问题整改、成效评估全链条机制，始终坚持精准治污、科学治污、依法治污，以制度刚性保障治理实效。广泛开展生态环境保护宣传教育，厚植绿色发展理念，全面提升全民生态环保意识，凝聚齐抓共管、协同发力、久久为功的强大工作合力，持续巩固提升全县生态环境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三是建强干部队伍，夯实基层治理根基。全面加强生态环境队伍建设，统筹引进培育环保、监测、执法等领域专业技术人才，优化队伍结构、补齐能力短板。坚持以练促训、以训促学、以学促干，聚焦执法、监测、应急、环评四支队伍，常态化开展业务培训与实战练兵，全力提升专业能力和实操水平，持续锤炼过硬作风。</w:t>
      </w:r>
    </w:p>
    <w:p>
      <w:pPr>
        <w:keepNext w:val="0"/>
        <w:keepLines w:val="0"/>
        <w:pageBreakBefore w:val="0"/>
        <w:widowControl w:val="0"/>
        <w:tabs>
          <w:tab w:val="left" w:leader="middleDot" w:pos="7980"/>
          <w:tab w:val="right" w:leader="dot" w:pos="8314"/>
        </w:tabs>
        <w:kinsoku/>
        <w:wordWrap w:val="0"/>
        <w:overflowPunct/>
        <w:topLinePunct w:val="0"/>
        <w:autoSpaceDE w:val="0"/>
        <w:autoSpaceDN w:val="0"/>
        <w:bidi w:val="0"/>
        <w:adjustRightInd w:val="0"/>
        <w:snapToGrid w:val="0"/>
        <w:spacing w:before="152" w:line="560" w:lineRule="exact"/>
        <w:ind w:left="20" w:leftChars="0" w:firstLine="640" w:firstLineChars="200"/>
        <w:jc w:val="center"/>
        <w:textAlignment w:val="baseline"/>
        <w:outlineLvl w:val="0"/>
        <w:rPr>
          <w:rFonts w:hint="eastAsia" w:ascii="黑体" w:hAnsi="黑体" w:eastAsia="黑体" w:cs="黑体"/>
          <w:color w:val="auto"/>
          <w:sz w:val="32"/>
          <w:szCs w:val="32"/>
          <w:lang w:val="en-US" w:eastAsia="zh-CN"/>
        </w:rPr>
      </w:pPr>
      <w:bookmarkStart w:id="66" w:name="_Toc15352"/>
      <w:r>
        <w:rPr>
          <w:rFonts w:hint="eastAsia" w:ascii="黑体" w:hAnsi="黑体" w:eastAsia="黑体" w:cs="黑体"/>
          <w:color w:val="auto"/>
          <w:sz w:val="32"/>
          <w:szCs w:val="32"/>
        </w:rPr>
        <w:fldChar w:fldCharType="begin"/>
      </w:r>
      <w:r>
        <w:rPr>
          <w:rFonts w:hint="eastAsia" w:ascii="黑体" w:hAnsi="黑体" w:eastAsia="黑体" w:cs="黑体"/>
          <w:color w:val="auto"/>
          <w:sz w:val="32"/>
          <w:szCs w:val="32"/>
        </w:rPr>
        <w:instrText xml:space="preserve"> HYPERLINK \l "bookmark26" </w:instrText>
      </w:r>
      <w:r>
        <w:rPr>
          <w:rFonts w:hint="eastAsia" w:ascii="黑体" w:hAnsi="黑体" w:eastAsia="黑体" w:cs="黑体"/>
          <w:color w:val="auto"/>
          <w:sz w:val="32"/>
          <w:szCs w:val="32"/>
        </w:rPr>
        <w:fldChar w:fldCharType="separate"/>
      </w:r>
      <w:r>
        <w:rPr>
          <w:rFonts w:hint="eastAsia" w:ascii="黑体" w:hAnsi="黑体" w:eastAsia="黑体" w:cs="黑体"/>
          <w:color w:val="auto"/>
          <w:sz w:val="32"/>
          <w:szCs w:val="32"/>
          <w:lang w:eastAsia="zh-CN"/>
        </w:rPr>
        <w:t>五、</w:t>
      </w:r>
      <w:r>
        <w:rPr>
          <w:rFonts w:hint="eastAsia" w:ascii="黑体" w:hAnsi="黑体" w:eastAsia="黑体" w:cs="黑体"/>
          <w:color w:val="auto"/>
          <w:spacing w:val="7"/>
          <w:sz w:val="32"/>
          <w:szCs w:val="32"/>
          <w:lang w:val="en-US" w:eastAsia="zh-CN"/>
        </w:rPr>
        <w:t>保障措施</w:t>
      </w:r>
      <w:r>
        <w:rPr>
          <w:rFonts w:hint="eastAsia" w:ascii="黑体" w:hAnsi="黑体" w:eastAsia="黑体" w:cs="黑体"/>
          <w:color w:val="auto"/>
          <w:spacing w:val="-51"/>
          <w:sz w:val="32"/>
          <w:szCs w:val="32"/>
        </w:rPr>
        <w:t xml:space="preserve"> </w:t>
      </w:r>
      <w:r>
        <w:rPr>
          <w:rFonts w:hint="eastAsia" w:ascii="黑体" w:hAnsi="黑体" w:eastAsia="黑体" w:cs="黑体"/>
          <w:color w:val="auto"/>
          <w:spacing w:val="3"/>
          <w:sz w:val="32"/>
          <w:szCs w:val="32"/>
        </w:rPr>
        <w:fldChar w:fldCharType="end"/>
      </w:r>
      <w:bookmarkEnd w:id="66"/>
    </w:p>
    <w:p>
      <w:pPr>
        <w:keepNext w:val="0"/>
        <w:keepLines w:val="0"/>
        <w:pageBreakBefore w:val="0"/>
        <w:widowControl w:val="0"/>
        <w:kinsoku w:val="0"/>
        <w:wordWrap/>
        <w:overflowPunct/>
        <w:topLinePunct w:val="0"/>
        <w:autoSpaceDE w:val="0"/>
        <w:autoSpaceDN w:val="0"/>
        <w:bidi w:val="0"/>
        <w:adjustRightInd/>
        <w:snapToGrid/>
        <w:spacing w:line="560" w:lineRule="exact"/>
        <w:ind w:left="0" w:right="0" w:firstLine="602" w:firstLineChars="200"/>
        <w:jc w:val="both"/>
        <w:textAlignment w:val="baseline"/>
        <w:rPr>
          <w:rFonts w:hint="eastAsia" w:ascii="仿宋_GB2312" w:hAnsi="仿宋_GB2312" w:eastAsia="仿宋_GB2312" w:cs="仿宋_GB2312"/>
          <w:color w:val="auto"/>
          <w:spacing w:val="-10"/>
          <w:sz w:val="32"/>
          <w:szCs w:val="32"/>
          <w:lang w:val="en-US" w:eastAsia="zh-CN"/>
        </w:rPr>
      </w:pPr>
      <w:r>
        <w:rPr>
          <w:rFonts w:hint="eastAsia" w:ascii="仿宋_GB2312" w:hAnsi="仿宋_GB2312" w:eastAsia="仿宋_GB2312" w:cs="仿宋_GB2312"/>
          <w:b/>
          <w:bCs/>
          <w:color w:val="auto"/>
          <w:spacing w:val="-10"/>
          <w:sz w:val="32"/>
          <w:szCs w:val="32"/>
          <w:lang w:val="en-US" w:eastAsia="zh-CN"/>
        </w:rPr>
        <w:t>5.1 加强组织领导。</w:t>
      </w:r>
      <w:r>
        <w:rPr>
          <w:rFonts w:hint="eastAsia" w:ascii="仿宋_GB2312" w:hAnsi="仿宋_GB2312" w:eastAsia="仿宋_GB2312" w:cs="仿宋_GB2312"/>
          <w:color w:val="auto"/>
          <w:spacing w:val="-10"/>
          <w:sz w:val="32"/>
          <w:szCs w:val="32"/>
          <w:lang w:val="en-US" w:eastAsia="zh-CN"/>
        </w:rPr>
        <w:t>充分发挥县生态环境保护委员会及其办公室作用，加强工作指导、统筹协调以及监督管理，定期召开会议对诊断分析工作进行统筹规划和部署，及时解决工作中出现的重大问题，确保分析诊断工作指挥有力、协调有序。打破部门壁垒，加强生态环境、水利、农业、林业等多部门之间的协同合作。建立信息共享平台和沟通协调机制，实现数据、资源和技术的互通有无，凝聚工作合力。</w:t>
      </w:r>
    </w:p>
    <w:p>
      <w:pPr>
        <w:keepNext w:val="0"/>
        <w:keepLines w:val="0"/>
        <w:pageBreakBefore w:val="0"/>
        <w:widowControl w:val="0"/>
        <w:kinsoku w:val="0"/>
        <w:wordWrap/>
        <w:overflowPunct/>
        <w:topLinePunct w:val="0"/>
        <w:autoSpaceDE w:val="0"/>
        <w:autoSpaceDN w:val="0"/>
        <w:bidi w:val="0"/>
        <w:adjustRightInd/>
        <w:snapToGrid/>
        <w:spacing w:line="560" w:lineRule="exact"/>
        <w:ind w:left="0" w:right="0" w:firstLine="602" w:firstLineChars="200"/>
        <w:jc w:val="both"/>
        <w:textAlignment w:val="baseline"/>
        <w:rPr>
          <w:rFonts w:hint="eastAsia" w:ascii="仿宋_GB2312" w:hAnsi="仿宋_GB2312" w:eastAsia="仿宋_GB2312" w:cs="仿宋_GB2312"/>
          <w:color w:val="auto"/>
          <w:spacing w:val="-10"/>
          <w:sz w:val="32"/>
          <w:szCs w:val="32"/>
          <w:lang w:val="en-US" w:eastAsia="zh-CN"/>
        </w:rPr>
      </w:pPr>
      <w:r>
        <w:rPr>
          <w:rFonts w:hint="eastAsia" w:ascii="仿宋_GB2312" w:hAnsi="仿宋_GB2312" w:eastAsia="仿宋_GB2312" w:cs="仿宋_GB2312"/>
          <w:b/>
          <w:bCs/>
          <w:color w:val="auto"/>
          <w:spacing w:val="-10"/>
          <w:sz w:val="32"/>
          <w:szCs w:val="32"/>
          <w:lang w:val="en-US" w:eastAsia="zh-CN"/>
        </w:rPr>
        <w:t>5.2 加大资金保障。</w:t>
      </w:r>
      <w:r>
        <w:rPr>
          <w:rFonts w:hint="eastAsia" w:ascii="仿宋_GB2312" w:hAnsi="仿宋_GB2312" w:eastAsia="仿宋_GB2312" w:cs="仿宋_GB2312"/>
          <w:color w:val="auto"/>
          <w:spacing w:val="-10"/>
          <w:sz w:val="32"/>
          <w:szCs w:val="32"/>
          <w:lang w:val="en-US" w:eastAsia="zh-CN"/>
        </w:rPr>
        <w:t>用好用活重点生态功能区财政转移支付资金，加大财政投入，将生态环境保护列为公共财政支出的重点，加强资金保障，确保各项重点工程顺利推进。坚持多渠道获取生态环境质量改善提升经费，建立多元化的融资机制，鼓励社会资金转向生态环境保护修复领域，确保资金足额投入。设立各项利于环保投资的优惠措施，打造融资平台，充分利用民间资本运作，吸引社会各方面资金进入环保产业，统筹推进生态环境保护治理修复。</w:t>
      </w:r>
    </w:p>
    <w:p>
      <w:pPr>
        <w:keepNext w:val="0"/>
        <w:keepLines w:val="0"/>
        <w:pageBreakBefore w:val="0"/>
        <w:widowControl w:val="0"/>
        <w:kinsoku w:val="0"/>
        <w:wordWrap/>
        <w:overflowPunct/>
        <w:topLinePunct w:val="0"/>
        <w:autoSpaceDE w:val="0"/>
        <w:autoSpaceDN w:val="0"/>
        <w:bidi w:val="0"/>
        <w:adjustRightInd/>
        <w:snapToGrid/>
        <w:spacing w:line="560" w:lineRule="exact"/>
        <w:ind w:left="0" w:right="0" w:firstLine="602" w:firstLineChars="200"/>
        <w:jc w:val="both"/>
        <w:textAlignment w:val="baseline"/>
        <w:rPr>
          <w:rFonts w:hint="eastAsia" w:ascii="仿宋_GB2312" w:hAnsi="仿宋_GB2312" w:eastAsia="仿宋_GB2312" w:cs="仿宋_GB2312"/>
          <w:color w:val="auto"/>
          <w:spacing w:val="-10"/>
          <w:sz w:val="32"/>
          <w:szCs w:val="32"/>
        </w:rPr>
      </w:pPr>
      <w:r>
        <w:rPr>
          <w:rFonts w:hint="eastAsia" w:ascii="仿宋_GB2312" w:hAnsi="仿宋_GB2312" w:eastAsia="仿宋_GB2312" w:cs="仿宋_GB2312"/>
          <w:b/>
          <w:bCs/>
          <w:color w:val="auto"/>
          <w:spacing w:val="-10"/>
          <w:sz w:val="32"/>
          <w:szCs w:val="32"/>
          <w:lang w:val="en-US" w:eastAsia="zh-CN"/>
        </w:rPr>
        <w:t>5.3 强化评估考核。</w:t>
      </w:r>
      <w:r>
        <w:rPr>
          <w:rFonts w:hint="eastAsia" w:ascii="仿宋_GB2312" w:hAnsi="仿宋_GB2312" w:eastAsia="仿宋_GB2312" w:cs="仿宋_GB2312"/>
          <w:color w:val="auto"/>
          <w:spacing w:val="-10"/>
          <w:sz w:val="32"/>
          <w:szCs w:val="32"/>
          <w:lang w:val="en-US" w:eastAsia="zh-CN"/>
        </w:rPr>
        <w:t>建立生态环境质量改善提升任务实施情况考核评估机制，将生态环境污染治理纳入领导班子和领导干部的综合考核体系中，确保各级各部门单位从思想上重视、在行动中落实。开展实施情况评估，提高考核结果的客观性，保障考核的公平性。考核结果向社会公布并作为对领导班子和领导干部的综合考核评价的重要依据。完善生态环境保护社会共治，鼓励公众和第三方参与实施成效评估。</w:t>
      </w:r>
    </w:p>
    <w:p>
      <w:pPr>
        <w:keepNext w:val="0"/>
        <w:keepLines w:val="0"/>
        <w:pageBreakBefore w:val="0"/>
        <w:widowControl w:val="0"/>
        <w:kinsoku w:val="0"/>
        <w:wordWrap/>
        <w:overflowPunct/>
        <w:topLinePunct w:val="0"/>
        <w:autoSpaceDE w:val="0"/>
        <w:autoSpaceDN w:val="0"/>
        <w:bidi w:val="0"/>
        <w:adjustRightInd/>
        <w:snapToGrid/>
        <w:spacing w:line="560" w:lineRule="exact"/>
        <w:ind w:left="0" w:right="0" w:firstLine="602"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pacing w:val="-10"/>
          <w:sz w:val="32"/>
          <w:szCs w:val="32"/>
          <w:lang w:val="en-US" w:eastAsia="zh-CN"/>
        </w:rPr>
        <w:t>5.4 促进公众参与。</w:t>
      </w:r>
      <w:r>
        <w:rPr>
          <w:rFonts w:hint="eastAsia" w:ascii="仿宋_GB2312" w:hAnsi="仿宋_GB2312" w:eastAsia="仿宋_GB2312" w:cs="仿宋_GB2312"/>
          <w:color w:val="auto"/>
          <w:spacing w:val="-10"/>
          <w:sz w:val="32"/>
          <w:szCs w:val="32"/>
          <w:lang w:val="en-US" w:eastAsia="zh-CN"/>
        </w:rPr>
        <w:t>通过多种渠道宣传生态环境问题诊断分析工作的意义和重要性，提高公众认知度。建立健全意见反馈和工作监督机制，广泛听取公众的意见和诉求，鼓励公众提供生态环境问题线索和相关数据，聚集全社会环境治理智慧。深化相关法律法规政策的解读，引导企业落实生态环境保护主体责任，形成共建共治共享的良好氛围。</w:t>
      </w: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2000019F" w:csb1="00000000"/>
  </w:font>
  <w:font w:name="楷体">
    <w:altName w:val="方正楷体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新宋体">
    <w:altName w:val="方正书宋_GBK"/>
    <w:panose1 w:val="02010609030101010101"/>
    <w:charset w:val="86"/>
    <w:family w:val="auto"/>
    <w:pitch w:val="default"/>
    <w:sig w:usb0="00000000" w:usb1="0000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简体">
    <w:altName w:val="方正黑体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52DE5"/>
    <w:rsid w:val="0149495E"/>
    <w:rsid w:val="0277028D"/>
    <w:rsid w:val="074331BE"/>
    <w:rsid w:val="07A72E3D"/>
    <w:rsid w:val="093376C5"/>
    <w:rsid w:val="0EAF0D19"/>
    <w:rsid w:val="157F1CB3"/>
    <w:rsid w:val="160B6624"/>
    <w:rsid w:val="1C911BDA"/>
    <w:rsid w:val="1D266050"/>
    <w:rsid w:val="23F447E8"/>
    <w:rsid w:val="258B78F5"/>
    <w:rsid w:val="2A377AEF"/>
    <w:rsid w:val="2BC2163A"/>
    <w:rsid w:val="2C1C76CA"/>
    <w:rsid w:val="2C3C2506"/>
    <w:rsid w:val="2C9D6B41"/>
    <w:rsid w:val="2E0B15A9"/>
    <w:rsid w:val="2E2359CE"/>
    <w:rsid w:val="2E2B3366"/>
    <w:rsid w:val="2F44349B"/>
    <w:rsid w:val="2FF9093F"/>
    <w:rsid w:val="3156006E"/>
    <w:rsid w:val="39AB5897"/>
    <w:rsid w:val="44156301"/>
    <w:rsid w:val="4A086161"/>
    <w:rsid w:val="4C577F9F"/>
    <w:rsid w:val="4CA86839"/>
    <w:rsid w:val="4DC5352D"/>
    <w:rsid w:val="4FDE3EF0"/>
    <w:rsid w:val="5118380D"/>
    <w:rsid w:val="52354B2D"/>
    <w:rsid w:val="52AC3420"/>
    <w:rsid w:val="54E81BCB"/>
    <w:rsid w:val="54EB1790"/>
    <w:rsid w:val="5C8D5858"/>
    <w:rsid w:val="5C97292D"/>
    <w:rsid w:val="5D336112"/>
    <w:rsid w:val="5E267669"/>
    <w:rsid w:val="62B16442"/>
    <w:rsid w:val="635C4675"/>
    <w:rsid w:val="65554CE3"/>
    <w:rsid w:val="658C4FC2"/>
    <w:rsid w:val="67FE0A1E"/>
    <w:rsid w:val="68C52DE5"/>
    <w:rsid w:val="6B6A0F24"/>
    <w:rsid w:val="6C9265BD"/>
    <w:rsid w:val="6CBE5C78"/>
    <w:rsid w:val="700854E4"/>
    <w:rsid w:val="726E5C11"/>
    <w:rsid w:val="73051F4A"/>
    <w:rsid w:val="7338490D"/>
    <w:rsid w:val="75BE7E0B"/>
    <w:rsid w:val="776369BA"/>
    <w:rsid w:val="7B0E3060"/>
    <w:rsid w:val="9BFF7E45"/>
    <w:rsid w:val="9FE37510"/>
    <w:rsid w:val="EEC7C1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
    <w:pPr>
      <w:keepNext/>
      <w:keepLines/>
      <w:spacing w:before="120" w:after="120"/>
      <w:outlineLvl w:val="1"/>
    </w:pPr>
    <w:rPr>
      <w:rFonts w:ascii="Calibri Light" w:hAnsi="Calibri Light" w:eastAsia="楷体"/>
      <w:b/>
      <w:bCs/>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rPr>
      <w:sz w:val="32"/>
      <w:szCs w:val="32"/>
    </w:rPr>
  </w:style>
  <w:style w:type="paragraph" w:styleId="4">
    <w:name w:val="Body Text Indent"/>
    <w:basedOn w:val="1"/>
    <w:qFormat/>
    <w:uiPriority w:val="99"/>
    <w:pPr>
      <w:spacing w:after="120"/>
      <w:ind w:left="420" w:leftChars="200"/>
    </w:pPr>
  </w:style>
  <w:style w:type="paragraph" w:styleId="5">
    <w:name w:val="toc 3"/>
    <w:basedOn w:val="1"/>
    <w:next w:val="1"/>
    <w:qFormat/>
    <w:uiPriority w:val="0"/>
    <w:pPr>
      <w:ind w:left="840" w:leftChars="40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4"/>
    <w:qFormat/>
    <w:uiPriority w:val="99"/>
    <w:pPr>
      <w:ind w:firstLine="420" w:firstLineChars="200"/>
    </w:p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2939</Words>
  <Characters>3274</Characters>
  <Lines>0</Lines>
  <Paragraphs>0</Paragraphs>
  <TotalTime>103</TotalTime>
  <ScaleCrop>false</ScaleCrop>
  <LinksUpToDate>false</LinksUpToDate>
  <CharactersWithSpaces>3351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2026-04-11T03:11:00Z</dcterms:created>
  <dc:creator>D</dc:creator>
  <cp:lastModifiedBy>hhkj</cp:lastModifiedBy>
  <dcterms:modified xsi:type="dcterms:W3CDTF">2026-07-15T14:57:13Z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41DF845461CC44BE90E6D6A329DC0487_11</vt:lpwstr>
  </property>
  <property fmtid="{D5CDD505-2E9C-101B-9397-08002B2CF9AE}" pid="4" name="KSOTemplateDocerSaveRecord">
    <vt:lpwstr>eyJoZGlkIjoiOGY3MzJjOGJlYTJmODMwYTUxMTg5YWY1MzllNDEzZmYiLCJ1c2VySWQiOiI1MTgxNjE2OTcifQ==</vt:lpwstr>
  </property>
</Properties>
</file>