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4"/>
          <w:sz w:val="44"/>
          <w:szCs w:val="44"/>
        </w:rPr>
      </w:pPr>
      <w:r>
        <w:rPr>
          <w:rFonts w:hint="eastAsia" w:ascii="方正小标宋简体" w:hAnsi="方正小标宋简体" w:eastAsia="方正小标宋简体" w:cs="方正小标宋简体"/>
          <w:color w:val="auto"/>
          <w:spacing w:val="14"/>
          <w:sz w:val="44"/>
          <w:szCs w:val="44"/>
        </w:rPr>
        <w:t>202</w:t>
      </w:r>
      <w:r>
        <w:rPr>
          <w:rFonts w:hint="eastAsia" w:ascii="方正小标宋简体" w:hAnsi="方正小标宋简体" w:eastAsia="方正小标宋简体" w:cs="方正小标宋简体"/>
          <w:color w:val="auto"/>
          <w:spacing w:val="14"/>
          <w:sz w:val="44"/>
          <w:szCs w:val="44"/>
          <w:lang w:val="en-US"/>
        </w:rPr>
        <w:t>3</w:t>
      </w:r>
      <w:r>
        <w:rPr>
          <w:rFonts w:hint="eastAsia" w:ascii="方正小标宋简体" w:hAnsi="方正小标宋简体" w:eastAsia="方正小标宋简体" w:cs="方正小标宋简体"/>
          <w:color w:val="auto"/>
          <w:spacing w:val="14"/>
          <w:sz w:val="44"/>
          <w:szCs w:val="44"/>
        </w:rPr>
        <w:t>年度高台县人民法院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14"/>
          <w:sz w:val="44"/>
          <w:szCs w:val="44"/>
        </w:rPr>
      </w:pPr>
      <w:r>
        <w:rPr>
          <w:rFonts w:hint="eastAsia" w:ascii="方正小标宋简体" w:hAnsi="方正小标宋简体" w:eastAsia="方正小标宋简体" w:cs="方正小标宋简体"/>
          <w:color w:val="auto"/>
          <w:spacing w:val="14"/>
          <w:sz w:val="44"/>
          <w:szCs w:val="44"/>
        </w:rPr>
        <w:t>部门预算执行情况绩效自评报告</w:t>
      </w:r>
    </w:p>
    <w:p>
      <w:pPr>
        <w:pStyle w:val="2"/>
        <w:rPr>
          <w:rFonts w:hint="eastAsia"/>
        </w:rPr>
      </w:pPr>
    </w:p>
    <w:p>
      <w:pPr>
        <w:ind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一、基本情况</w:t>
      </w:r>
    </w:p>
    <w:p>
      <w:pPr>
        <w:ind w:firstLine="640" w:firstLineChars="200"/>
        <w:rPr>
          <w:b/>
          <w:bCs/>
          <w:color w:val="auto"/>
          <w:sz w:val="32"/>
          <w:szCs w:val="32"/>
        </w:rPr>
      </w:pPr>
      <w:r>
        <w:rPr>
          <w:rFonts w:hint="eastAsia" w:ascii="楷体" w:hAnsi="楷体" w:eastAsia="楷体" w:cs="楷体"/>
          <w:b w:val="0"/>
          <w:bCs w:val="0"/>
          <w:color w:val="auto"/>
          <w:sz w:val="32"/>
          <w:szCs w:val="32"/>
        </w:rPr>
        <w:t>（一）部门主要职能</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高台县人民法院是国家审判机关，对县人民代表大会及其常务委员会负责并报告工作，接受县人民代表大会及其常务委员会的监督。其主要职责是：</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1、依法审理法律规定由基层人民法院管辖、中级人民法院指定管辖或者认为应当由本法院审理的刑事、民事、行政等一审案件。</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2、依法审理中级人民法院指定再审的案件和市人民检察院抗诉的案件。受理当事人不服本院发生法律效力的判决、裁定并提起申诉的刑事、行政诉讼案件。</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3、依法行使执行权和司法决定权。</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4、对法律规定、规章等草案提出意见，对案件审理中发现的问题提出司法建议。</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5、指导基层法庭工作。</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6、负责全院的思想政治、教育培训工作和干部管理工作。</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7、负责全院财务、专项投资的计划管理及分配。</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8、负责全院的监察工作。</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9、管理人民法院司法警察工作。</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10、做好本院行政、后勤事业管理和服务工作。</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11、宣传法制，教育公民忠于社会主义祖国，自觉遵守宪法、法律和社会公德。</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12、积极参与社会治安综合治理。</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13、承办其它应由基层人民法院负责的工作。</w:t>
      </w:r>
    </w:p>
    <w:p>
      <w:pPr>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（二）内设机构及所属单位概况</w:t>
      </w:r>
    </w:p>
    <w:p>
      <w:pPr>
        <w:pStyle w:val="12"/>
        <w:spacing w:line="560" w:lineRule="exact"/>
        <w:ind w:firstLine="48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高台县人民法院是行政单位，全额拨款预算单位。内设机构12个，即：综合办公室、政治部、审判管理办公室、审判监督庭、立案庭、刑事审判庭、民事审判一庭、民事审判二庭、行政审判庭、执行庭（局）、南华法庭、宣化法庭。现有编制</w:t>
      </w:r>
      <w:r>
        <w:rPr>
          <w:rFonts w:hint="default" w:ascii="仿宋_GB2312" w:hAnsi="Times New Roman" w:eastAsia="仿宋_GB2312" w:cs="Times New Roman"/>
          <w:color w:val="auto"/>
          <w:kern w:val="2"/>
          <w:sz w:val="32"/>
          <w:szCs w:val="32"/>
          <w:lang w:val="en-US" w:eastAsia="zh-CN" w:bidi="ar-SA"/>
        </w:rPr>
        <w:t>58</w:t>
      </w:r>
      <w:r>
        <w:rPr>
          <w:rFonts w:hint="eastAsia" w:ascii="仿宋_GB2312" w:hAnsi="Times New Roman" w:eastAsia="仿宋_GB2312" w:cs="Times New Roman"/>
          <w:color w:val="auto"/>
          <w:kern w:val="2"/>
          <w:sz w:val="32"/>
          <w:szCs w:val="32"/>
          <w:lang w:val="en-US" w:eastAsia="zh-CN" w:bidi="ar-SA"/>
        </w:rPr>
        <w:t>人，截止202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年12月实有人员</w:t>
      </w:r>
      <w:r>
        <w:rPr>
          <w:rFonts w:hint="default" w:ascii="仿宋_GB2312" w:hAnsi="Times New Roman" w:eastAsia="仿宋_GB2312" w:cs="Times New Roman"/>
          <w:color w:val="auto"/>
          <w:kern w:val="2"/>
          <w:sz w:val="32"/>
          <w:szCs w:val="32"/>
          <w:lang w:val="en-US" w:eastAsia="zh-CN" w:bidi="ar-SA"/>
        </w:rPr>
        <w:t>57</w:t>
      </w:r>
      <w:r>
        <w:rPr>
          <w:rFonts w:hint="eastAsia" w:ascii="仿宋_GB2312" w:hAnsi="Times New Roman" w:eastAsia="仿宋_GB2312" w:cs="Times New Roman"/>
          <w:color w:val="auto"/>
          <w:kern w:val="2"/>
          <w:sz w:val="32"/>
          <w:szCs w:val="32"/>
          <w:lang w:val="en-US" w:eastAsia="zh-CN" w:bidi="ar-SA"/>
        </w:rPr>
        <w:t>人，其中：行政编制人数</w:t>
      </w:r>
      <w:r>
        <w:rPr>
          <w:rFonts w:hint="default" w:ascii="仿宋_GB2312" w:hAnsi="Times New Roman" w:eastAsia="仿宋_GB2312" w:cs="Times New Roman"/>
          <w:color w:val="auto"/>
          <w:kern w:val="2"/>
          <w:sz w:val="32"/>
          <w:szCs w:val="32"/>
          <w:lang w:val="en-US" w:eastAsia="zh-CN" w:bidi="ar-SA"/>
        </w:rPr>
        <w:t>55</w:t>
      </w:r>
      <w:r>
        <w:rPr>
          <w:rFonts w:hint="eastAsia" w:ascii="仿宋_GB2312" w:hAnsi="Times New Roman" w:eastAsia="仿宋_GB2312" w:cs="Times New Roman"/>
          <w:color w:val="auto"/>
          <w:kern w:val="2"/>
          <w:sz w:val="32"/>
          <w:szCs w:val="32"/>
          <w:lang w:val="en-US" w:eastAsia="zh-CN" w:bidi="ar-SA"/>
        </w:rPr>
        <w:t>人、事业编制人数</w:t>
      </w:r>
      <w:r>
        <w:rPr>
          <w:rFonts w:hint="default" w:ascii="仿宋_GB2312" w:hAnsi="Times New Roman" w:eastAsia="仿宋_GB2312" w:cs="Times New Roman"/>
          <w:color w:val="auto"/>
          <w:kern w:val="2"/>
          <w:sz w:val="32"/>
          <w:szCs w:val="32"/>
          <w:lang w:val="en-US" w:eastAsia="zh-CN" w:bidi="ar-SA"/>
        </w:rPr>
        <w:t>4</w:t>
      </w:r>
      <w:r>
        <w:rPr>
          <w:rFonts w:hint="eastAsia" w:ascii="仿宋_GB2312" w:hAnsi="Times New Roman" w:eastAsia="仿宋_GB2312" w:cs="Times New Roman"/>
          <w:color w:val="auto"/>
          <w:kern w:val="2"/>
          <w:sz w:val="32"/>
          <w:szCs w:val="32"/>
          <w:lang w:val="en-US" w:eastAsia="zh-CN" w:bidi="ar-SA"/>
        </w:rPr>
        <w:t>人。</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二、绩效自评工作组织开展情况</w:t>
      </w:r>
    </w:p>
    <w:p>
      <w:pPr>
        <w:ind w:firstLine="640" w:firstLineChars="200"/>
        <w:rPr>
          <w:rFonts w:hint="eastAsia" w:ascii="楷体" w:hAnsi="楷体" w:eastAsia="楷体" w:cs="楷体"/>
          <w:b w:val="0"/>
          <w:bCs w:val="0"/>
          <w:color w:val="auto"/>
          <w:sz w:val="32"/>
          <w:szCs w:val="32"/>
          <w:highlight w:val="yellow"/>
        </w:rPr>
      </w:pPr>
      <w:r>
        <w:rPr>
          <w:rFonts w:hint="eastAsia" w:ascii="楷体" w:hAnsi="楷体" w:eastAsia="楷体" w:cs="楷体"/>
          <w:b w:val="0"/>
          <w:bCs w:val="0"/>
          <w:color w:val="auto"/>
          <w:sz w:val="32"/>
          <w:szCs w:val="32"/>
        </w:rPr>
        <w:t>（一）绩效自评工作组织管理情况</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根据甘肃省财政厅关于加快推进预算绩效管理工作及甘肃省财政厅关于开展202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年度省级部门预算绩效运行监控工作等通知精神，按照真实准确、客观公正、突出重点的要求，我院全面开展202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年度预算执行情况绩效自评工作。</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1、高度重视，严格落实自评责任</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2、明确方向，理清绩效评价思路</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我院多次召开绩效自评工作会议，认真结合预算项目制定实施方案，确定绩效自评指标体系，会同院机关相关处室及基层人民法庭对绩效自评指标进行完善修正，确保绩效自评客观公正、真实准确。</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3、认真开展，严把绩效自评质量</w:t>
      </w:r>
    </w:p>
    <w:p>
      <w:pPr>
        <w:ind w:firstLine="640" w:firstLineChars="200"/>
        <w:rPr>
          <w:color w:val="auto"/>
          <w:sz w:val="24"/>
          <w:szCs w:val="24"/>
        </w:rPr>
      </w:pPr>
      <w:r>
        <w:rPr>
          <w:rFonts w:hint="eastAsia" w:ascii="仿宋_GB2312" w:hAnsi="Times New Roman" w:eastAsia="仿宋_GB2312" w:cs="Times New Roman"/>
          <w:color w:val="auto"/>
          <w:kern w:val="2"/>
          <w:sz w:val="32"/>
          <w:szCs w:val="32"/>
          <w:lang w:val="en-US" w:eastAsia="zh-CN" w:bidi="ar-SA"/>
        </w:rPr>
        <w:t>严格按照“谁支出、谁自评”、“谁分配、谁审核”的原则，对部门预算资金的使用进行审核、整理、分析、评价，对绩效自评表内容的完整性、真实性严格把关。在全面完成全年各项工作的基础上，围绕年度总体目标，对纳入自评范围的1家单位和3个预算项目，通过座谈、收集资料，针对申报内容、实施情况、财务管理等方面运用定性和定量分析相结合的方法，根据年度实际完成情况真实、完整、合理的进行打分评价，做到科学量化、如实反映。</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三、部门整体支出绩效自评情况分析</w:t>
      </w:r>
    </w:p>
    <w:p>
      <w:pPr>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（一）部门决算情况</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年度，高台县人民法院部门整体支出年初预算数为</w:t>
      </w:r>
      <w:r>
        <w:rPr>
          <w:rFonts w:hint="default" w:ascii="仿宋_GB2312" w:hAnsi="Times New Roman" w:eastAsia="仿宋_GB2312" w:cs="Times New Roman"/>
          <w:color w:val="auto"/>
          <w:kern w:val="2"/>
          <w:sz w:val="32"/>
          <w:szCs w:val="32"/>
          <w:lang w:val="en-US" w:eastAsia="zh-CN" w:bidi="ar-SA"/>
        </w:rPr>
        <w:t>2020.31</w:t>
      </w:r>
      <w:r>
        <w:rPr>
          <w:rFonts w:hint="eastAsia" w:ascii="仿宋_GB2312" w:hAnsi="Times New Roman" w:eastAsia="仿宋_GB2312" w:cs="Times New Roman"/>
          <w:color w:val="auto"/>
          <w:kern w:val="2"/>
          <w:sz w:val="32"/>
          <w:szCs w:val="32"/>
          <w:lang w:val="en-US" w:eastAsia="zh-CN" w:bidi="ar-SA"/>
        </w:rPr>
        <w:t>万元，其中基本支出</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万元，项目支出</w:t>
      </w:r>
      <w:r>
        <w:rPr>
          <w:rFonts w:hint="default" w:ascii="仿宋_GB2312" w:hAnsi="Times New Roman" w:eastAsia="仿宋_GB2312" w:cs="Times New Roman"/>
          <w:color w:val="auto"/>
          <w:kern w:val="2"/>
          <w:sz w:val="32"/>
          <w:szCs w:val="32"/>
          <w:lang w:val="en-US" w:eastAsia="zh-CN" w:bidi="ar-SA"/>
        </w:rPr>
        <w:t>619</w:t>
      </w:r>
      <w:r>
        <w:rPr>
          <w:rFonts w:hint="eastAsia" w:ascii="仿宋_GB2312" w:hAnsi="Times New Roman" w:eastAsia="仿宋_GB2312" w:cs="Times New Roman"/>
          <w:color w:val="auto"/>
          <w:kern w:val="2"/>
          <w:sz w:val="32"/>
          <w:szCs w:val="32"/>
          <w:lang w:val="en-US" w:eastAsia="zh-CN" w:bidi="ar-SA"/>
        </w:rPr>
        <w:t>.00万元。经调整，单位全年预算数资金总额为</w:t>
      </w:r>
      <w:r>
        <w:rPr>
          <w:rFonts w:hint="default" w:ascii="仿宋_GB2312" w:hAnsi="Times New Roman" w:eastAsia="仿宋_GB2312" w:cs="Times New Roman"/>
          <w:color w:val="auto"/>
          <w:kern w:val="2"/>
          <w:sz w:val="32"/>
          <w:szCs w:val="32"/>
          <w:lang w:val="en-US" w:eastAsia="zh-CN" w:bidi="ar-SA"/>
        </w:rPr>
        <w:t>2020.31</w:t>
      </w:r>
      <w:r>
        <w:rPr>
          <w:rFonts w:hint="eastAsia" w:ascii="仿宋_GB2312" w:hAnsi="Times New Roman" w:eastAsia="仿宋_GB2312" w:cs="Times New Roman"/>
          <w:color w:val="auto"/>
          <w:kern w:val="2"/>
          <w:sz w:val="32"/>
          <w:szCs w:val="32"/>
          <w:lang w:val="en-US" w:eastAsia="zh-CN" w:bidi="ar-SA"/>
        </w:rPr>
        <w:t>万元，其中基本支出</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万元，项目支出</w:t>
      </w:r>
      <w:r>
        <w:rPr>
          <w:rFonts w:hint="default" w:ascii="仿宋_GB2312" w:hAnsi="Times New Roman" w:eastAsia="仿宋_GB2312" w:cs="Times New Roman"/>
          <w:color w:val="auto"/>
          <w:kern w:val="2"/>
          <w:sz w:val="32"/>
          <w:szCs w:val="32"/>
          <w:lang w:val="en-US" w:eastAsia="zh-CN" w:bidi="ar-SA"/>
        </w:rPr>
        <w:t>619.00</w:t>
      </w:r>
      <w:r>
        <w:rPr>
          <w:rFonts w:hint="eastAsia" w:ascii="仿宋_GB2312" w:hAnsi="Times New Roman" w:eastAsia="仿宋_GB2312" w:cs="Times New Roman"/>
          <w:color w:val="auto"/>
          <w:kern w:val="2"/>
          <w:sz w:val="32"/>
          <w:szCs w:val="32"/>
          <w:lang w:val="en-US" w:eastAsia="zh-CN" w:bidi="ar-SA"/>
        </w:rPr>
        <w:t>万元。根据年末单位支出预算，我单位于年内实际支出</w:t>
      </w:r>
      <w:r>
        <w:rPr>
          <w:rFonts w:hint="default" w:ascii="仿宋_GB2312" w:hAnsi="Times New Roman" w:eastAsia="仿宋_GB2312" w:cs="Times New Roman"/>
          <w:color w:val="auto"/>
          <w:kern w:val="2"/>
          <w:sz w:val="32"/>
          <w:szCs w:val="32"/>
          <w:lang w:val="en-US" w:eastAsia="zh-CN" w:bidi="ar-SA"/>
        </w:rPr>
        <w:t>2019.95</w:t>
      </w:r>
      <w:r>
        <w:rPr>
          <w:rFonts w:hint="eastAsia" w:ascii="仿宋_GB2312" w:hAnsi="Times New Roman" w:eastAsia="仿宋_GB2312" w:cs="Times New Roman"/>
          <w:color w:val="auto"/>
          <w:kern w:val="2"/>
          <w:sz w:val="32"/>
          <w:szCs w:val="32"/>
          <w:lang w:val="en-US" w:eastAsia="zh-CN" w:bidi="ar-SA"/>
        </w:rPr>
        <w:t>万元，其中基本支出</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万元，项目支出</w:t>
      </w:r>
      <w:r>
        <w:rPr>
          <w:rFonts w:hint="default" w:ascii="仿宋_GB2312" w:hAnsi="Times New Roman" w:eastAsia="仿宋_GB2312" w:cs="Times New Roman"/>
          <w:color w:val="auto"/>
          <w:kern w:val="2"/>
          <w:sz w:val="32"/>
          <w:szCs w:val="32"/>
          <w:lang w:val="en-US" w:eastAsia="zh-CN" w:bidi="ar-SA"/>
        </w:rPr>
        <w:t>618.64</w:t>
      </w:r>
      <w:r>
        <w:rPr>
          <w:rFonts w:hint="eastAsia" w:ascii="仿宋_GB2312" w:hAnsi="Times New Roman" w:eastAsia="仿宋_GB2312" w:cs="Times New Roman"/>
          <w:color w:val="auto"/>
          <w:kern w:val="2"/>
          <w:sz w:val="32"/>
          <w:szCs w:val="32"/>
          <w:lang w:val="en-US" w:eastAsia="zh-CN" w:bidi="ar-SA"/>
        </w:rPr>
        <w:t>万元。单位支出预算执行率为</w:t>
      </w:r>
      <w:r>
        <w:rPr>
          <w:rFonts w:hint="default" w:ascii="仿宋_GB2312" w:hAnsi="Times New Roman" w:eastAsia="仿宋_GB2312" w:cs="Times New Roman"/>
          <w:color w:val="auto"/>
          <w:kern w:val="2"/>
          <w:sz w:val="32"/>
          <w:szCs w:val="32"/>
          <w:lang w:val="en-US" w:eastAsia="zh-CN" w:bidi="ar-SA"/>
        </w:rPr>
        <w:t>99.98</w:t>
      </w:r>
      <w:r>
        <w:rPr>
          <w:rFonts w:hint="eastAsia" w:ascii="仿宋_GB2312" w:hAnsi="Times New Roman" w:eastAsia="仿宋_GB2312" w:cs="Times New Roman"/>
          <w:color w:val="auto"/>
          <w:kern w:val="2"/>
          <w:sz w:val="32"/>
          <w:szCs w:val="32"/>
          <w:lang w:val="en-US" w:eastAsia="zh-CN" w:bidi="ar-SA"/>
        </w:rPr>
        <w:t>%，年末项目结转结余资金为</w:t>
      </w:r>
      <w:r>
        <w:rPr>
          <w:rFonts w:hint="default" w:ascii="仿宋_GB2312" w:hAnsi="Times New Roman" w:eastAsia="仿宋_GB2312" w:cs="Times New Roman"/>
          <w:color w:val="auto"/>
          <w:kern w:val="2"/>
          <w:sz w:val="32"/>
          <w:szCs w:val="32"/>
          <w:lang w:val="en-US" w:eastAsia="zh-CN" w:bidi="ar-SA"/>
        </w:rPr>
        <w:t>0.36</w:t>
      </w:r>
      <w:r>
        <w:rPr>
          <w:rFonts w:hint="eastAsia" w:ascii="仿宋_GB2312" w:hAnsi="Times New Roman" w:eastAsia="仿宋_GB2312" w:cs="Times New Roman"/>
          <w:color w:val="auto"/>
          <w:kern w:val="2"/>
          <w:sz w:val="32"/>
          <w:szCs w:val="32"/>
          <w:lang w:val="en-US" w:eastAsia="zh-CN" w:bidi="ar-SA"/>
        </w:rPr>
        <w:t>万元。</w:t>
      </w:r>
    </w:p>
    <w:p>
      <w:pPr>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（二）总体绩效目标完成情况分析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经综合评价与分析，高台县人民法院202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年度部门整体支出绩效自评最终得分为</w:t>
      </w:r>
      <w:r>
        <w:rPr>
          <w:rFonts w:hint="default" w:ascii="仿宋_GB2312" w:hAnsi="Times New Roman" w:eastAsia="仿宋_GB2312" w:cs="Times New Roman"/>
          <w:color w:val="auto"/>
          <w:kern w:val="2"/>
          <w:sz w:val="32"/>
          <w:szCs w:val="32"/>
          <w:lang w:val="en-US" w:eastAsia="zh-CN" w:bidi="ar-SA"/>
        </w:rPr>
        <w:t>99.74</w:t>
      </w:r>
      <w:r>
        <w:rPr>
          <w:rFonts w:hint="eastAsia" w:ascii="仿宋_GB2312" w:hAnsi="Times New Roman" w:eastAsia="仿宋_GB2312" w:cs="Times New Roman"/>
          <w:color w:val="auto"/>
          <w:kern w:val="2"/>
          <w:sz w:val="32"/>
          <w:szCs w:val="32"/>
          <w:lang w:val="en-US" w:eastAsia="zh-CN" w:bidi="ar-SA"/>
        </w:rPr>
        <w:t>分，评价结果为“优”。部门整体支出自评表中各项指标得分情况如下所示。</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1、整体支出情况</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年度，高台县人民法院部门整体支出年初预算数为</w:t>
      </w:r>
      <w:r>
        <w:rPr>
          <w:rFonts w:hint="default" w:ascii="仿宋_GB2312" w:hAnsi="Times New Roman" w:eastAsia="仿宋_GB2312" w:cs="Times New Roman"/>
          <w:color w:val="auto"/>
          <w:kern w:val="2"/>
          <w:sz w:val="32"/>
          <w:szCs w:val="32"/>
          <w:lang w:val="en-US" w:eastAsia="zh-CN" w:bidi="ar-SA"/>
        </w:rPr>
        <w:t>1835.31</w:t>
      </w:r>
      <w:r>
        <w:rPr>
          <w:rFonts w:hint="eastAsia" w:ascii="仿宋_GB2312" w:hAnsi="Times New Roman" w:eastAsia="仿宋_GB2312" w:cs="Times New Roman"/>
          <w:color w:val="auto"/>
          <w:kern w:val="2"/>
          <w:sz w:val="32"/>
          <w:szCs w:val="32"/>
          <w:lang w:val="en-US" w:eastAsia="zh-CN" w:bidi="ar-SA"/>
        </w:rPr>
        <w:t>万元，其中基本支出</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万元，项目支出</w:t>
      </w:r>
      <w:r>
        <w:rPr>
          <w:rFonts w:hint="default" w:ascii="仿宋_GB2312" w:hAnsi="Times New Roman" w:eastAsia="仿宋_GB2312" w:cs="Times New Roman"/>
          <w:color w:val="auto"/>
          <w:kern w:val="2"/>
          <w:sz w:val="32"/>
          <w:szCs w:val="32"/>
          <w:lang w:val="en-US" w:eastAsia="zh-CN" w:bidi="ar-SA"/>
        </w:rPr>
        <w:t>434.00</w:t>
      </w:r>
      <w:r>
        <w:rPr>
          <w:rFonts w:hint="eastAsia" w:ascii="仿宋_GB2312" w:hAnsi="Times New Roman" w:eastAsia="仿宋_GB2312" w:cs="Times New Roman"/>
          <w:color w:val="auto"/>
          <w:kern w:val="2"/>
          <w:sz w:val="32"/>
          <w:szCs w:val="32"/>
          <w:lang w:val="en-US" w:eastAsia="zh-CN" w:bidi="ar-SA"/>
        </w:rPr>
        <w:t>万元。经调整，单位全年预算数资金总额为</w:t>
      </w:r>
      <w:r>
        <w:rPr>
          <w:rFonts w:hint="default" w:ascii="仿宋_GB2312" w:hAnsi="Times New Roman" w:eastAsia="仿宋_GB2312" w:cs="Times New Roman"/>
          <w:color w:val="auto"/>
          <w:kern w:val="2"/>
          <w:sz w:val="32"/>
          <w:szCs w:val="32"/>
          <w:lang w:val="en-US" w:eastAsia="zh-CN" w:bidi="ar-SA"/>
        </w:rPr>
        <w:t>2020.31</w:t>
      </w:r>
      <w:r>
        <w:rPr>
          <w:rFonts w:hint="eastAsia" w:ascii="仿宋_GB2312" w:hAnsi="Times New Roman" w:eastAsia="仿宋_GB2312" w:cs="Times New Roman"/>
          <w:color w:val="auto"/>
          <w:kern w:val="2"/>
          <w:sz w:val="32"/>
          <w:szCs w:val="32"/>
          <w:lang w:val="en-US" w:eastAsia="zh-CN" w:bidi="ar-SA"/>
        </w:rPr>
        <w:t>万元，其中基本支出</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万元，项目支出</w:t>
      </w:r>
      <w:r>
        <w:rPr>
          <w:rFonts w:hint="default" w:ascii="仿宋_GB2312" w:hAnsi="Times New Roman" w:eastAsia="仿宋_GB2312" w:cs="Times New Roman"/>
          <w:color w:val="auto"/>
          <w:kern w:val="2"/>
          <w:sz w:val="32"/>
          <w:szCs w:val="32"/>
          <w:lang w:val="en-US" w:eastAsia="zh-CN" w:bidi="ar-SA"/>
        </w:rPr>
        <w:t>619.00</w:t>
      </w:r>
      <w:r>
        <w:rPr>
          <w:rFonts w:hint="eastAsia" w:ascii="仿宋_GB2312" w:hAnsi="Times New Roman" w:eastAsia="仿宋_GB2312" w:cs="Times New Roman"/>
          <w:color w:val="auto"/>
          <w:kern w:val="2"/>
          <w:sz w:val="32"/>
          <w:szCs w:val="32"/>
          <w:lang w:val="en-US" w:eastAsia="zh-CN" w:bidi="ar-SA"/>
        </w:rPr>
        <w:t>万元。根据年末单位支出预算，我单位于年内实际支出</w:t>
      </w:r>
      <w:r>
        <w:rPr>
          <w:rFonts w:hint="default" w:ascii="仿宋_GB2312" w:hAnsi="Times New Roman" w:eastAsia="仿宋_GB2312" w:cs="Times New Roman"/>
          <w:color w:val="auto"/>
          <w:kern w:val="2"/>
          <w:sz w:val="32"/>
          <w:szCs w:val="32"/>
          <w:lang w:val="en-US" w:eastAsia="zh-CN" w:bidi="ar-SA"/>
        </w:rPr>
        <w:t>2019.95</w:t>
      </w:r>
      <w:r>
        <w:rPr>
          <w:rFonts w:hint="eastAsia" w:ascii="仿宋_GB2312" w:hAnsi="Times New Roman" w:eastAsia="仿宋_GB2312" w:cs="Times New Roman"/>
          <w:color w:val="auto"/>
          <w:kern w:val="2"/>
          <w:sz w:val="32"/>
          <w:szCs w:val="32"/>
          <w:lang w:val="en-US" w:eastAsia="zh-CN" w:bidi="ar-SA"/>
        </w:rPr>
        <w:t>万元，其中基本支出</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万元，项目支出</w:t>
      </w:r>
      <w:r>
        <w:rPr>
          <w:rFonts w:hint="default" w:ascii="仿宋_GB2312" w:hAnsi="Times New Roman" w:eastAsia="仿宋_GB2312" w:cs="Times New Roman"/>
          <w:color w:val="auto"/>
          <w:kern w:val="2"/>
          <w:sz w:val="32"/>
          <w:szCs w:val="32"/>
          <w:lang w:val="en-US" w:eastAsia="zh-CN" w:bidi="ar-SA"/>
        </w:rPr>
        <w:t>618.64</w:t>
      </w:r>
      <w:r>
        <w:rPr>
          <w:rFonts w:hint="eastAsia" w:ascii="仿宋_GB2312" w:hAnsi="Times New Roman" w:eastAsia="仿宋_GB2312" w:cs="Times New Roman"/>
          <w:color w:val="auto"/>
          <w:kern w:val="2"/>
          <w:sz w:val="32"/>
          <w:szCs w:val="32"/>
          <w:lang w:val="en-US" w:eastAsia="zh-CN" w:bidi="ar-SA"/>
        </w:rPr>
        <w:t>万元。单位支出预算执行率为</w:t>
      </w:r>
      <w:r>
        <w:rPr>
          <w:rFonts w:hint="default" w:ascii="仿宋_GB2312" w:hAnsi="Times New Roman" w:eastAsia="仿宋_GB2312" w:cs="Times New Roman"/>
          <w:color w:val="auto"/>
          <w:kern w:val="2"/>
          <w:sz w:val="32"/>
          <w:szCs w:val="32"/>
          <w:lang w:val="en-US" w:eastAsia="zh-CN" w:bidi="ar-SA"/>
        </w:rPr>
        <w:t>99.98</w:t>
      </w:r>
      <w:r>
        <w:rPr>
          <w:rFonts w:hint="eastAsia" w:ascii="仿宋_GB2312" w:hAnsi="Times New Roman" w:eastAsia="仿宋_GB2312" w:cs="Times New Roman"/>
          <w:color w:val="auto"/>
          <w:kern w:val="2"/>
          <w:sz w:val="32"/>
          <w:szCs w:val="32"/>
          <w:lang w:val="en-US" w:eastAsia="zh-CN" w:bidi="ar-SA"/>
        </w:rPr>
        <w:t>%，年末项目结转结余资金为0</w:t>
      </w:r>
      <w:r>
        <w:rPr>
          <w:rFonts w:hint="default" w:ascii="仿宋_GB2312" w:hAnsi="Times New Roman" w:eastAsia="仿宋_GB2312" w:cs="Times New Roman"/>
          <w:color w:val="auto"/>
          <w:kern w:val="2"/>
          <w:sz w:val="32"/>
          <w:szCs w:val="32"/>
          <w:lang w:val="en-US" w:eastAsia="zh-CN" w:bidi="ar-SA"/>
        </w:rPr>
        <w:t>.36</w:t>
      </w:r>
      <w:r>
        <w:rPr>
          <w:rFonts w:hint="eastAsia" w:ascii="仿宋_GB2312" w:hAnsi="Times New Roman" w:eastAsia="仿宋_GB2312" w:cs="Times New Roman"/>
          <w:color w:val="auto"/>
          <w:kern w:val="2"/>
          <w:sz w:val="32"/>
          <w:szCs w:val="32"/>
          <w:lang w:val="en-US" w:eastAsia="zh-CN" w:bidi="ar-SA"/>
        </w:rPr>
        <w:t>万元。该部分总分10分，得分10分，得分率为100%。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2、年度绩效指标完成情况</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年度部门整体支出绩效评价指标得分情况（权重）</w:t>
      </w:r>
    </w:p>
    <w:p>
      <w:pPr>
        <w:spacing w:line="240" w:lineRule="exact"/>
        <w:jc w:val="center"/>
        <w:rPr>
          <w:color w:val="auto"/>
          <w:sz w:val="32"/>
          <w:szCs w:val="32"/>
        </w:rPr>
      </w:pPr>
    </w:p>
    <w:tbl>
      <w:tblPr>
        <w:tblStyle w:val="10"/>
        <w:tblW w:w="8931" w:type="dxa"/>
        <w:tblInd w:w="-289" w:type="dxa"/>
        <w:tblLayout w:type="autofit"/>
        <w:tblCellMar>
          <w:top w:w="0" w:type="dxa"/>
          <w:left w:w="108" w:type="dxa"/>
          <w:bottom w:w="0" w:type="dxa"/>
          <w:right w:w="108" w:type="dxa"/>
        </w:tblCellMar>
      </w:tblPr>
      <w:tblGrid>
        <w:gridCol w:w="3119"/>
        <w:gridCol w:w="1560"/>
        <w:gridCol w:w="1701"/>
        <w:gridCol w:w="2551"/>
      </w:tblGrid>
      <w:tr>
        <w:tblPrEx>
          <w:tblCellMar>
            <w:top w:w="0" w:type="dxa"/>
            <w:left w:w="108" w:type="dxa"/>
            <w:bottom w:w="0" w:type="dxa"/>
            <w:right w:w="108" w:type="dxa"/>
          </w:tblCellMar>
        </w:tblPrEx>
        <w:trPr>
          <w:trHeight w:val="493" w:hRule="atLeast"/>
        </w:trPr>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4"/>
                <w:szCs w:val="24"/>
              </w:rPr>
            </w:pPr>
            <w:r>
              <w:rPr>
                <w:rFonts w:hint="eastAsia" w:ascii="等线" w:hAnsi="等线" w:eastAsia="等线" w:cs="宋体"/>
                <w:b/>
                <w:bCs/>
                <w:color w:val="auto"/>
                <w:kern w:val="0"/>
                <w:sz w:val="24"/>
                <w:szCs w:val="24"/>
              </w:rPr>
              <w:t>一级指标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4"/>
                <w:szCs w:val="24"/>
              </w:rPr>
            </w:pPr>
            <w:r>
              <w:rPr>
                <w:rFonts w:hint="eastAsia" w:ascii="等线" w:hAnsi="等线" w:eastAsia="等线" w:cs="宋体"/>
                <w:b/>
                <w:bCs/>
                <w:color w:val="auto"/>
                <w:kern w:val="0"/>
                <w:sz w:val="24"/>
                <w:szCs w:val="24"/>
              </w:rPr>
              <w:t>权重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4"/>
                <w:szCs w:val="24"/>
              </w:rPr>
            </w:pPr>
            <w:r>
              <w:rPr>
                <w:rFonts w:hint="eastAsia" w:ascii="等线" w:hAnsi="等线" w:eastAsia="等线" w:cs="宋体"/>
                <w:b/>
                <w:bCs/>
                <w:color w:val="auto"/>
                <w:kern w:val="0"/>
                <w:sz w:val="24"/>
                <w:szCs w:val="24"/>
              </w:rPr>
              <w:t>得分</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4"/>
                <w:szCs w:val="24"/>
              </w:rPr>
            </w:pPr>
            <w:r>
              <w:rPr>
                <w:rFonts w:hint="eastAsia" w:ascii="等线" w:hAnsi="等线" w:eastAsia="等线" w:cs="宋体"/>
                <w:b/>
                <w:bCs/>
                <w:color w:val="auto"/>
                <w:kern w:val="0"/>
                <w:sz w:val="24"/>
                <w:szCs w:val="24"/>
              </w:rPr>
              <w:t>得分率</w:t>
            </w:r>
          </w:p>
        </w:tc>
      </w:tr>
      <w:tr>
        <w:tblPrEx>
          <w:tblCellMar>
            <w:top w:w="0" w:type="dxa"/>
            <w:left w:w="108" w:type="dxa"/>
            <w:bottom w:w="0" w:type="dxa"/>
            <w:right w:w="108" w:type="dxa"/>
          </w:tblCellMar>
        </w:tblPrEx>
        <w:trPr>
          <w:trHeight w:val="608"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部门管理</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27</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27</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421"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履职效果</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54</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53.74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99.52</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413"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能力建设</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9</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9</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424" w:hRule="atLeast"/>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highlight w:val="yellow"/>
              </w:rPr>
            </w:pPr>
            <w:r>
              <w:rPr>
                <w:rFonts w:hint="eastAsia" w:ascii="宋体" w:hAnsi="宋体" w:eastAsia="宋体" w:cs="宋体"/>
                <w:color w:val="auto"/>
                <w:kern w:val="0"/>
                <w:sz w:val="18"/>
                <w:szCs w:val="18"/>
              </w:rPr>
              <w:t>90</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89.74</w:t>
            </w:r>
          </w:p>
        </w:tc>
        <w:tc>
          <w:tcPr>
            <w:tcW w:w="25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99.71</w:t>
            </w:r>
            <w:r>
              <w:rPr>
                <w:rFonts w:hint="eastAsia" w:ascii="宋体" w:hAnsi="宋体" w:eastAsia="宋体" w:cs="宋体"/>
                <w:color w:val="auto"/>
                <w:kern w:val="0"/>
                <w:sz w:val="18"/>
                <w:szCs w:val="18"/>
              </w:rPr>
              <w:t>%</w:t>
            </w:r>
          </w:p>
        </w:tc>
      </w:tr>
    </w:tbl>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预期目标：</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1、目标一</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预期目标：加强法院信息化建设，利用科技手段，提高信息化工作水平；</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实际完成情况：深入推进两个“一站式”服务体系建设，快捷化解矛盾，方便群众诉讼。创新“一站式”多元解纷工作模式。深化“一站式”诉讼服务体系运行。增强扫黑除恶打击力度，紧紧围绕“努力让人民群众在每一个司法案件中感受到公平正义”工作目标。</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2、目标二</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预期目标：加强队伍管理、教育培训、新闻宣传、文化建设、审判执行工作等装备建设。</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实际完成情况：保障审判执行工作，紧紧围绕“努力让人民群众在每一个司法案件中感受到公平正义”工作目标。</w:t>
      </w:r>
    </w:p>
    <w:p>
      <w:pPr>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（三）各项指标完成情况分析</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1、部门管理</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年高台县人民法院整体支出绩效自评表》一级指标部门管理之下共设置6个二级指标，10个三级指标，指标权重合计</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%。各指标得分情况如下图所示：</w:t>
      </w:r>
    </w:p>
    <w:tbl>
      <w:tblPr>
        <w:tblStyle w:val="10"/>
        <w:tblW w:w="8714" w:type="dxa"/>
        <w:tblInd w:w="-147" w:type="dxa"/>
        <w:tblLayout w:type="autofit"/>
        <w:tblCellMar>
          <w:top w:w="0" w:type="dxa"/>
          <w:left w:w="108" w:type="dxa"/>
          <w:bottom w:w="0" w:type="dxa"/>
          <w:right w:w="108" w:type="dxa"/>
        </w:tblCellMar>
      </w:tblPr>
      <w:tblGrid>
        <w:gridCol w:w="2836"/>
        <w:gridCol w:w="1559"/>
        <w:gridCol w:w="1559"/>
        <w:gridCol w:w="851"/>
        <w:gridCol w:w="992"/>
        <w:gridCol w:w="917"/>
      </w:tblGrid>
      <w:tr>
        <w:tblPrEx>
          <w:tblCellMar>
            <w:top w:w="0" w:type="dxa"/>
            <w:left w:w="108" w:type="dxa"/>
            <w:bottom w:w="0" w:type="dxa"/>
            <w:right w:w="108" w:type="dxa"/>
          </w:tblCellMar>
        </w:tblPrEx>
        <w:trPr>
          <w:trHeight w:val="450" w:hRule="atLeast"/>
        </w:trPr>
        <w:tc>
          <w:tcPr>
            <w:tcW w:w="28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年度指标值</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9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基本支出预算执行率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594"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项目支出预算执行率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99.94</w:t>
            </w:r>
            <w:r>
              <w:rPr>
                <w:rFonts w:hint="eastAsia" w:ascii="宋体" w:hAnsi="宋体" w:eastAsia="宋体" w:cs="宋体"/>
                <w:color w:val="auto"/>
                <w:kern w:val="0"/>
                <w:sz w:val="18"/>
                <w:szCs w:val="18"/>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“三公经费”控制率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结转结余变动率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财务管理制度健全性</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健全</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健全</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资金使用规范性</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规范</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规范</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政府采购规范性</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规范</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规范</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资产管理规范性</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规范</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规范</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在职人员控制率</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360" w:hRule="atLeast"/>
        </w:trPr>
        <w:tc>
          <w:tcPr>
            <w:tcW w:w="283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重点工作管理制度健全性</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健全</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健全</w:t>
            </w:r>
          </w:p>
        </w:tc>
        <w:tc>
          <w:tcPr>
            <w:tcW w:w="85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rPr>
              <w:t>2.7</w:t>
            </w:r>
            <w:r>
              <w:rPr>
                <w:rFonts w:hint="eastAsia" w:ascii="宋体" w:hAnsi="宋体" w:eastAsia="宋体" w:cs="宋体"/>
                <w:color w:val="auto"/>
                <w:kern w:val="0"/>
                <w:sz w:val="18"/>
                <w:szCs w:val="18"/>
              </w:rPr>
              <w:t xml:space="preserve">    </w:t>
            </w:r>
          </w:p>
        </w:tc>
        <w:tc>
          <w:tcPr>
            <w:tcW w:w="9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rPr>
              <w:t>100</w:t>
            </w:r>
            <w:r>
              <w:rPr>
                <w:rFonts w:hint="eastAsia" w:ascii="宋体" w:hAnsi="宋体" w:eastAsia="宋体" w:cs="宋体"/>
                <w:color w:val="auto"/>
                <w:sz w:val="18"/>
                <w:szCs w:val="18"/>
              </w:rPr>
              <w:t>%</w:t>
            </w:r>
          </w:p>
        </w:tc>
      </w:tr>
      <w:tr>
        <w:tblPrEx>
          <w:tblCellMar>
            <w:top w:w="0" w:type="dxa"/>
            <w:left w:w="108" w:type="dxa"/>
            <w:bottom w:w="0" w:type="dxa"/>
            <w:right w:w="108" w:type="dxa"/>
          </w:tblCellMar>
        </w:tblPrEx>
        <w:trPr>
          <w:trHeight w:val="360" w:hRule="atLeast"/>
        </w:trPr>
        <w:tc>
          <w:tcPr>
            <w:tcW w:w="595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27</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27</w:t>
            </w:r>
          </w:p>
        </w:tc>
        <w:tc>
          <w:tcPr>
            <w:tcW w:w="9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bl>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基本支出预算执行率：</w:t>
      </w:r>
      <w:r>
        <w:rPr>
          <w:rFonts w:hint="eastAsia" w:ascii="仿宋_GB2312" w:hAnsi="Times New Roman" w:eastAsia="仿宋_GB2312" w:cs="Times New Roman"/>
          <w:color w:val="auto"/>
          <w:kern w:val="2"/>
          <w:sz w:val="32"/>
          <w:szCs w:val="32"/>
          <w:lang w:val="en-US" w:eastAsia="zh-CN" w:bidi="ar-SA"/>
        </w:rPr>
        <w:t>该指标反映基本支出实际数占预算数的比值，202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年度基本支出全年预算数</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万元，实际支出数</w:t>
      </w:r>
      <w:r>
        <w:rPr>
          <w:rFonts w:hint="default" w:ascii="仿宋_GB2312" w:hAnsi="Times New Roman" w:eastAsia="仿宋_GB2312" w:cs="Times New Roman"/>
          <w:color w:val="auto"/>
          <w:kern w:val="2"/>
          <w:sz w:val="32"/>
          <w:szCs w:val="32"/>
          <w:lang w:val="en-US" w:eastAsia="zh-CN" w:bidi="ar-SA"/>
        </w:rPr>
        <w:t>1401.31</w:t>
      </w:r>
      <w:r>
        <w:rPr>
          <w:rFonts w:hint="eastAsia" w:ascii="仿宋_GB2312" w:hAnsi="Times New Roman" w:eastAsia="仿宋_GB2312" w:cs="Times New Roman"/>
          <w:color w:val="auto"/>
          <w:kern w:val="2"/>
          <w:sz w:val="32"/>
          <w:szCs w:val="32"/>
          <w:lang w:val="en-US" w:eastAsia="zh-CN" w:bidi="ar-SA"/>
        </w:rPr>
        <w:t>万元，预算执行率</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%，该指标分值2</w:t>
      </w:r>
      <w:r>
        <w:rPr>
          <w:rFonts w:hint="default" w:ascii="仿宋_GB2312" w:hAnsi="Times New Roman" w:eastAsia="仿宋_GB2312" w:cs="Times New Roman"/>
          <w:color w:val="auto"/>
          <w:kern w:val="2"/>
          <w:sz w:val="32"/>
          <w:szCs w:val="32"/>
          <w:lang w:val="en-US" w:eastAsia="zh-CN" w:bidi="ar-SA"/>
        </w:rPr>
        <w:t>.7</w:t>
      </w:r>
      <w:r>
        <w:rPr>
          <w:rFonts w:hint="eastAsia" w:ascii="仿宋_GB2312" w:hAnsi="Times New Roman" w:eastAsia="仿宋_GB2312" w:cs="Times New Roman"/>
          <w:color w:val="auto"/>
          <w:kern w:val="2"/>
          <w:sz w:val="32"/>
          <w:szCs w:val="32"/>
          <w:lang w:val="en-US" w:eastAsia="zh-CN" w:bidi="ar-SA"/>
        </w:rPr>
        <w:t xml:space="preserve"> 分，根据评分标准自评得分 </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项目支出预算执行率：</w:t>
      </w:r>
      <w:r>
        <w:rPr>
          <w:rFonts w:hint="eastAsia" w:ascii="仿宋_GB2312" w:hAnsi="Times New Roman" w:eastAsia="仿宋_GB2312" w:cs="Times New Roman"/>
          <w:color w:val="auto"/>
          <w:kern w:val="2"/>
          <w:sz w:val="32"/>
          <w:szCs w:val="32"/>
          <w:lang w:val="en-US" w:eastAsia="zh-CN" w:bidi="ar-SA"/>
        </w:rPr>
        <w:t>该指标反映项目支出实际数占预算数的比值，202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年度项目支出全年预算数</w:t>
      </w:r>
      <w:r>
        <w:rPr>
          <w:rFonts w:hint="default" w:ascii="仿宋_GB2312" w:hAnsi="Times New Roman" w:eastAsia="仿宋_GB2312" w:cs="Times New Roman"/>
          <w:color w:val="auto"/>
          <w:kern w:val="2"/>
          <w:sz w:val="32"/>
          <w:szCs w:val="32"/>
          <w:lang w:val="en-US" w:eastAsia="zh-CN" w:bidi="ar-SA"/>
        </w:rPr>
        <w:t>619</w:t>
      </w:r>
      <w:r>
        <w:rPr>
          <w:rFonts w:hint="eastAsia" w:ascii="仿宋_GB2312" w:hAnsi="Times New Roman" w:eastAsia="仿宋_GB2312" w:cs="Times New Roman"/>
          <w:color w:val="auto"/>
          <w:kern w:val="2"/>
          <w:sz w:val="32"/>
          <w:szCs w:val="32"/>
          <w:lang w:val="en-US" w:eastAsia="zh-CN" w:bidi="ar-SA"/>
        </w:rPr>
        <w:t>.00万元，实际支出数</w:t>
      </w:r>
      <w:r>
        <w:rPr>
          <w:rFonts w:hint="default" w:ascii="仿宋_GB2312" w:hAnsi="Times New Roman" w:eastAsia="仿宋_GB2312" w:cs="Times New Roman"/>
          <w:color w:val="auto"/>
          <w:kern w:val="2"/>
          <w:sz w:val="32"/>
          <w:szCs w:val="32"/>
          <w:lang w:val="en-US" w:eastAsia="zh-CN" w:bidi="ar-SA"/>
        </w:rPr>
        <w:t>618.64</w:t>
      </w:r>
      <w:r>
        <w:rPr>
          <w:rFonts w:hint="eastAsia" w:ascii="仿宋_GB2312" w:hAnsi="Times New Roman" w:eastAsia="仿宋_GB2312" w:cs="Times New Roman"/>
          <w:color w:val="auto"/>
          <w:kern w:val="2"/>
          <w:sz w:val="32"/>
          <w:szCs w:val="32"/>
          <w:lang w:val="en-US" w:eastAsia="zh-CN" w:bidi="ar-SA"/>
        </w:rPr>
        <w:t>万元，项目支出预算执行率为</w:t>
      </w:r>
      <w:r>
        <w:rPr>
          <w:rFonts w:hint="default" w:ascii="仿宋_GB2312" w:hAnsi="Times New Roman" w:eastAsia="仿宋_GB2312" w:cs="Times New Roman"/>
          <w:color w:val="auto"/>
          <w:kern w:val="2"/>
          <w:sz w:val="32"/>
          <w:szCs w:val="32"/>
          <w:lang w:val="en-US" w:eastAsia="zh-CN" w:bidi="ar-SA"/>
        </w:rPr>
        <w:t>99.94</w:t>
      </w:r>
      <w:r>
        <w:rPr>
          <w:rFonts w:hint="eastAsia" w:ascii="仿宋_GB2312" w:hAnsi="Times New Roman" w:eastAsia="仿宋_GB2312" w:cs="Times New Roman"/>
          <w:color w:val="auto"/>
          <w:kern w:val="2"/>
          <w:sz w:val="32"/>
          <w:szCs w:val="32"/>
          <w:lang w:val="en-US" w:eastAsia="zh-CN" w:bidi="ar-SA"/>
        </w:rPr>
        <w:t>%，该指标分值</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“三公经费”控制率：</w:t>
      </w:r>
      <w:r>
        <w:rPr>
          <w:rFonts w:hint="eastAsia" w:ascii="仿宋_GB2312" w:hAnsi="Times New Roman" w:eastAsia="仿宋_GB2312" w:cs="Times New Roman"/>
          <w:color w:val="auto"/>
          <w:kern w:val="2"/>
          <w:sz w:val="32"/>
          <w:szCs w:val="32"/>
          <w:lang w:val="en-US" w:eastAsia="zh-CN" w:bidi="ar-SA"/>
        </w:rPr>
        <w:t>该指标反映三公经费实际数占预算数的比值，202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年度我院按照国家、省市县有关厉行节约的规定，对“三公”经费进行控制，“三公经费”预算数</w:t>
      </w:r>
      <w:r>
        <w:rPr>
          <w:rFonts w:hint="default" w:ascii="仿宋_GB2312" w:hAnsi="Times New Roman" w:eastAsia="仿宋_GB2312" w:cs="Times New Roman"/>
          <w:color w:val="auto"/>
          <w:kern w:val="2"/>
          <w:sz w:val="32"/>
          <w:szCs w:val="32"/>
          <w:lang w:val="en-US" w:eastAsia="zh-CN" w:bidi="ar-SA"/>
        </w:rPr>
        <w:t>73.98</w:t>
      </w:r>
      <w:r>
        <w:rPr>
          <w:rFonts w:hint="eastAsia" w:ascii="仿宋_GB2312" w:hAnsi="Times New Roman" w:eastAsia="仿宋_GB2312" w:cs="Times New Roman"/>
          <w:color w:val="auto"/>
          <w:kern w:val="2"/>
          <w:sz w:val="32"/>
          <w:szCs w:val="32"/>
          <w:lang w:val="en-US" w:eastAsia="zh-CN" w:bidi="ar-SA"/>
        </w:rPr>
        <w:t>万元，实际支出数</w:t>
      </w:r>
      <w:r>
        <w:rPr>
          <w:rFonts w:hint="default" w:ascii="仿宋_GB2312" w:hAnsi="Times New Roman" w:eastAsia="仿宋_GB2312" w:cs="Times New Roman"/>
          <w:color w:val="auto"/>
          <w:kern w:val="2"/>
          <w:sz w:val="32"/>
          <w:szCs w:val="32"/>
          <w:lang w:val="en-US" w:eastAsia="zh-CN" w:bidi="ar-SA"/>
        </w:rPr>
        <w:t>72.75</w:t>
      </w:r>
      <w:r>
        <w:rPr>
          <w:rFonts w:hint="eastAsia" w:ascii="仿宋_GB2312" w:hAnsi="Times New Roman" w:eastAsia="仿宋_GB2312" w:cs="Times New Roman"/>
          <w:color w:val="auto"/>
          <w:kern w:val="2"/>
          <w:sz w:val="32"/>
          <w:szCs w:val="32"/>
          <w:lang w:val="en-US" w:eastAsia="zh-CN" w:bidi="ar-SA"/>
        </w:rPr>
        <w:t>万元。“三公经费”控制率为</w:t>
      </w:r>
      <w:r>
        <w:rPr>
          <w:rFonts w:hint="default" w:ascii="仿宋_GB2312" w:hAnsi="Times New Roman" w:eastAsia="仿宋_GB2312" w:cs="Times New Roman"/>
          <w:color w:val="auto"/>
          <w:kern w:val="2"/>
          <w:sz w:val="32"/>
          <w:szCs w:val="32"/>
          <w:lang w:val="en-US" w:eastAsia="zh-CN" w:bidi="ar-SA"/>
        </w:rPr>
        <w:t>98.34</w:t>
      </w:r>
      <w:r>
        <w:rPr>
          <w:rFonts w:hint="eastAsia" w:ascii="仿宋_GB2312" w:hAnsi="Times New Roman" w:eastAsia="仿宋_GB2312" w:cs="Times New Roman"/>
          <w:color w:val="auto"/>
          <w:kern w:val="2"/>
          <w:sz w:val="32"/>
          <w:szCs w:val="32"/>
          <w:lang w:val="en-US" w:eastAsia="zh-CN" w:bidi="ar-SA"/>
        </w:rPr>
        <w:t>%，低于控制率100%，该指标分值</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分，得分率100%。</w:t>
      </w:r>
    </w:p>
    <w:p>
      <w:pPr>
        <w:ind w:firstLine="640" w:firstLineChars="200"/>
        <w:rPr>
          <w:color w:val="auto"/>
          <w:sz w:val="24"/>
          <w:szCs w:val="24"/>
        </w:rPr>
      </w:pPr>
      <w:r>
        <w:rPr>
          <w:rFonts w:hint="eastAsia" w:ascii="仿宋_GB2312" w:hAnsi="Times New Roman" w:eastAsia="仿宋_GB2312" w:cs="Times New Roman"/>
          <w:color w:val="auto"/>
          <w:kern w:val="2"/>
          <w:sz w:val="32"/>
          <w:szCs w:val="32"/>
          <w:lang w:val="en-US" w:eastAsia="zh-CN" w:bidi="ar-SA"/>
        </w:rPr>
        <w:t>结转结余变动率：该指标反映本年度结转资金相比上年度结转资金的增减程度，202</w:t>
      </w:r>
      <w:r>
        <w:rPr>
          <w:rFonts w:hint="default" w:ascii="仿宋_GB2312" w:hAnsi="Times New Roman" w:eastAsia="仿宋_GB2312" w:cs="Times New Roman"/>
          <w:color w:val="auto"/>
          <w:kern w:val="2"/>
          <w:sz w:val="32"/>
          <w:szCs w:val="32"/>
          <w:lang w:val="en-US" w:eastAsia="zh-CN" w:bidi="ar-SA"/>
        </w:rPr>
        <w:t>2</w:t>
      </w:r>
      <w:r>
        <w:rPr>
          <w:rFonts w:hint="eastAsia" w:ascii="仿宋_GB2312" w:hAnsi="Times New Roman" w:eastAsia="仿宋_GB2312" w:cs="Times New Roman"/>
          <w:color w:val="auto"/>
          <w:kern w:val="2"/>
          <w:sz w:val="32"/>
          <w:szCs w:val="32"/>
          <w:lang w:val="en-US" w:eastAsia="zh-CN" w:bidi="ar-SA"/>
        </w:rPr>
        <w:t>年度无结转结余资金，</w:t>
      </w:r>
      <w:r>
        <w:rPr>
          <w:rFonts w:hint="default" w:ascii="仿宋_GB2312" w:hAnsi="Times New Roman" w:eastAsia="仿宋_GB2312" w:cs="Times New Roman"/>
          <w:color w:val="auto"/>
          <w:kern w:val="2"/>
          <w:sz w:val="32"/>
          <w:szCs w:val="32"/>
          <w:lang w:val="en-US" w:eastAsia="zh-CN" w:bidi="ar-SA"/>
        </w:rPr>
        <w:t>2023</w:t>
      </w:r>
      <w:r>
        <w:rPr>
          <w:rFonts w:hint="eastAsia" w:ascii="仿宋_GB2312" w:hAnsi="Times New Roman" w:eastAsia="仿宋_GB2312" w:cs="Times New Roman"/>
          <w:color w:val="auto"/>
          <w:kern w:val="2"/>
          <w:sz w:val="32"/>
          <w:szCs w:val="32"/>
          <w:lang w:val="en-US" w:eastAsia="zh-CN" w:bidi="ar-SA"/>
        </w:rPr>
        <w:t>年结余资金</w:t>
      </w:r>
      <w:r>
        <w:rPr>
          <w:rFonts w:hint="default" w:ascii="仿宋_GB2312" w:hAnsi="Times New Roman" w:eastAsia="仿宋_GB2312" w:cs="Times New Roman"/>
          <w:color w:val="auto"/>
          <w:kern w:val="2"/>
          <w:sz w:val="32"/>
          <w:szCs w:val="32"/>
          <w:lang w:val="en-US" w:eastAsia="zh-CN" w:bidi="ar-SA"/>
        </w:rPr>
        <w:t>0.36</w:t>
      </w:r>
      <w:r>
        <w:rPr>
          <w:rFonts w:hint="eastAsia" w:ascii="仿宋_GB2312" w:hAnsi="Times New Roman" w:eastAsia="仿宋_GB2312" w:cs="Times New Roman"/>
          <w:color w:val="auto"/>
          <w:kern w:val="2"/>
          <w:sz w:val="32"/>
          <w:szCs w:val="32"/>
          <w:lang w:val="en-US" w:eastAsia="zh-CN" w:bidi="ar-SA"/>
        </w:rPr>
        <w:t>万元，资金结转原因是系统支付过程中，银行未及时将支付失败资金退回我院账户，待退回时财政支付已停止，无法支出，故只能将该笔资金结转。在预算执行、事项支出、会计核算以及重大事项支出程序等方面不存在不规范现象，无虚列项目支出，截留、挤占、挪用项目资金等情况。指标权重</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分，得分率为100%。</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财务管理制度健全性：</w:t>
      </w:r>
      <w:r>
        <w:rPr>
          <w:rFonts w:hint="eastAsia" w:ascii="仿宋_GB2312" w:hAnsi="Times New Roman" w:eastAsia="仿宋_GB2312" w:cs="Times New Roman"/>
          <w:color w:val="auto"/>
          <w:kern w:val="2"/>
          <w:sz w:val="32"/>
          <w:szCs w:val="32"/>
          <w:lang w:val="en-US" w:eastAsia="zh-CN" w:bidi="ar-SA"/>
        </w:rPr>
        <w:t>单位制定了高台县人民法院财务经费管理规定、财务管理办法等共多个资产管理办法。该指标权重</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分，按评价标准自评得分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w:t>
      </w:r>
      <w:r>
        <w:rPr>
          <w:rFonts w:hint="eastAsia" w:ascii="仿宋_GB2312" w:hAnsi="Times New Roman" w:eastAsia="仿宋_GB2312" w:cs="Times New Roman"/>
          <w:color w:val="auto"/>
          <w:kern w:val="2"/>
          <w:sz w:val="32"/>
          <w:szCs w:val="32"/>
          <w:lang w:val="en-US" w:eastAsia="zh-CN" w:bidi="ar-SA"/>
        </w:rPr>
        <w:t>0%。</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资金使用规范性：</w:t>
      </w:r>
      <w:r>
        <w:rPr>
          <w:rFonts w:hint="eastAsia" w:ascii="仿宋_GB2312" w:hAnsi="Times New Roman" w:eastAsia="仿宋_GB2312" w:cs="Times New Roman"/>
          <w:color w:val="auto"/>
          <w:kern w:val="2"/>
          <w:sz w:val="32"/>
          <w:szCs w:val="32"/>
          <w:lang w:val="en-US" w:eastAsia="zh-CN" w:bidi="ar-SA"/>
        </w:rPr>
        <w:t>该指标反映部门资金支出是否规范，202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年我院资金支出总体上审批程序合规、手续齐全，支出内容符合省财政预算批复规定的用途。指标权重</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 xml:space="preserve"> 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政府采购规范性：</w:t>
      </w: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年我院采购实际执行情况与采购计划安排无差异。采购事项严格执行相关标准，采购业务符合政府采购相关规定，指标权重</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w:t>
      </w:r>
      <w:r>
        <w:rPr>
          <w:rFonts w:hint="eastAsia" w:ascii="仿宋_GB2312" w:hAnsi="Times New Roman" w:eastAsia="仿宋_GB2312" w:cs="Times New Roman"/>
          <w:color w:val="auto"/>
          <w:kern w:val="2"/>
          <w:sz w:val="32"/>
          <w:szCs w:val="32"/>
          <w:lang w:val="en-US" w:eastAsia="zh-CN" w:bidi="ar-SA"/>
        </w:rPr>
        <w:t>0%。</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资产管理规范性：</w:t>
      </w: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年我院账务和资产卡片数据相符，资产卡片与实物相符，各类资产保存完整、使用合规、配置合理、处置规范，根据评分标准本项得满分。指标权重</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w:t>
      </w:r>
      <w:r>
        <w:rPr>
          <w:rFonts w:hint="eastAsia" w:ascii="仿宋_GB2312" w:hAnsi="Times New Roman" w:eastAsia="仿宋_GB2312" w:cs="Times New Roman"/>
          <w:color w:val="auto"/>
          <w:kern w:val="2"/>
          <w:sz w:val="32"/>
          <w:szCs w:val="32"/>
          <w:lang w:val="en-US" w:eastAsia="zh-CN" w:bidi="ar-SA"/>
        </w:rPr>
        <w:t>0%。</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在职人员控制率：</w:t>
      </w:r>
      <w:r>
        <w:rPr>
          <w:rFonts w:hint="eastAsia" w:ascii="仿宋_GB2312" w:hAnsi="Times New Roman" w:eastAsia="仿宋_GB2312" w:cs="Times New Roman"/>
          <w:color w:val="auto"/>
          <w:kern w:val="2"/>
          <w:sz w:val="32"/>
          <w:szCs w:val="32"/>
          <w:lang w:val="en-US" w:eastAsia="zh-CN" w:bidi="ar-SA"/>
        </w:rPr>
        <w:t>该指标反映单位实际人数占编制人数的比重，现有编制</w:t>
      </w:r>
      <w:r>
        <w:rPr>
          <w:rFonts w:hint="default" w:ascii="仿宋_GB2312" w:hAnsi="Times New Roman" w:eastAsia="仿宋_GB2312" w:cs="Times New Roman"/>
          <w:color w:val="auto"/>
          <w:kern w:val="2"/>
          <w:sz w:val="32"/>
          <w:szCs w:val="32"/>
          <w:lang w:val="en-US" w:eastAsia="zh-CN" w:bidi="ar-SA"/>
        </w:rPr>
        <w:t>58</w:t>
      </w:r>
      <w:r>
        <w:rPr>
          <w:rFonts w:hint="eastAsia" w:ascii="仿宋_GB2312" w:hAnsi="Times New Roman" w:eastAsia="仿宋_GB2312" w:cs="Times New Roman"/>
          <w:color w:val="auto"/>
          <w:kern w:val="2"/>
          <w:sz w:val="32"/>
          <w:szCs w:val="32"/>
          <w:lang w:val="en-US" w:eastAsia="zh-CN" w:bidi="ar-SA"/>
        </w:rPr>
        <w:t>人，截止202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年12月实有人员5</w:t>
      </w:r>
      <w:r>
        <w:rPr>
          <w:rFonts w:hint="default" w:ascii="仿宋_GB2312" w:hAnsi="Times New Roman" w:eastAsia="仿宋_GB2312" w:cs="Times New Roman"/>
          <w:color w:val="auto"/>
          <w:kern w:val="2"/>
          <w:sz w:val="32"/>
          <w:szCs w:val="32"/>
          <w:lang w:val="en-US" w:eastAsia="zh-CN" w:bidi="ar-SA"/>
        </w:rPr>
        <w:t>7</w:t>
      </w:r>
      <w:r>
        <w:rPr>
          <w:rFonts w:hint="eastAsia" w:ascii="仿宋_GB2312" w:hAnsi="Times New Roman" w:eastAsia="仿宋_GB2312" w:cs="Times New Roman"/>
          <w:color w:val="auto"/>
          <w:kern w:val="2"/>
          <w:sz w:val="32"/>
          <w:szCs w:val="32"/>
          <w:lang w:val="en-US" w:eastAsia="zh-CN" w:bidi="ar-SA"/>
        </w:rPr>
        <w:t>人，其中：行政编制人数</w:t>
      </w:r>
      <w:r>
        <w:rPr>
          <w:rFonts w:hint="default" w:ascii="仿宋_GB2312" w:hAnsi="Times New Roman" w:eastAsia="仿宋_GB2312" w:cs="Times New Roman"/>
          <w:color w:val="auto"/>
          <w:kern w:val="2"/>
          <w:sz w:val="32"/>
          <w:szCs w:val="32"/>
          <w:lang w:val="en-US" w:eastAsia="zh-CN" w:bidi="ar-SA"/>
        </w:rPr>
        <w:t>53</w:t>
      </w:r>
      <w:r>
        <w:rPr>
          <w:rFonts w:hint="eastAsia" w:ascii="仿宋_GB2312" w:hAnsi="Times New Roman" w:eastAsia="仿宋_GB2312" w:cs="Times New Roman"/>
          <w:color w:val="auto"/>
          <w:kern w:val="2"/>
          <w:sz w:val="32"/>
          <w:szCs w:val="32"/>
          <w:lang w:val="en-US" w:eastAsia="zh-CN" w:bidi="ar-SA"/>
        </w:rPr>
        <w:t>人、事业编制人数</w:t>
      </w:r>
      <w:r>
        <w:rPr>
          <w:rFonts w:hint="default" w:ascii="仿宋_GB2312" w:hAnsi="Times New Roman" w:eastAsia="仿宋_GB2312" w:cs="Times New Roman"/>
          <w:color w:val="auto"/>
          <w:kern w:val="2"/>
          <w:sz w:val="32"/>
          <w:szCs w:val="32"/>
          <w:lang w:val="en-US" w:eastAsia="zh-CN" w:bidi="ar-SA"/>
        </w:rPr>
        <w:t>4</w:t>
      </w:r>
      <w:r>
        <w:rPr>
          <w:rFonts w:hint="eastAsia" w:ascii="仿宋_GB2312" w:hAnsi="Times New Roman" w:eastAsia="仿宋_GB2312" w:cs="Times New Roman"/>
          <w:color w:val="auto"/>
          <w:kern w:val="2"/>
          <w:sz w:val="32"/>
          <w:szCs w:val="32"/>
          <w:lang w:val="en-US" w:eastAsia="zh-CN" w:bidi="ar-SA"/>
        </w:rPr>
        <w:t>人。人员未超编，人员管理较为规范，单位整体的财政供养人员规模能够有效控制。在职人员控制率为100 %，该指标分值2</w:t>
      </w:r>
      <w:r>
        <w:rPr>
          <w:rFonts w:hint="default" w:ascii="仿宋_GB2312" w:hAnsi="Times New Roman" w:eastAsia="仿宋_GB2312" w:cs="Times New Roman"/>
          <w:color w:val="auto"/>
          <w:kern w:val="2"/>
          <w:sz w:val="32"/>
          <w:szCs w:val="32"/>
          <w:lang w:val="en-US" w:eastAsia="zh-CN" w:bidi="ar-SA"/>
        </w:rPr>
        <w:t>.7</w:t>
      </w:r>
      <w:r>
        <w:rPr>
          <w:rFonts w:hint="eastAsia" w:ascii="仿宋_GB2312" w:hAnsi="Times New Roman" w:eastAsia="仿宋_GB2312" w:cs="Times New Roman"/>
          <w:color w:val="auto"/>
          <w:kern w:val="2"/>
          <w:sz w:val="32"/>
          <w:szCs w:val="32"/>
          <w:lang w:val="en-US" w:eastAsia="zh-CN" w:bidi="ar-SA"/>
        </w:rPr>
        <w:t>分，自评得分2</w:t>
      </w:r>
      <w:r>
        <w:rPr>
          <w:rFonts w:hint="default" w:ascii="仿宋_GB2312" w:hAnsi="Times New Roman" w:eastAsia="仿宋_GB2312" w:cs="Times New Roman"/>
          <w:color w:val="auto"/>
          <w:kern w:val="2"/>
          <w:sz w:val="32"/>
          <w:szCs w:val="32"/>
          <w:lang w:val="en-US" w:eastAsia="zh-CN" w:bidi="ar-SA"/>
        </w:rPr>
        <w:t>.7</w:t>
      </w:r>
      <w:r>
        <w:rPr>
          <w:rFonts w:hint="eastAsia" w:ascii="仿宋_GB2312" w:hAnsi="Times New Roman" w:eastAsia="仿宋_GB2312" w:cs="Times New Roman"/>
          <w:color w:val="auto"/>
          <w:kern w:val="2"/>
          <w:sz w:val="32"/>
          <w:szCs w:val="32"/>
          <w:lang w:val="en-US" w:eastAsia="zh-CN" w:bidi="ar-SA"/>
        </w:rPr>
        <w:t>分，得分率100%。</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重点工作管理制度健全性：</w:t>
      </w:r>
      <w:r>
        <w:rPr>
          <w:rFonts w:hint="eastAsia" w:ascii="仿宋_GB2312" w:hAnsi="Times New Roman" w:eastAsia="仿宋_GB2312" w:cs="Times New Roman"/>
          <w:color w:val="auto"/>
          <w:kern w:val="2"/>
          <w:sz w:val="32"/>
          <w:szCs w:val="32"/>
          <w:lang w:val="en-US" w:eastAsia="zh-CN" w:bidi="ar-SA"/>
        </w:rPr>
        <w:t>该指标反映单位重点工作管理制度是否健全长效，我院针对重点工作，编制《高台县人民院规章制度汇编》，共收集整理编制42余项规章制度，涉及党建，培训、总务等各方面，有效推动分院各项工作规范化开展，指标权重2</w:t>
      </w:r>
      <w:r>
        <w:rPr>
          <w:rFonts w:hint="default" w:ascii="仿宋_GB2312" w:hAnsi="Times New Roman" w:eastAsia="仿宋_GB2312" w:cs="Times New Roman"/>
          <w:color w:val="auto"/>
          <w:kern w:val="2"/>
          <w:sz w:val="32"/>
          <w:szCs w:val="32"/>
          <w:lang w:val="en-US" w:eastAsia="zh-CN" w:bidi="ar-SA"/>
        </w:rPr>
        <w:t>.7</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2.7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w:t>
      </w:r>
      <w:r>
        <w:rPr>
          <w:rFonts w:hint="eastAsia" w:ascii="仿宋_GB2312" w:hAnsi="Times New Roman" w:eastAsia="仿宋_GB2312" w:cs="Times New Roman"/>
          <w:color w:val="auto"/>
          <w:kern w:val="2"/>
          <w:sz w:val="32"/>
          <w:szCs w:val="32"/>
          <w:lang w:val="en-US" w:eastAsia="zh-CN" w:bidi="ar-SA"/>
        </w:rPr>
        <w:t>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2、履职效果</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一级指标履职效果下设部门履职目标、部门效果和社会影响3个二级指标、21个三级指标，下面将逐一进行分析。</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（1）部门履职目标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部门履职目标根据部门重点工作任务的产出而设置，指标权重合计40分，自评得分</w:t>
      </w:r>
      <w:r>
        <w:rPr>
          <w:rFonts w:hint="default" w:ascii="仿宋_GB2312" w:hAnsi="Times New Roman" w:eastAsia="仿宋_GB2312" w:cs="Times New Roman"/>
          <w:color w:val="auto"/>
          <w:kern w:val="2"/>
          <w:sz w:val="32"/>
          <w:szCs w:val="32"/>
          <w:lang w:val="en-US" w:eastAsia="zh-CN" w:bidi="ar-SA"/>
        </w:rPr>
        <w:t>40</w:t>
      </w:r>
      <w:r>
        <w:rPr>
          <w:rFonts w:hint="eastAsia" w:ascii="仿宋_GB2312" w:hAnsi="Times New Roman" w:eastAsia="仿宋_GB2312" w:cs="Times New Roman"/>
          <w:color w:val="auto"/>
          <w:kern w:val="2"/>
          <w:sz w:val="32"/>
          <w:szCs w:val="32"/>
          <w:lang w:val="en-US" w:eastAsia="zh-CN" w:bidi="ar-SA"/>
        </w:rPr>
        <w:t>分，得分率为98.5%。</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产出数量指标1-刑事案件结案率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≥92%</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97.25</w:t>
            </w:r>
            <w:r>
              <w:rPr>
                <w:rFonts w:hint="eastAsia" w:ascii="宋体" w:hAnsi="宋体" w:eastAsia="宋体" w:cs="宋体"/>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产出数量指标2-民商事案件结案率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97.64</w:t>
            </w:r>
            <w:r>
              <w:rPr>
                <w:rFonts w:hint="eastAsia" w:ascii="宋体" w:hAnsi="宋体" w:eastAsia="宋体" w:cs="宋体"/>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产出数量指标3-行政案件结案率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95.31</w:t>
            </w:r>
            <w:r>
              <w:rPr>
                <w:rFonts w:hint="eastAsia" w:ascii="宋体" w:hAnsi="宋体" w:eastAsia="宋体" w:cs="宋体"/>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68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产出数量指标4-执行案件结案率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≥82%</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w:t>
            </w:r>
            <w:r>
              <w:rPr>
                <w:rFonts w:hint="eastAsia" w:ascii="宋体" w:hAnsi="宋体" w:eastAsia="宋体" w:cs="宋体"/>
                <w:b w:val="0"/>
                <w:bCs w:val="0"/>
                <w:color w:val="auto"/>
                <w:sz w:val="18"/>
                <w:szCs w:val="18"/>
                <w:lang w:val="en-US"/>
              </w:rPr>
              <w:t>7.47</w:t>
            </w:r>
            <w:r>
              <w:rPr>
                <w:rFonts w:hint="eastAsia" w:ascii="宋体" w:hAnsi="宋体" w:eastAsia="宋体" w:cs="宋体"/>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产出数量指标5-装备购置完成率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lang w:val="en-US"/>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产出数量指标6-培训工作完成率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产出数量指标7-法制宣传工作完成率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产出质量指标1-一审服判息诉率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w:t>
            </w:r>
            <w:r>
              <w:rPr>
                <w:rFonts w:hint="eastAsia" w:ascii="宋体" w:hAnsi="宋体" w:eastAsia="宋体" w:cs="宋体"/>
                <w:b w:val="0"/>
                <w:bCs w:val="0"/>
                <w:color w:val="auto"/>
                <w:sz w:val="18"/>
                <w:szCs w:val="18"/>
                <w:lang w:val="en-US"/>
              </w:rPr>
              <w:t>0</w:t>
            </w:r>
            <w:r>
              <w:rPr>
                <w:rFonts w:hint="eastAsia" w:ascii="宋体" w:hAnsi="宋体" w:eastAsia="宋体" w:cs="宋体"/>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产出质量指标2-上诉改判率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10</w:t>
            </w:r>
            <w:r>
              <w:rPr>
                <w:rFonts w:hint="eastAsia" w:ascii="宋体" w:hAnsi="宋体" w:eastAsia="宋体" w:cs="宋体"/>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产出质量指标3-装备验收合格率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产出质量指标4-培训考核通过率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100%</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2.45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产出时效指标1-法定审限内结案率</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≥97%</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99.</w:t>
            </w:r>
            <w:r>
              <w:rPr>
                <w:rFonts w:hint="eastAsia" w:ascii="宋体" w:hAnsi="宋体" w:eastAsia="宋体" w:cs="宋体"/>
                <w:b w:val="0"/>
                <w:bCs w:val="0"/>
                <w:color w:val="auto"/>
                <w:sz w:val="18"/>
                <w:szCs w:val="18"/>
                <w:lang w:val="en-US"/>
              </w:rPr>
              <w:t>9</w:t>
            </w:r>
            <w:r>
              <w:rPr>
                <w:rFonts w:hint="eastAsia" w:ascii="宋体" w:hAnsi="宋体" w:eastAsia="宋体" w:cs="宋体"/>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2.45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产出时效指标2-装备购置及时性</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及时</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及时</w:t>
            </w:r>
          </w:p>
        </w:tc>
        <w:tc>
          <w:tcPr>
            <w:tcW w:w="1134"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lang w:val="en-US"/>
              </w:rPr>
              <w:t>100</w:t>
            </w:r>
            <w:r>
              <w:rPr>
                <w:rFonts w:hint="eastAsia" w:ascii="宋体" w:hAnsi="宋体" w:eastAsia="宋体" w:cs="宋体"/>
                <w:b w:val="0"/>
                <w:bCs w:val="0"/>
                <w:color w:val="auto"/>
                <w:kern w:val="0"/>
                <w:sz w:val="18"/>
                <w:szCs w:val="18"/>
              </w:rPr>
              <w:t>%</w:t>
            </w:r>
          </w:p>
        </w:tc>
      </w:tr>
      <w:tr>
        <w:tblPrEx>
          <w:tblCellMar>
            <w:top w:w="0" w:type="dxa"/>
            <w:left w:w="108" w:type="dxa"/>
            <w:bottom w:w="0" w:type="dxa"/>
            <w:right w:w="108" w:type="dxa"/>
          </w:tblCellMar>
        </w:tblPrEx>
        <w:trPr>
          <w:trHeight w:val="638"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产出时效指标3-开展培训工作及时性</w:t>
            </w:r>
          </w:p>
        </w:tc>
        <w:tc>
          <w:tcPr>
            <w:tcW w:w="1560" w:type="dxa"/>
            <w:tcBorders>
              <w:top w:val="single" w:color="auto" w:sz="4" w:space="0"/>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及时</w:t>
            </w:r>
          </w:p>
        </w:tc>
        <w:tc>
          <w:tcPr>
            <w:tcW w:w="1417" w:type="dxa"/>
            <w:tcBorders>
              <w:top w:val="single" w:color="auto" w:sz="4" w:space="0"/>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及时</w:t>
            </w:r>
          </w:p>
        </w:tc>
        <w:tc>
          <w:tcPr>
            <w:tcW w:w="1134" w:type="dxa"/>
            <w:tcBorders>
              <w:top w:val="single" w:color="auto" w:sz="4" w:space="0"/>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2.45</w:t>
            </w:r>
          </w:p>
        </w:tc>
        <w:tc>
          <w:tcPr>
            <w:tcW w:w="1134" w:type="dxa"/>
            <w:tcBorders>
              <w:top w:val="single" w:color="auto" w:sz="4" w:space="0"/>
              <w:left w:val="nil"/>
              <w:bottom w:val="single" w:color="auto" w:sz="4" w:space="0"/>
              <w:right w:val="single" w:color="auto" w:sz="4" w:space="0"/>
            </w:tcBorders>
            <w:shd w:val="clear" w:color="auto" w:fill="auto"/>
            <w:noWrap/>
            <w:vAlign w:val="top"/>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rPr>
              <w:t>2.45</w:t>
            </w:r>
          </w:p>
        </w:tc>
        <w:tc>
          <w:tcPr>
            <w:tcW w:w="1134" w:type="dxa"/>
            <w:tcBorders>
              <w:top w:val="single" w:color="auto" w:sz="4" w:space="0"/>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kern w:val="0"/>
                <w:sz w:val="18"/>
                <w:szCs w:val="18"/>
                <w:lang w:val="en-US"/>
              </w:rPr>
              <w:t>10</w:t>
            </w:r>
            <w:r>
              <w:rPr>
                <w:rFonts w:hint="eastAsia" w:ascii="宋体" w:hAnsi="宋体" w:eastAsia="宋体" w:cs="宋体"/>
                <w:b w:val="0"/>
                <w:bCs w:val="0"/>
                <w:color w:val="auto"/>
                <w:kern w:val="0"/>
                <w:sz w:val="18"/>
                <w:szCs w:val="18"/>
              </w:rPr>
              <w:t>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产出时效指标4-开展法制宣传工作及时性</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及时</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及时</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2.35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2.35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kern w:val="0"/>
                <w:sz w:val="18"/>
                <w:szCs w:val="18"/>
                <w:lang w:val="en-US"/>
              </w:rPr>
              <w:t>10</w:t>
            </w:r>
            <w:r>
              <w:rPr>
                <w:rFonts w:hint="eastAsia" w:ascii="宋体" w:hAnsi="宋体" w:eastAsia="宋体" w:cs="宋体"/>
                <w:b w:val="0"/>
                <w:bCs w:val="0"/>
                <w:color w:val="auto"/>
                <w:kern w:val="0"/>
                <w:sz w:val="18"/>
                <w:szCs w:val="18"/>
              </w:rPr>
              <w:t>0%</w:t>
            </w:r>
          </w:p>
        </w:tc>
      </w:tr>
      <w:tr>
        <w:tblPrEx>
          <w:tblCellMar>
            <w:top w:w="0" w:type="dxa"/>
            <w:left w:w="108" w:type="dxa"/>
            <w:bottom w:w="0" w:type="dxa"/>
            <w:right w:w="108" w:type="dxa"/>
          </w:tblCellMar>
        </w:tblPrEx>
        <w:trPr>
          <w:trHeight w:val="638" w:hRule="atLeast"/>
        </w:trPr>
        <w:tc>
          <w:tcPr>
            <w:tcW w:w="2552" w:type="dxa"/>
            <w:tcBorders>
              <w:top w:val="nil"/>
              <w:left w:val="single" w:color="auto" w:sz="4" w:space="0"/>
              <w:bottom w:val="single" w:color="auto" w:sz="4" w:space="0"/>
              <w:right w:val="single" w:color="auto" w:sz="4" w:space="0"/>
            </w:tcBorders>
            <w:shd w:val="clear" w:color="auto" w:fill="auto"/>
            <w:noWrap/>
          </w:tcPr>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产出成本指标-成本控制情况</w:t>
            </w:r>
          </w:p>
        </w:tc>
        <w:tc>
          <w:tcPr>
            <w:tcW w:w="1560"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控制在预算范围内</w:t>
            </w:r>
          </w:p>
        </w:tc>
        <w:tc>
          <w:tcPr>
            <w:tcW w:w="1417"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控制在预算范围内</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2.35</w:t>
            </w:r>
          </w:p>
        </w:tc>
        <w:tc>
          <w:tcPr>
            <w:tcW w:w="1134" w:type="dxa"/>
            <w:tcBorders>
              <w:top w:val="nil"/>
              <w:left w:val="nil"/>
              <w:bottom w:val="single" w:color="auto" w:sz="4" w:space="0"/>
              <w:right w:val="single" w:color="auto" w:sz="4" w:space="0"/>
            </w:tcBorders>
            <w:shd w:val="clear" w:color="auto" w:fill="auto"/>
            <w:noWrap/>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rPr>
              <w:t>2.35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fldChar w:fldCharType="begin"/>
            </w:r>
            <w:r>
              <w:rPr>
                <w:rFonts w:hint="eastAsia" w:ascii="宋体" w:hAnsi="宋体" w:eastAsia="宋体" w:cs="宋体"/>
                <w:b w:val="0"/>
                <w:bCs w:val="0"/>
                <w:color w:val="auto"/>
                <w:kern w:val="0"/>
                <w:sz w:val="18"/>
                <w:szCs w:val="18"/>
              </w:rPr>
              <w:instrText xml:space="preserve">=SUM(ABOVE)</w:instrText>
            </w:r>
            <w:r>
              <w:rPr>
                <w:rFonts w:hint="eastAsia" w:ascii="宋体" w:hAnsi="宋体" w:eastAsia="宋体" w:cs="宋体"/>
                <w:b w:val="0"/>
                <w:bCs w:val="0"/>
                <w:color w:val="auto"/>
                <w:kern w:val="0"/>
                <w:sz w:val="18"/>
                <w:szCs w:val="18"/>
              </w:rPr>
              <w:fldChar w:fldCharType="separate"/>
            </w:r>
            <w:r>
              <w:rPr>
                <w:rFonts w:hint="eastAsia" w:ascii="宋体" w:hAnsi="宋体" w:eastAsia="宋体" w:cs="宋体"/>
                <w:b w:val="0"/>
                <w:bCs w:val="0"/>
                <w:color w:val="auto"/>
                <w:kern w:val="0"/>
                <w:sz w:val="18"/>
                <w:szCs w:val="18"/>
              </w:rPr>
              <w:t>40</w:t>
            </w:r>
            <w:r>
              <w:rPr>
                <w:rFonts w:hint="eastAsia" w:ascii="宋体" w:hAnsi="宋体" w:eastAsia="宋体" w:cs="宋体"/>
                <w:b w:val="0"/>
                <w:bCs w:val="0"/>
                <w:color w:val="auto"/>
                <w:kern w:val="0"/>
                <w:sz w:val="18"/>
                <w:szCs w:val="18"/>
              </w:rPr>
              <w:fldChar w:fldCharType="end"/>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val="0"/>
                <w:bCs w:val="0"/>
                <w:color w:val="auto"/>
                <w:kern w:val="0"/>
                <w:sz w:val="18"/>
                <w:szCs w:val="18"/>
                <w:lang w:val="en-US"/>
              </w:rPr>
            </w:pPr>
            <w:r>
              <w:rPr>
                <w:rFonts w:hint="eastAsia" w:ascii="宋体" w:hAnsi="宋体" w:eastAsia="宋体" w:cs="宋体"/>
                <w:b w:val="0"/>
                <w:bCs w:val="0"/>
                <w:color w:val="auto"/>
                <w:kern w:val="0"/>
                <w:sz w:val="18"/>
                <w:szCs w:val="18"/>
                <w:lang w:val="en-US"/>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ind w:firstLine="180" w:firstLineChars="100"/>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lang w:val="en-US"/>
              </w:rPr>
              <w:t>100</w:t>
            </w:r>
            <w:r>
              <w:rPr>
                <w:rFonts w:hint="eastAsia" w:ascii="宋体" w:hAnsi="宋体" w:eastAsia="宋体" w:cs="宋体"/>
                <w:b w:val="0"/>
                <w:bCs w:val="0"/>
                <w:color w:val="auto"/>
                <w:kern w:val="0"/>
                <w:sz w:val="18"/>
                <w:szCs w:val="18"/>
              </w:rPr>
              <w:t>%</w:t>
            </w:r>
          </w:p>
        </w:tc>
      </w:tr>
    </w:tbl>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根据我院年度工作计划和重点工作任务，设置各重点业务的产出指标，目标完成情况良好，各指标具体完成情况分析如下：</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产出数量指标：</w:t>
      </w:r>
      <w:r>
        <w:rPr>
          <w:rFonts w:hint="eastAsia" w:ascii="仿宋_GB2312" w:hAnsi="Times New Roman" w:eastAsia="仿宋_GB2312" w:cs="Times New Roman"/>
          <w:color w:val="auto"/>
          <w:kern w:val="2"/>
          <w:sz w:val="32"/>
          <w:szCs w:val="32"/>
          <w:lang w:val="en-US" w:eastAsia="zh-CN" w:bidi="ar-SA"/>
        </w:rPr>
        <w:t>与办案相关的必要支出费用得到保障，在执行过程中保障了各类案件在审理过程中的各项支出费用及时到位。指标分值</w:t>
      </w:r>
      <w:r>
        <w:rPr>
          <w:rFonts w:hint="default" w:ascii="仿宋_GB2312" w:hAnsi="Times New Roman" w:eastAsia="仿宋_GB2312" w:cs="Times New Roman"/>
          <w:color w:val="auto"/>
          <w:kern w:val="2"/>
          <w:sz w:val="32"/>
          <w:szCs w:val="32"/>
          <w:lang w:val="en-US" w:eastAsia="zh-CN" w:bidi="ar-SA"/>
        </w:rPr>
        <w:t>17.85</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17.85</w:t>
      </w:r>
      <w:r>
        <w:rPr>
          <w:rFonts w:hint="eastAsia" w:ascii="仿宋_GB2312" w:hAnsi="Times New Roman" w:eastAsia="仿宋_GB2312" w:cs="Times New Roman"/>
          <w:color w:val="auto"/>
          <w:kern w:val="2"/>
          <w:sz w:val="32"/>
          <w:szCs w:val="32"/>
          <w:lang w:val="en-US" w:eastAsia="zh-CN" w:bidi="ar-SA"/>
        </w:rPr>
        <w:t>分，得分率为100%。</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 xml:space="preserve">产出质量指标： </w:t>
      </w:r>
      <w:r>
        <w:rPr>
          <w:rFonts w:hint="eastAsia" w:ascii="仿宋_GB2312" w:hAnsi="Times New Roman" w:eastAsia="仿宋_GB2312" w:cs="Times New Roman"/>
          <w:color w:val="auto"/>
          <w:kern w:val="2"/>
          <w:sz w:val="32"/>
          <w:szCs w:val="32"/>
          <w:lang w:val="en-US" w:eastAsia="zh-CN" w:bidi="ar-SA"/>
        </w:rPr>
        <w:t>严格法定审限内结案，无积案堆案，一审服判息诉率达到了9</w:t>
      </w:r>
      <w:r>
        <w:rPr>
          <w:rFonts w:hint="default" w:ascii="仿宋_GB2312" w:hAnsi="Times New Roman" w:eastAsia="仿宋_GB2312" w:cs="Times New Roman"/>
          <w:color w:val="auto"/>
          <w:kern w:val="2"/>
          <w:sz w:val="32"/>
          <w:szCs w:val="32"/>
          <w:lang w:val="en-US" w:eastAsia="zh-CN" w:bidi="ar-SA"/>
        </w:rPr>
        <w:t>0</w:t>
      </w:r>
      <w:r>
        <w:rPr>
          <w:rFonts w:hint="eastAsia" w:ascii="仿宋_GB2312" w:hAnsi="Times New Roman" w:eastAsia="仿宋_GB2312" w:cs="Times New Roman"/>
          <w:color w:val="auto"/>
          <w:kern w:val="2"/>
          <w:sz w:val="32"/>
          <w:szCs w:val="32"/>
          <w:lang w:val="en-US" w:eastAsia="zh-CN" w:bidi="ar-SA"/>
        </w:rPr>
        <w:t>%。指标分值</w:t>
      </w:r>
      <w:r>
        <w:rPr>
          <w:rFonts w:hint="default" w:ascii="仿宋_GB2312" w:hAnsi="Times New Roman" w:eastAsia="仿宋_GB2312" w:cs="Times New Roman"/>
          <w:color w:val="auto"/>
          <w:kern w:val="2"/>
          <w:sz w:val="32"/>
          <w:szCs w:val="32"/>
          <w:lang w:val="en-US" w:eastAsia="zh-CN" w:bidi="ar-SA"/>
        </w:rPr>
        <w:t>10.1</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10.1</w:t>
      </w:r>
      <w:r>
        <w:rPr>
          <w:rFonts w:hint="eastAsia" w:ascii="仿宋_GB2312" w:hAnsi="Times New Roman" w:eastAsia="仿宋_GB2312" w:cs="Times New Roman"/>
          <w:color w:val="auto"/>
          <w:kern w:val="2"/>
          <w:sz w:val="32"/>
          <w:szCs w:val="32"/>
          <w:lang w:val="en-US" w:eastAsia="zh-CN" w:bidi="ar-SA"/>
        </w:rPr>
        <w:t>分，得分率为100%。</w:t>
      </w:r>
    </w:p>
    <w:p>
      <w:pPr>
        <w:ind w:firstLine="643" w:firstLineChars="200"/>
        <w:jc w:val="lef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产出时效指标：</w:t>
      </w:r>
      <w:r>
        <w:rPr>
          <w:rFonts w:hint="eastAsia" w:ascii="仿宋_GB2312" w:hAnsi="Times New Roman" w:eastAsia="仿宋_GB2312" w:cs="Times New Roman"/>
          <w:color w:val="auto"/>
          <w:kern w:val="2"/>
          <w:sz w:val="32"/>
          <w:szCs w:val="32"/>
          <w:lang w:val="en-US" w:eastAsia="zh-CN" w:bidi="ar-SA"/>
        </w:rPr>
        <w:t>满足辖区居民司法诉求，实现法定时间结案，完成培训工作等。指标分值</w:t>
      </w:r>
      <w:r>
        <w:rPr>
          <w:rFonts w:hint="default" w:ascii="仿宋_GB2312" w:hAnsi="Times New Roman" w:eastAsia="仿宋_GB2312" w:cs="Times New Roman"/>
          <w:color w:val="auto"/>
          <w:kern w:val="2"/>
          <w:sz w:val="32"/>
          <w:szCs w:val="32"/>
          <w:lang w:val="en-US" w:eastAsia="zh-CN" w:bidi="ar-SA"/>
        </w:rPr>
        <w:t>9.7</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9.7</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产出成本指标：</w:t>
      </w: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年我院严格贯彻过紧日子方针，通过优化保障管理方式，培养节俭文化，在提高服务质量水平的同时，降低各项开支，成本有效控制在预算安排内，根据评分标准本项得满分。指标分值</w:t>
      </w:r>
      <w:r>
        <w:rPr>
          <w:rFonts w:hint="default" w:ascii="仿宋_GB2312" w:hAnsi="Times New Roman" w:eastAsia="仿宋_GB2312" w:cs="Times New Roman"/>
          <w:color w:val="auto"/>
          <w:kern w:val="2"/>
          <w:sz w:val="32"/>
          <w:szCs w:val="32"/>
          <w:lang w:val="en-US" w:eastAsia="zh-CN" w:bidi="ar-SA"/>
        </w:rPr>
        <w:t>2.35</w:t>
      </w:r>
      <w:r>
        <w:rPr>
          <w:rFonts w:hint="eastAsia" w:ascii="仿宋_GB2312" w:hAnsi="Times New Roman" w:eastAsia="仿宋_GB2312" w:cs="Times New Roman"/>
          <w:color w:val="auto"/>
          <w:kern w:val="2"/>
          <w:sz w:val="32"/>
          <w:szCs w:val="32"/>
          <w:lang w:val="en-US" w:eastAsia="zh-CN" w:bidi="ar-SA"/>
        </w:rPr>
        <w:t>分，自评得分2.</w:t>
      </w:r>
      <w:r>
        <w:rPr>
          <w:rFonts w:hint="default" w:ascii="仿宋_GB2312" w:hAnsi="Times New Roman" w:eastAsia="仿宋_GB2312" w:cs="Times New Roman"/>
          <w:color w:val="auto"/>
          <w:kern w:val="2"/>
          <w:sz w:val="32"/>
          <w:szCs w:val="32"/>
          <w:lang w:val="en-US" w:eastAsia="zh-CN" w:bidi="ar-SA"/>
        </w:rPr>
        <w:t>35</w:t>
      </w:r>
      <w:r>
        <w:rPr>
          <w:rFonts w:hint="eastAsia" w:ascii="仿宋_GB2312" w:hAnsi="Times New Roman" w:eastAsia="仿宋_GB2312" w:cs="Times New Roman"/>
          <w:color w:val="auto"/>
          <w:kern w:val="2"/>
          <w:sz w:val="32"/>
          <w:szCs w:val="32"/>
          <w:lang w:val="en-US" w:eastAsia="zh-CN" w:bidi="ar-SA"/>
        </w:rPr>
        <w:t>分，得分率100%。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（2）部门效果目标</w:t>
      </w:r>
    </w:p>
    <w:tbl>
      <w:tblPr>
        <w:tblStyle w:val="10"/>
        <w:tblW w:w="9014" w:type="dxa"/>
        <w:tblInd w:w="-289" w:type="dxa"/>
        <w:tblLayout w:type="fixed"/>
        <w:tblCellMar>
          <w:top w:w="0" w:type="dxa"/>
          <w:left w:w="108" w:type="dxa"/>
          <w:bottom w:w="0" w:type="dxa"/>
          <w:right w:w="108" w:type="dxa"/>
        </w:tblCellMar>
      </w:tblPr>
      <w:tblGrid>
        <w:gridCol w:w="2552"/>
        <w:gridCol w:w="1560"/>
        <w:gridCol w:w="1417"/>
        <w:gridCol w:w="1134"/>
        <w:gridCol w:w="1240"/>
        <w:gridCol w:w="1111"/>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权重</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111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eastAsia"/>
                <w:b w:val="0"/>
                <w:bCs w:val="0"/>
                <w:color w:val="auto"/>
                <w:sz w:val="18"/>
                <w:szCs w:val="18"/>
              </w:rPr>
              <w:t>经济效益指标</w:t>
            </w:r>
            <w:r>
              <w:rPr>
                <w:b w:val="0"/>
                <w:bCs w:val="0"/>
                <w:color w:val="auto"/>
                <w:sz w:val="18"/>
                <w:szCs w:val="18"/>
              </w:rPr>
              <w:t>-执行标的到位率</w:t>
            </w:r>
          </w:p>
        </w:tc>
        <w:tc>
          <w:tcPr>
            <w:tcW w:w="1560" w:type="dxa"/>
            <w:tcBorders>
              <w:top w:val="nil"/>
              <w:left w:val="nil"/>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eastAsia"/>
                <w:b w:val="0"/>
                <w:bCs w:val="0"/>
                <w:color w:val="auto"/>
                <w:sz w:val="18"/>
                <w:szCs w:val="18"/>
              </w:rPr>
              <w:t>≥</w:t>
            </w:r>
            <w:r>
              <w:rPr>
                <w:b w:val="0"/>
                <w:bCs w:val="0"/>
                <w:color w:val="auto"/>
                <w:sz w:val="18"/>
                <w:szCs w:val="18"/>
              </w:rPr>
              <w:t>27%</w:t>
            </w:r>
          </w:p>
        </w:tc>
        <w:tc>
          <w:tcPr>
            <w:tcW w:w="1417" w:type="dxa"/>
            <w:tcBorders>
              <w:top w:val="nil"/>
              <w:left w:val="nil"/>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default"/>
                <w:b w:val="0"/>
                <w:bCs w:val="0"/>
                <w:color w:val="auto"/>
                <w:sz w:val="18"/>
                <w:szCs w:val="18"/>
                <w:lang w:val="en-US"/>
              </w:rPr>
              <w:t>24.1</w:t>
            </w:r>
            <w:r>
              <w:rPr>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hint="default"/>
                <w:b w:val="0"/>
                <w:bCs w:val="0"/>
                <w:color w:val="auto"/>
                <w:sz w:val="18"/>
                <w:szCs w:val="18"/>
                <w:lang w:val="en-US"/>
              </w:rPr>
            </w:pPr>
            <w:r>
              <w:rPr>
                <w:rFonts w:hint="default"/>
                <w:b w:val="0"/>
                <w:bCs w:val="0"/>
                <w:color w:val="auto"/>
                <w:sz w:val="18"/>
                <w:szCs w:val="18"/>
                <w:lang w:val="en-US"/>
              </w:rPr>
              <w:t>2.45</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hint="default"/>
                <w:b w:val="0"/>
                <w:bCs w:val="0"/>
                <w:color w:val="auto"/>
                <w:sz w:val="18"/>
                <w:szCs w:val="18"/>
                <w:lang w:val="en-US"/>
              </w:rPr>
            </w:pPr>
            <w:r>
              <w:rPr>
                <w:rFonts w:hint="default"/>
                <w:b w:val="0"/>
                <w:bCs w:val="0"/>
                <w:color w:val="auto"/>
                <w:sz w:val="18"/>
                <w:szCs w:val="18"/>
                <w:lang w:val="en-US"/>
              </w:rPr>
              <w:t>2.19</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hint="default" w:ascii="等线" w:hAnsi="等线" w:eastAsia="等线" w:cs="宋体"/>
                <w:b w:val="0"/>
                <w:bCs w:val="0"/>
                <w:color w:val="auto"/>
                <w:kern w:val="0"/>
                <w:sz w:val="18"/>
                <w:szCs w:val="18"/>
                <w:lang w:val="en-US"/>
              </w:rPr>
              <w:t>89.39</w:t>
            </w:r>
            <w:r>
              <w:rPr>
                <w:rFonts w:ascii="等线" w:hAnsi="等线" w:eastAsia="等线" w:cs="宋体"/>
                <w:b w:val="0"/>
                <w:bCs w:val="0"/>
                <w:color w:val="auto"/>
                <w:kern w:val="0"/>
                <w:sz w:val="18"/>
                <w:szCs w:val="18"/>
              </w:rPr>
              <w:t>%</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eastAsia"/>
                <w:b w:val="0"/>
                <w:bCs w:val="0"/>
                <w:color w:val="auto"/>
                <w:sz w:val="18"/>
                <w:szCs w:val="18"/>
              </w:rPr>
              <w:t>社会效益指标</w:t>
            </w:r>
            <w:r>
              <w:rPr>
                <w:b w:val="0"/>
                <w:bCs w:val="0"/>
                <w:color w:val="auto"/>
                <w:sz w:val="18"/>
                <w:szCs w:val="18"/>
              </w:rPr>
              <w:t>1-一审简易程序适用率</w:t>
            </w:r>
          </w:p>
        </w:tc>
        <w:tc>
          <w:tcPr>
            <w:tcW w:w="1560" w:type="dxa"/>
            <w:tcBorders>
              <w:top w:val="nil"/>
              <w:left w:val="nil"/>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eastAsia"/>
                <w:b w:val="0"/>
                <w:bCs w:val="0"/>
                <w:color w:val="auto"/>
                <w:sz w:val="18"/>
                <w:szCs w:val="18"/>
              </w:rPr>
              <w:t>≥</w:t>
            </w:r>
            <w:r>
              <w:rPr>
                <w:b w:val="0"/>
                <w:bCs w:val="0"/>
                <w:color w:val="auto"/>
                <w:sz w:val="18"/>
                <w:szCs w:val="18"/>
              </w:rPr>
              <w:t>70%</w:t>
            </w:r>
          </w:p>
        </w:tc>
        <w:tc>
          <w:tcPr>
            <w:tcW w:w="1417" w:type="dxa"/>
            <w:tcBorders>
              <w:top w:val="nil"/>
              <w:left w:val="nil"/>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default"/>
                <w:b w:val="0"/>
                <w:bCs w:val="0"/>
                <w:color w:val="auto"/>
                <w:sz w:val="18"/>
                <w:szCs w:val="18"/>
                <w:lang w:val="en-US"/>
              </w:rPr>
              <w:t>84.54</w:t>
            </w:r>
            <w:r>
              <w:rPr>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HAnsi" w:hAnsiTheme="minorHAnsi" w:eastAsiaTheme="minorEastAsia" w:cstheme="minorBidi"/>
                <w:b w:val="0"/>
                <w:bCs w:val="0"/>
                <w:color w:val="auto"/>
                <w:kern w:val="2"/>
                <w:sz w:val="18"/>
                <w:szCs w:val="18"/>
                <w:lang w:val="en-US" w:eastAsia="zh-CN" w:bidi="ar-SA"/>
              </w:rPr>
            </w:pPr>
            <w:r>
              <w:rPr>
                <w:rFonts w:hint="default"/>
                <w:b w:val="0"/>
                <w:bCs w:val="0"/>
                <w:color w:val="auto"/>
                <w:sz w:val="18"/>
                <w:szCs w:val="18"/>
                <w:lang w:val="en-US"/>
              </w:rPr>
              <w:t>2.45</w:t>
            </w:r>
          </w:p>
        </w:tc>
        <w:tc>
          <w:tcPr>
            <w:tcW w:w="1240" w:type="dxa"/>
            <w:tcBorders>
              <w:top w:val="nil"/>
              <w:left w:val="nil"/>
              <w:bottom w:val="single" w:color="auto" w:sz="4" w:space="0"/>
              <w:right w:val="single" w:color="auto" w:sz="4" w:space="0"/>
            </w:tcBorders>
            <w:shd w:val="clear" w:color="auto" w:fill="auto"/>
            <w:noWrap/>
            <w:vAlign w:val="center"/>
          </w:tcPr>
          <w:p>
            <w:pPr>
              <w:jc w:val="center"/>
              <w:rPr>
                <w:rFonts w:asciiTheme="minorHAnsi" w:hAnsiTheme="minorHAnsi" w:eastAsiaTheme="minorEastAsia" w:cstheme="minorBidi"/>
                <w:b w:val="0"/>
                <w:bCs w:val="0"/>
                <w:color w:val="auto"/>
                <w:kern w:val="2"/>
                <w:sz w:val="18"/>
                <w:szCs w:val="18"/>
                <w:lang w:val="en-US" w:eastAsia="zh-CN" w:bidi="ar-SA"/>
              </w:rPr>
            </w:pPr>
            <w:r>
              <w:rPr>
                <w:rFonts w:hint="default"/>
                <w:b w:val="0"/>
                <w:bCs w:val="0"/>
                <w:color w:val="auto"/>
                <w:sz w:val="18"/>
                <w:szCs w:val="18"/>
                <w:lang w:val="en-US"/>
              </w:rPr>
              <w:t>2.45</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ascii="等线" w:hAnsi="等线" w:eastAsia="等线"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eastAsia"/>
                <w:b w:val="0"/>
                <w:bCs w:val="0"/>
                <w:color w:val="auto"/>
                <w:sz w:val="18"/>
                <w:szCs w:val="18"/>
              </w:rPr>
              <w:t>社会效益指标</w:t>
            </w:r>
            <w:r>
              <w:rPr>
                <w:b w:val="0"/>
                <w:bCs w:val="0"/>
                <w:color w:val="auto"/>
                <w:sz w:val="18"/>
                <w:szCs w:val="18"/>
              </w:rPr>
              <w:t>2-陪审率</w:t>
            </w:r>
          </w:p>
        </w:tc>
        <w:tc>
          <w:tcPr>
            <w:tcW w:w="1560" w:type="dxa"/>
            <w:tcBorders>
              <w:top w:val="nil"/>
              <w:left w:val="nil"/>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eastAsia"/>
                <w:b w:val="0"/>
                <w:bCs w:val="0"/>
                <w:color w:val="auto"/>
                <w:sz w:val="18"/>
                <w:szCs w:val="18"/>
              </w:rPr>
              <w:t>≥</w:t>
            </w:r>
            <w:r>
              <w:rPr>
                <w:b w:val="0"/>
                <w:bCs w:val="0"/>
                <w:color w:val="auto"/>
                <w:sz w:val="18"/>
                <w:szCs w:val="18"/>
              </w:rPr>
              <w:t>85%</w:t>
            </w:r>
          </w:p>
        </w:tc>
        <w:tc>
          <w:tcPr>
            <w:tcW w:w="1417" w:type="dxa"/>
            <w:tcBorders>
              <w:top w:val="nil"/>
              <w:left w:val="nil"/>
              <w:bottom w:val="single" w:color="auto" w:sz="4" w:space="0"/>
              <w:right w:val="single" w:color="auto" w:sz="4" w:space="0"/>
            </w:tcBorders>
            <w:shd w:val="clear" w:color="auto" w:fill="auto"/>
            <w:noWrap/>
            <w:vAlign w:val="center"/>
          </w:tcPr>
          <w:p>
            <w:pPr>
              <w:jc w:val="center"/>
              <w:rPr>
                <w:b w:val="0"/>
                <w:bCs w:val="0"/>
                <w:color w:val="auto"/>
                <w:sz w:val="18"/>
                <w:szCs w:val="18"/>
              </w:rPr>
            </w:pPr>
            <w:r>
              <w:rPr>
                <w:rFonts w:hint="default"/>
                <w:b w:val="0"/>
                <w:bCs w:val="0"/>
                <w:color w:val="auto"/>
                <w:sz w:val="18"/>
                <w:szCs w:val="18"/>
                <w:lang w:val="en-US"/>
              </w:rPr>
              <w:t>99.11</w:t>
            </w:r>
            <w:r>
              <w:rPr>
                <w:b w:val="0"/>
                <w:bCs w:val="0"/>
                <w:color w:val="auto"/>
                <w:sz w:val="18"/>
                <w:szCs w:val="18"/>
              </w:rPr>
              <w:t>%</w:t>
            </w:r>
          </w:p>
        </w:tc>
        <w:tc>
          <w:tcPr>
            <w:tcW w:w="1134" w:type="dxa"/>
            <w:tcBorders>
              <w:top w:val="nil"/>
              <w:left w:val="nil"/>
              <w:bottom w:val="single" w:color="auto" w:sz="4" w:space="0"/>
              <w:right w:val="single" w:color="auto" w:sz="4" w:space="0"/>
            </w:tcBorders>
            <w:shd w:val="clear" w:color="auto" w:fill="auto"/>
            <w:noWrap/>
            <w:vAlign w:val="top"/>
          </w:tcPr>
          <w:p>
            <w:pPr>
              <w:jc w:val="center"/>
              <w:rPr>
                <w:rFonts w:asciiTheme="minorHAnsi" w:hAnsiTheme="minorHAnsi" w:eastAsiaTheme="minorEastAsia" w:cstheme="minorBidi"/>
                <w:b w:val="0"/>
                <w:bCs w:val="0"/>
                <w:color w:val="auto"/>
                <w:kern w:val="2"/>
                <w:sz w:val="18"/>
                <w:szCs w:val="18"/>
                <w:lang w:val="en-US" w:eastAsia="zh-CN" w:bidi="ar-SA"/>
              </w:rPr>
            </w:pPr>
            <w:r>
              <w:rPr>
                <w:rFonts w:hint="default"/>
                <w:b w:val="0"/>
                <w:bCs w:val="0"/>
                <w:color w:val="auto"/>
                <w:sz w:val="18"/>
                <w:szCs w:val="18"/>
                <w:lang w:val="en-US"/>
              </w:rPr>
              <w:t>2.45</w:t>
            </w:r>
          </w:p>
        </w:tc>
        <w:tc>
          <w:tcPr>
            <w:tcW w:w="1240" w:type="dxa"/>
            <w:tcBorders>
              <w:top w:val="nil"/>
              <w:left w:val="nil"/>
              <w:bottom w:val="single" w:color="auto" w:sz="4" w:space="0"/>
              <w:right w:val="single" w:color="auto" w:sz="4" w:space="0"/>
            </w:tcBorders>
            <w:shd w:val="clear" w:color="auto" w:fill="auto"/>
            <w:noWrap/>
            <w:vAlign w:val="top"/>
          </w:tcPr>
          <w:p>
            <w:pPr>
              <w:jc w:val="center"/>
              <w:rPr>
                <w:rFonts w:asciiTheme="minorHAnsi" w:hAnsiTheme="minorHAnsi" w:eastAsiaTheme="minorEastAsia" w:cstheme="minorBidi"/>
                <w:b w:val="0"/>
                <w:bCs w:val="0"/>
                <w:color w:val="auto"/>
                <w:kern w:val="2"/>
                <w:sz w:val="18"/>
                <w:szCs w:val="18"/>
                <w:lang w:val="en-US" w:eastAsia="zh-CN" w:bidi="ar-SA"/>
              </w:rPr>
            </w:pPr>
            <w:r>
              <w:rPr>
                <w:rFonts w:hint="default"/>
                <w:b w:val="0"/>
                <w:bCs w:val="0"/>
                <w:color w:val="auto"/>
                <w:sz w:val="18"/>
                <w:szCs w:val="18"/>
                <w:lang w:val="en-US"/>
              </w:rPr>
              <w:t>2.45</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hint="eastAsia" w:ascii="等线" w:hAnsi="等线" w:eastAsia="等线"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hint="eastAsia" w:ascii="等线" w:hAnsi="等线" w:eastAsia="等线" w:cs="宋体"/>
                <w:b w:val="0"/>
                <w:bCs w:val="0"/>
                <w:color w:val="auto"/>
                <w:kern w:val="0"/>
                <w:sz w:val="18"/>
                <w:szCs w:val="1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val="0"/>
                <w:bCs w:val="0"/>
                <w:color w:val="auto"/>
                <w:kern w:val="0"/>
                <w:sz w:val="18"/>
                <w:szCs w:val="18"/>
                <w:lang w:val="en-US"/>
              </w:rPr>
            </w:pPr>
            <w:r>
              <w:rPr>
                <w:rFonts w:hint="default" w:ascii="等线" w:hAnsi="等线" w:eastAsia="等线" w:cs="宋体"/>
                <w:b w:val="0"/>
                <w:bCs w:val="0"/>
                <w:color w:val="auto"/>
                <w:kern w:val="0"/>
                <w:sz w:val="18"/>
                <w:szCs w:val="18"/>
                <w:lang w:val="en-US"/>
              </w:rPr>
              <w:t>7.35</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val="0"/>
                <w:bCs w:val="0"/>
                <w:color w:val="auto"/>
                <w:kern w:val="0"/>
                <w:sz w:val="18"/>
                <w:szCs w:val="18"/>
                <w:lang w:val="en-US"/>
              </w:rPr>
            </w:pPr>
            <w:r>
              <w:rPr>
                <w:rFonts w:hint="default" w:ascii="等线" w:hAnsi="等线" w:eastAsia="等线" w:cs="宋体"/>
                <w:b w:val="0"/>
                <w:bCs w:val="0"/>
                <w:color w:val="auto"/>
                <w:kern w:val="0"/>
                <w:sz w:val="18"/>
                <w:szCs w:val="18"/>
                <w:lang w:val="en-US"/>
              </w:rPr>
              <w:t>7.09</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hint="default" w:ascii="等线" w:hAnsi="等线" w:eastAsia="等线" w:cs="宋体"/>
                <w:b w:val="0"/>
                <w:bCs w:val="0"/>
                <w:color w:val="auto"/>
                <w:kern w:val="0"/>
                <w:sz w:val="18"/>
                <w:szCs w:val="18"/>
                <w:lang w:val="en-US"/>
              </w:rPr>
              <w:t>96.46</w:t>
            </w:r>
            <w:r>
              <w:rPr>
                <w:rFonts w:hint="eastAsia" w:ascii="等线" w:hAnsi="等线" w:eastAsia="等线" w:cs="宋体"/>
                <w:b w:val="0"/>
                <w:bCs w:val="0"/>
                <w:color w:val="auto"/>
                <w:kern w:val="0"/>
                <w:sz w:val="18"/>
                <w:szCs w:val="18"/>
              </w:rPr>
              <w:t xml:space="preserve"> %</w:t>
            </w:r>
          </w:p>
        </w:tc>
      </w:tr>
    </w:tbl>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效益指标主要考虑社会效益和经济效益两部分。总分值</w:t>
      </w:r>
      <w:r>
        <w:rPr>
          <w:rFonts w:hint="default" w:ascii="仿宋_GB2312" w:hAnsi="Times New Roman" w:eastAsia="仿宋_GB2312" w:cs="Times New Roman"/>
          <w:color w:val="auto"/>
          <w:kern w:val="2"/>
          <w:sz w:val="32"/>
          <w:szCs w:val="32"/>
          <w:lang w:val="en-US" w:eastAsia="zh-CN" w:bidi="ar-SA"/>
        </w:rPr>
        <w:t>7.35</w:t>
      </w:r>
      <w:r>
        <w:rPr>
          <w:rFonts w:hint="eastAsia" w:ascii="仿宋_GB2312" w:hAnsi="Times New Roman" w:eastAsia="仿宋_GB2312" w:cs="Times New Roman"/>
          <w:color w:val="auto"/>
          <w:kern w:val="2"/>
          <w:sz w:val="32"/>
          <w:szCs w:val="32"/>
          <w:lang w:val="en-US" w:eastAsia="zh-CN" w:bidi="ar-SA"/>
        </w:rPr>
        <w:t>分，得分</w:t>
      </w:r>
      <w:r>
        <w:rPr>
          <w:rFonts w:hint="default" w:ascii="仿宋_GB2312" w:hAnsi="Times New Roman" w:eastAsia="仿宋_GB2312" w:cs="Times New Roman"/>
          <w:color w:val="auto"/>
          <w:kern w:val="2"/>
          <w:sz w:val="32"/>
          <w:szCs w:val="32"/>
          <w:lang w:val="en-US" w:eastAsia="zh-CN" w:bidi="ar-SA"/>
        </w:rPr>
        <w:t>7.09</w:t>
      </w:r>
      <w:r>
        <w:rPr>
          <w:rFonts w:hint="eastAsia" w:ascii="仿宋_GB2312" w:hAnsi="Times New Roman" w:eastAsia="仿宋_GB2312" w:cs="Times New Roman"/>
          <w:color w:val="auto"/>
          <w:kern w:val="2"/>
          <w:sz w:val="32"/>
          <w:szCs w:val="32"/>
          <w:lang w:val="en-US" w:eastAsia="zh-CN" w:bidi="ar-SA"/>
        </w:rPr>
        <w:t>分，得分率</w:t>
      </w:r>
      <w:r>
        <w:rPr>
          <w:rFonts w:hint="default" w:ascii="仿宋_GB2312" w:hAnsi="Times New Roman" w:eastAsia="仿宋_GB2312" w:cs="Times New Roman"/>
          <w:color w:val="auto"/>
          <w:kern w:val="2"/>
          <w:sz w:val="32"/>
          <w:szCs w:val="32"/>
          <w:lang w:val="en-US" w:eastAsia="zh-CN" w:bidi="ar-SA"/>
        </w:rPr>
        <w:t>96.46</w:t>
      </w:r>
      <w:r>
        <w:rPr>
          <w:rFonts w:hint="eastAsia" w:ascii="仿宋_GB2312" w:hAnsi="Times New Roman" w:eastAsia="仿宋_GB2312" w:cs="Times New Roman"/>
          <w:color w:val="auto"/>
          <w:kern w:val="2"/>
          <w:sz w:val="32"/>
          <w:szCs w:val="32"/>
          <w:lang w:val="en-US" w:eastAsia="zh-CN" w:bidi="ar-SA"/>
        </w:rPr>
        <w:t>%。</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经济效益主要为执行标的到位率指标，我院202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年执行标的到位率</w:t>
      </w:r>
      <w:r>
        <w:rPr>
          <w:rFonts w:hint="default" w:ascii="仿宋_GB2312" w:hAnsi="Times New Roman" w:eastAsia="仿宋_GB2312" w:cs="Times New Roman"/>
          <w:color w:val="auto"/>
          <w:kern w:val="2"/>
          <w:sz w:val="32"/>
          <w:szCs w:val="32"/>
          <w:lang w:val="en-US" w:eastAsia="zh-CN" w:bidi="ar-SA"/>
        </w:rPr>
        <w:t>24.1</w:t>
      </w:r>
      <w:r>
        <w:rPr>
          <w:rFonts w:hint="eastAsia" w:ascii="仿宋_GB2312" w:hAnsi="Times New Roman" w:eastAsia="仿宋_GB2312" w:cs="Times New Roman"/>
          <w:color w:val="auto"/>
          <w:kern w:val="2"/>
          <w:sz w:val="32"/>
          <w:szCs w:val="32"/>
          <w:lang w:val="en-US" w:eastAsia="zh-CN" w:bidi="ar-SA"/>
        </w:rPr>
        <w:t>%。指标分值</w:t>
      </w:r>
      <w:r>
        <w:rPr>
          <w:rFonts w:hint="default" w:ascii="仿宋_GB2312" w:hAnsi="Times New Roman" w:eastAsia="仿宋_GB2312" w:cs="Times New Roman"/>
          <w:color w:val="auto"/>
          <w:kern w:val="2"/>
          <w:sz w:val="32"/>
          <w:szCs w:val="32"/>
          <w:lang w:val="en-US" w:eastAsia="zh-CN" w:bidi="ar-SA"/>
        </w:rPr>
        <w:t>2.45</w:t>
      </w:r>
      <w:r>
        <w:rPr>
          <w:rFonts w:hint="eastAsia" w:ascii="仿宋_GB2312" w:hAnsi="Times New Roman" w:eastAsia="仿宋_GB2312" w:cs="Times New Roman"/>
          <w:color w:val="auto"/>
          <w:kern w:val="2"/>
          <w:sz w:val="32"/>
          <w:szCs w:val="32"/>
          <w:lang w:val="en-US" w:eastAsia="zh-CN" w:bidi="ar-SA"/>
        </w:rPr>
        <w:t>分，自评得分2</w:t>
      </w:r>
      <w:r>
        <w:rPr>
          <w:rFonts w:hint="default" w:ascii="仿宋_GB2312" w:hAnsi="Times New Roman" w:eastAsia="仿宋_GB2312" w:cs="Times New Roman"/>
          <w:color w:val="auto"/>
          <w:kern w:val="2"/>
          <w:sz w:val="32"/>
          <w:szCs w:val="32"/>
          <w:lang w:val="en-US" w:eastAsia="zh-CN" w:bidi="ar-SA"/>
        </w:rPr>
        <w:t>.19</w:t>
      </w:r>
      <w:r>
        <w:rPr>
          <w:rFonts w:hint="eastAsia" w:ascii="仿宋_GB2312" w:hAnsi="Times New Roman" w:eastAsia="仿宋_GB2312" w:cs="Times New Roman"/>
          <w:color w:val="auto"/>
          <w:kern w:val="2"/>
          <w:sz w:val="32"/>
          <w:szCs w:val="32"/>
          <w:lang w:val="en-US" w:eastAsia="zh-CN" w:bidi="ar-SA"/>
        </w:rPr>
        <w:t>分，得分率</w:t>
      </w:r>
      <w:r>
        <w:rPr>
          <w:rFonts w:hint="default" w:ascii="仿宋_GB2312" w:hAnsi="Times New Roman" w:eastAsia="仿宋_GB2312" w:cs="Times New Roman"/>
          <w:color w:val="auto"/>
          <w:kern w:val="2"/>
          <w:sz w:val="32"/>
          <w:szCs w:val="32"/>
          <w:lang w:val="en-US" w:eastAsia="zh-CN" w:bidi="ar-SA"/>
        </w:rPr>
        <w:t>89.39</w:t>
      </w:r>
      <w:r>
        <w:rPr>
          <w:rFonts w:hint="eastAsia" w:ascii="仿宋_GB2312" w:hAnsi="Times New Roman" w:eastAsia="仿宋_GB2312" w:cs="Times New Roman"/>
          <w:color w:val="auto"/>
          <w:kern w:val="2"/>
          <w:sz w:val="32"/>
          <w:szCs w:val="32"/>
          <w:lang w:val="en-US" w:eastAsia="zh-CN" w:bidi="ar-SA"/>
        </w:rPr>
        <w:t xml:space="preserve">%。 </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社会效益主要为一审简易程序适用率和陪审率2个指标。指标分值4</w:t>
      </w:r>
      <w:r>
        <w:rPr>
          <w:rFonts w:hint="default" w:ascii="仿宋_GB2312" w:hAnsi="Times New Roman" w:eastAsia="仿宋_GB2312" w:cs="Times New Roman"/>
          <w:color w:val="auto"/>
          <w:kern w:val="2"/>
          <w:sz w:val="32"/>
          <w:szCs w:val="32"/>
          <w:lang w:val="en-US" w:eastAsia="zh-CN" w:bidi="ar-SA"/>
        </w:rPr>
        <w:t>.9</w:t>
      </w:r>
      <w:r>
        <w:rPr>
          <w:rFonts w:hint="eastAsia" w:ascii="仿宋_GB2312" w:hAnsi="Times New Roman" w:eastAsia="仿宋_GB2312" w:cs="Times New Roman"/>
          <w:color w:val="auto"/>
          <w:kern w:val="2"/>
          <w:sz w:val="32"/>
          <w:szCs w:val="32"/>
          <w:lang w:val="en-US" w:eastAsia="zh-CN" w:bidi="ar-SA"/>
        </w:rPr>
        <w:t xml:space="preserve">分，自评得分4 </w:t>
      </w:r>
      <w:r>
        <w:rPr>
          <w:rFonts w:hint="default" w:ascii="仿宋_GB2312" w:hAnsi="Times New Roman" w:eastAsia="仿宋_GB2312" w:cs="Times New Roman"/>
          <w:color w:val="auto"/>
          <w:kern w:val="2"/>
          <w:sz w:val="32"/>
          <w:szCs w:val="32"/>
          <w:lang w:val="en-US" w:eastAsia="zh-CN" w:bidi="ar-SA"/>
        </w:rPr>
        <w:t>.9</w:t>
      </w:r>
      <w:r>
        <w:rPr>
          <w:rFonts w:hint="eastAsia" w:ascii="仿宋_GB2312" w:hAnsi="Times New Roman" w:eastAsia="仿宋_GB2312" w:cs="Times New Roman"/>
          <w:color w:val="auto"/>
          <w:kern w:val="2"/>
          <w:sz w:val="32"/>
          <w:szCs w:val="32"/>
          <w:lang w:val="en-US" w:eastAsia="zh-CN" w:bidi="ar-SA"/>
        </w:rPr>
        <w:t xml:space="preserve">分，得分率100%。 </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（3）社会影响</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社会影响指标包括单位获奖情况和违法违纪情况两个指标。本项指标分值合计4</w:t>
      </w:r>
      <w:r>
        <w:rPr>
          <w:rFonts w:hint="default" w:ascii="仿宋_GB2312" w:hAnsi="Times New Roman" w:eastAsia="仿宋_GB2312" w:cs="Times New Roman"/>
          <w:color w:val="auto"/>
          <w:kern w:val="2"/>
          <w:sz w:val="32"/>
          <w:szCs w:val="32"/>
          <w:lang w:val="en-US" w:eastAsia="zh-CN" w:bidi="ar-SA"/>
        </w:rPr>
        <w:t>.9</w:t>
      </w:r>
      <w:r>
        <w:rPr>
          <w:rFonts w:hint="eastAsia" w:ascii="仿宋_GB2312" w:hAnsi="Times New Roman" w:eastAsia="仿宋_GB2312" w:cs="Times New Roman"/>
          <w:color w:val="auto"/>
          <w:kern w:val="2"/>
          <w:sz w:val="32"/>
          <w:szCs w:val="32"/>
          <w:lang w:val="en-US" w:eastAsia="zh-CN" w:bidi="ar-SA"/>
        </w:rPr>
        <w:t>分，自评得分4</w:t>
      </w:r>
      <w:r>
        <w:rPr>
          <w:rFonts w:hint="default" w:ascii="仿宋_GB2312" w:hAnsi="Times New Roman" w:eastAsia="仿宋_GB2312" w:cs="Times New Roman"/>
          <w:color w:val="auto"/>
          <w:kern w:val="2"/>
          <w:sz w:val="32"/>
          <w:szCs w:val="32"/>
          <w:lang w:val="en-US" w:eastAsia="zh-CN" w:bidi="ar-SA"/>
        </w:rPr>
        <w:t>.9</w:t>
      </w:r>
      <w:r>
        <w:rPr>
          <w:rFonts w:hint="eastAsia" w:ascii="仿宋_GB2312" w:hAnsi="Times New Roman" w:eastAsia="仿宋_GB2312" w:cs="Times New Roman"/>
          <w:color w:val="auto"/>
          <w:kern w:val="2"/>
          <w:sz w:val="32"/>
          <w:szCs w:val="32"/>
          <w:lang w:val="en-US" w:eastAsia="zh-CN" w:bidi="ar-SA"/>
        </w:rPr>
        <w:t>分，得分率100%。</w:t>
      </w:r>
    </w:p>
    <w:tbl>
      <w:tblPr>
        <w:tblStyle w:val="10"/>
        <w:tblW w:w="8647" w:type="dxa"/>
        <w:tblInd w:w="-147" w:type="dxa"/>
        <w:tblLayout w:type="fixed"/>
        <w:tblCellMar>
          <w:top w:w="0" w:type="dxa"/>
          <w:left w:w="108" w:type="dxa"/>
          <w:bottom w:w="0" w:type="dxa"/>
          <w:right w:w="108" w:type="dxa"/>
        </w:tblCellMar>
      </w:tblPr>
      <w:tblGrid>
        <w:gridCol w:w="2410"/>
        <w:gridCol w:w="1781"/>
        <w:gridCol w:w="1338"/>
        <w:gridCol w:w="992"/>
        <w:gridCol w:w="992"/>
        <w:gridCol w:w="1134"/>
      </w:tblGrid>
      <w:tr>
        <w:tblPrEx>
          <w:tblCellMar>
            <w:top w:w="0" w:type="dxa"/>
            <w:left w:w="108" w:type="dxa"/>
            <w:bottom w:w="0" w:type="dxa"/>
            <w:right w:w="108" w:type="dxa"/>
          </w:tblCellMar>
        </w:tblPrEx>
        <w:trPr>
          <w:trHeight w:val="450" w:hRule="atLeast"/>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7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年度目标值</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权重</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108" w:type="dxa"/>
            <w:bottom w:w="0" w:type="dxa"/>
            <w:right w:w="108" w:type="dxa"/>
          </w:tblCellMar>
        </w:tblPrEx>
        <w:trPr>
          <w:trHeight w:val="431"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单位获奖情况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有</w:t>
            </w:r>
          </w:p>
        </w:tc>
        <w:tc>
          <w:tcPr>
            <w:tcW w:w="133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有</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宋体"/>
                <w:color w:val="auto"/>
                <w:kern w:val="0"/>
                <w:sz w:val="18"/>
                <w:szCs w:val="18"/>
                <w:lang w:val="en-US"/>
              </w:rPr>
            </w:pPr>
            <w:r>
              <w:rPr>
                <w:rFonts w:hint="default" w:ascii="宋体" w:hAnsi="宋体" w:eastAsia="宋体" w:cs="宋体"/>
                <w:color w:val="auto"/>
                <w:kern w:val="0"/>
                <w:sz w:val="18"/>
                <w:szCs w:val="18"/>
                <w:lang w:val="en-US"/>
              </w:rPr>
              <w:t>2.45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asciiTheme="minorHAnsi" w:hAnsiTheme="minorHAnsi" w:eastAsiaTheme="minorEastAsia" w:cstheme="minorBidi"/>
                <w:color w:val="auto"/>
                <w:kern w:val="2"/>
                <w:sz w:val="18"/>
                <w:szCs w:val="18"/>
                <w:lang w:val="en-US" w:eastAsia="zh-CN" w:bidi="ar-SA"/>
              </w:rPr>
            </w:pPr>
            <w:r>
              <w:rPr>
                <w:rFonts w:hint="default" w:ascii="宋体" w:hAnsi="宋体" w:eastAsia="宋体" w:cs="宋体"/>
                <w:color w:val="auto"/>
                <w:kern w:val="0"/>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18"/>
                <w:szCs w:val="18"/>
              </w:rPr>
            </w:pPr>
            <w:r>
              <w:rPr>
                <w:rFonts w:ascii="等线" w:hAnsi="等线" w:eastAsia="等线" w:cs="宋体"/>
                <w:color w:val="auto"/>
                <w:kern w:val="0"/>
                <w:sz w:val="18"/>
                <w:szCs w:val="18"/>
              </w:rPr>
              <w:t>10</w:t>
            </w:r>
            <w:r>
              <w:rPr>
                <w:rFonts w:hint="eastAsia" w:ascii="等线" w:hAnsi="等线" w:eastAsia="等线" w:cs="宋体"/>
                <w:color w:val="auto"/>
                <w:kern w:val="0"/>
                <w:sz w:val="18"/>
                <w:szCs w:val="18"/>
              </w:rPr>
              <w:t>0 %</w:t>
            </w:r>
          </w:p>
        </w:tc>
      </w:tr>
      <w:tr>
        <w:tblPrEx>
          <w:tblCellMar>
            <w:top w:w="0" w:type="dxa"/>
            <w:left w:w="108" w:type="dxa"/>
            <w:bottom w:w="0" w:type="dxa"/>
            <w:right w:w="108" w:type="dxa"/>
          </w:tblCellMar>
        </w:tblPrEx>
        <w:trPr>
          <w:trHeight w:val="397" w:hRule="atLeast"/>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auto"/>
                <w:kern w:val="0"/>
                <w:sz w:val="18"/>
                <w:szCs w:val="18"/>
                <w:highlight w:val="red"/>
              </w:rPr>
            </w:pPr>
            <w:r>
              <w:rPr>
                <w:rFonts w:hint="eastAsia" w:ascii="宋体" w:hAnsi="宋体" w:eastAsia="宋体" w:cs="宋体"/>
                <w:color w:val="auto"/>
                <w:kern w:val="0"/>
                <w:sz w:val="18"/>
                <w:szCs w:val="18"/>
              </w:rPr>
              <w:t>违法违纪情况</w:t>
            </w:r>
          </w:p>
        </w:tc>
        <w:tc>
          <w:tcPr>
            <w:tcW w:w="178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highlight w:val="red"/>
              </w:rPr>
            </w:pPr>
            <w:r>
              <w:rPr>
                <w:rFonts w:hint="eastAsia" w:ascii="宋体" w:hAnsi="宋体" w:eastAsia="宋体" w:cs="宋体"/>
                <w:color w:val="auto"/>
                <w:kern w:val="0"/>
                <w:sz w:val="18"/>
                <w:szCs w:val="18"/>
              </w:rPr>
              <w:t>无</w:t>
            </w:r>
          </w:p>
        </w:tc>
        <w:tc>
          <w:tcPr>
            <w:tcW w:w="1338"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auto"/>
                <w:kern w:val="0"/>
                <w:sz w:val="18"/>
                <w:szCs w:val="18"/>
              </w:rPr>
            </w:pPr>
            <w:r>
              <w:rPr>
                <w:rFonts w:hint="eastAsia" w:ascii="等线" w:hAnsi="等线" w:eastAsia="等线" w:cs="宋体"/>
                <w:color w:val="auto"/>
                <w:kern w:val="0"/>
                <w:sz w:val="18"/>
                <w:szCs w:val="18"/>
              </w:rPr>
              <w:t>无</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宋体"/>
                <w:color w:val="auto"/>
                <w:kern w:val="0"/>
                <w:sz w:val="18"/>
                <w:szCs w:val="18"/>
                <w:lang w:val="en-US"/>
              </w:rPr>
            </w:pPr>
            <w:r>
              <w:rPr>
                <w:rFonts w:hint="default" w:ascii="宋体" w:hAnsi="宋体" w:eastAsia="宋体" w:cs="宋体"/>
                <w:color w:val="auto"/>
                <w:kern w:val="0"/>
                <w:sz w:val="18"/>
                <w:szCs w:val="18"/>
                <w:lang w:val="en-US"/>
              </w:rPr>
              <w:t>2.45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宋体"/>
                <w:color w:val="auto"/>
                <w:kern w:val="0"/>
                <w:sz w:val="18"/>
                <w:szCs w:val="18"/>
                <w:lang w:val="en-US"/>
              </w:rPr>
            </w:pPr>
            <w:r>
              <w:rPr>
                <w:rFonts w:hint="default" w:ascii="宋体" w:hAnsi="宋体" w:eastAsia="宋体" w:cs="宋体"/>
                <w:color w:val="auto"/>
                <w:kern w:val="0"/>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18"/>
                <w:szCs w:val="18"/>
              </w:rPr>
            </w:pPr>
            <w:r>
              <w:rPr>
                <w:rFonts w:hint="eastAsia" w:ascii="等线" w:hAnsi="等线" w:eastAsia="等线" w:cs="宋体"/>
                <w:color w:val="auto"/>
                <w:kern w:val="0"/>
                <w:sz w:val="18"/>
                <w:szCs w:val="18"/>
              </w:rPr>
              <w:t>100 %</w:t>
            </w:r>
          </w:p>
        </w:tc>
      </w:tr>
      <w:tr>
        <w:tblPrEx>
          <w:tblCellMar>
            <w:top w:w="0" w:type="dxa"/>
            <w:left w:w="108" w:type="dxa"/>
            <w:bottom w:w="0" w:type="dxa"/>
            <w:right w:w="108" w:type="dxa"/>
          </w:tblCellMar>
        </w:tblPrEx>
        <w:trPr>
          <w:trHeight w:val="360"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auto"/>
                <w:kern w:val="0"/>
                <w:sz w:val="18"/>
                <w:szCs w:val="18"/>
                <w:lang w:val="en-US"/>
              </w:rPr>
            </w:pPr>
            <w:r>
              <w:rPr>
                <w:rFonts w:ascii="等线" w:hAnsi="等线" w:eastAsia="等线" w:cs="宋体"/>
                <w:color w:val="auto"/>
                <w:kern w:val="0"/>
                <w:sz w:val="18"/>
                <w:szCs w:val="18"/>
              </w:rPr>
              <w:t>4</w:t>
            </w:r>
            <w:r>
              <w:rPr>
                <w:rFonts w:hint="default" w:ascii="等线" w:hAnsi="等线" w:eastAsia="等线" w:cs="宋体"/>
                <w:color w:val="auto"/>
                <w:kern w:val="0"/>
                <w:sz w:val="18"/>
                <w:szCs w:val="18"/>
                <w:lang w:val="en-US"/>
              </w:rPr>
              <w:t>.9</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color w:val="auto"/>
                <w:kern w:val="0"/>
                <w:sz w:val="18"/>
                <w:szCs w:val="18"/>
                <w:lang w:val="en-US"/>
              </w:rPr>
            </w:pPr>
            <w:r>
              <w:rPr>
                <w:rFonts w:ascii="等线" w:hAnsi="等线" w:eastAsia="等线" w:cs="宋体"/>
                <w:color w:val="auto"/>
                <w:kern w:val="0"/>
                <w:sz w:val="18"/>
                <w:szCs w:val="18"/>
              </w:rPr>
              <w:t>4</w:t>
            </w:r>
            <w:r>
              <w:rPr>
                <w:rFonts w:hint="default" w:ascii="等线" w:hAnsi="等线" w:eastAsia="等线" w:cs="宋体"/>
                <w:color w:val="auto"/>
                <w:kern w:val="0"/>
                <w:sz w:val="18"/>
                <w:szCs w:val="18"/>
                <w:lang w:val="en-US"/>
              </w:rPr>
              <w:t>.9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18"/>
                <w:szCs w:val="18"/>
              </w:rPr>
            </w:pPr>
            <w:r>
              <w:rPr>
                <w:rFonts w:ascii="等线" w:hAnsi="等线" w:eastAsia="等线" w:cs="宋体"/>
                <w:color w:val="auto"/>
                <w:kern w:val="0"/>
                <w:sz w:val="18"/>
                <w:szCs w:val="18"/>
              </w:rPr>
              <w:t>10</w:t>
            </w:r>
            <w:r>
              <w:rPr>
                <w:rFonts w:hint="eastAsia" w:ascii="等线" w:hAnsi="等线" w:eastAsia="等线" w:cs="宋体"/>
                <w:color w:val="auto"/>
                <w:kern w:val="0"/>
                <w:sz w:val="18"/>
                <w:szCs w:val="18"/>
              </w:rPr>
              <w:t>0 %</w:t>
            </w:r>
          </w:p>
        </w:tc>
      </w:tr>
    </w:tbl>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单位获奖情况：</w:t>
      </w: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年度，单位获奖3个，个人获奖</w:t>
      </w:r>
      <w:r>
        <w:rPr>
          <w:rFonts w:hint="default" w:ascii="仿宋_GB2312" w:hAnsi="Times New Roman" w:eastAsia="仿宋_GB2312" w:cs="Times New Roman"/>
          <w:color w:val="auto"/>
          <w:kern w:val="2"/>
          <w:sz w:val="32"/>
          <w:szCs w:val="32"/>
          <w:lang w:val="en-US" w:eastAsia="zh-CN" w:bidi="ar-SA"/>
        </w:rPr>
        <w:t>7</w:t>
      </w:r>
      <w:r>
        <w:rPr>
          <w:rFonts w:hint="eastAsia" w:ascii="仿宋_GB2312" w:hAnsi="Times New Roman" w:eastAsia="仿宋_GB2312" w:cs="Times New Roman"/>
          <w:color w:val="auto"/>
          <w:kern w:val="2"/>
          <w:sz w:val="32"/>
          <w:szCs w:val="32"/>
          <w:lang w:val="en-US" w:eastAsia="zh-CN" w:bidi="ar-SA"/>
        </w:rPr>
        <w:t>项。该指标分值</w:t>
      </w:r>
      <w:r>
        <w:rPr>
          <w:rFonts w:hint="default" w:ascii="仿宋_GB2312" w:hAnsi="Times New Roman" w:eastAsia="仿宋_GB2312" w:cs="Times New Roman"/>
          <w:color w:val="auto"/>
          <w:kern w:val="2"/>
          <w:sz w:val="32"/>
          <w:szCs w:val="32"/>
          <w:lang w:val="en-US" w:eastAsia="zh-CN" w:bidi="ar-SA"/>
        </w:rPr>
        <w:t>2.45</w:t>
      </w:r>
      <w:r>
        <w:rPr>
          <w:rFonts w:hint="eastAsia" w:ascii="仿宋_GB2312" w:hAnsi="Times New Roman" w:eastAsia="仿宋_GB2312" w:cs="Times New Roman"/>
          <w:color w:val="auto"/>
          <w:kern w:val="2"/>
          <w:sz w:val="32"/>
          <w:szCs w:val="32"/>
          <w:lang w:val="en-US" w:eastAsia="zh-CN" w:bidi="ar-SA"/>
        </w:rPr>
        <w:t>分，根据评价标准自评得分</w:t>
      </w:r>
      <w:r>
        <w:rPr>
          <w:rFonts w:hint="default" w:ascii="仿宋_GB2312" w:hAnsi="Times New Roman" w:eastAsia="仿宋_GB2312" w:cs="Times New Roman"/>
          <w:color w:val="auto"/>
          <w:kern w:val="2"/>
          <w:sz w:val="32"/>
          <w:szCs w:val="32"/>
          <w:lang w:val="en-US" w:eastAsia="zh-CN" w:bidi="ar-SA"/>
        </w:rPr>
        <w:t>2.45</w:t>
      </w:r>
      <w:r>
        <w:rPr>
          <w:rFonts w:hint="eastAsia" w:ascii="仿宋_GB2312" w:hAnsi="Times New Roman" w:eastAsia="仿宋_GB2312" w:cs="Times New Roman"/>
          <w:color w:val="auto"/>
          <w:kern w:val="2"/>
          <w:sz w:val="32"/>
          <w:szCs w:val="32"/>
          <w:lang w:val="en-US" w:eastAsia="zh-CN" w:bidi="ar-SA"/>
        </w:rPr>
        <w:t>分，得分率100%。</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违法违纪情况：</w:t>
      </w: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年未出现在国家层面督查或</w:t>
      </w:r>
      <w:bookmarkStart w:id="0" w:name="_GoBack"/>
      <w:bookmarkEnd w:id="0"/>
      <w:r>
        <w:rPr>
          <w:rFonts w:hint="eastAsia" w:ascii="仿宋_GB2312" w:hAnsi="Times New Roman" w:eastAsia="仿宋_GB2312" w:cs="Times New Roman"/>
          <w:color w:val="auto"/>
          <w:kern w:val="2"/>
          <w:sz w:val="32"/>
          <w:szCs w:val="32"/>
          <w:lang w:val="en-US" w:eastAsia="zh-CN" w:bidi="ar-SA"/>
        </w:rPr>
        <w:t>人大审计、监察等监督监察时发现问题被问责的情况，该指标权重2</w:t>
      </w:r>
      <w:r>
        <w:rPr>
          <w:rFonts w:hint="default" w:ascii="仿宋_GB2312" w:hAnsi="Times New Roman" w:eastAsia="仿宋_GB2312" w:cs="Times New Roman"/>
          <w:color w:val="auto"/>
          <w:kern w:val="2"/>
          <w:sz w:val="32"/>
          <w:szCs w:val="32"/>
          <w:lang w:val="en-US" w:eastAsia="zh-CN" w:bidi="ar-SA"/>
        </w:rPr>
        <w:t>.45</w:t>
      </w:r>
      <w:r>
        <w:rPr>
          <w:rFonts w:hint="eastAsia" w:ascii="仿宋_GB2312" w:hAnsi="Times New Roman" w:eastAsia="仿宋_GB2312" w:cs="Times New Roman"/>
          <w:color w:val="auto"/>
          <w:kern w:val="2"/>
          <w:sz w:val="32"/>
          <w:szCs w:val="32"/>
          <w:lang w:val="en-US" w:eastAsia="zh-CN" w:bidi="ar-SA"/>
        </w:rPr>
        <w:t>分，自评得分2</w:t>
      </w:r>
      <w:r>
        <w:rPr>
          <w:rFonts w:hint="default" w:ascii="仿宋_GB2312" w:hAnsi="Times New Roman" w:eastAsia="仿宋_GB2312" w:cs="Times New Roman"/>
          <w:color w:val="auto"/>
          <w:kern w:val="2"/>
          <w:sz w:val="32"/>
          <w:szCs w:val="32"/>
          <w:lang w:val="en-US" w:eastAsia="zh-CN" w:bidi="ar-SA"/>
        </w:rPr>
        <w:t>.45</w:t>
      </w:r>
      <w:r>
        <w:rPr>
          <w:rFonts w:hint="eastAsia" w:ascii="仿宋_GB2312" w:hAnsi="Times New Roman" w:eastAsia="仿宋_GB2312" w:cs="Times New Roman"/>
          <w:color w:val="auto"/>
          <w:kern w:val="2"/>
          <w:sz w:val="32"/>
          <w:szCs w:val="32"/>
          <w:lang w:val="en-US" w:eastAsia="zh-CN" w:bidi="ar-SA"/>
        </w:rPr>
        <w:t>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3、能力建设</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年度高台县人民法院省级预算执行情况绩效自评报表》，一级指标能力建设下设3个二级指标,3个三级指标，指标权重合计</w:t>
      </w:r>
      <w:r>
        <w:rPr>
          <w:rFonts w:hint="default" w:ascii="仿宋_GB2312" w:hAnsi="Times New Roman" w:eastAsia="仿宋_GB2312" w:cs="Times New Roman"/>
          <w:color w:val="auto"/>
          <w:kern w:val="2"/>
          <w:sz w:val="32"/>
          <w:szCs w:val="32"/>
          <w:lang w:val="en-US" w:eastAsia="zh-CN" w:bidi="ar-SA"/>
        </w:rPr>
        <w:t>9</w:t>
      </w:r>
      <w:r>
        <w:rPr>
          <w:rFonts w:hint="eastAsia" w:ascii="仿宋_GB2312" w:hAnsi="Times New Roman" w:eastAsia="仿宋_GB2312" w:cs="Times New Roman"/>
          <w:color w:val="auto"/>
          <w:kern w:val="2"/>
          <w:sz w:val="32"/>
          <w:szCs w:val="32"/>
          <w:lang w:val="en-US" w:eastAsia="zh-CN" w:bidi="ar-SA"/>
        </w:rPr>
        <w:t>分，自评得分 9分，得分率为90%。</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中期规划建设完备程度</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完备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完备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default" w:ascii="等线" w:hAnsi="等线" w:eastAsia="等线" w:cs="宋体"/>
                <w:color w:val="auto"/>
                <w:kern w:val="0"/>
                <w:sz w:val="18"/>
                <w:szCs w:val="18"/>
                <w:lang w:val="en-US"/>
              </w:rPr>
            </w:pPr>
            <w:r>
              <w:rPr>
                <w:rFonts w:hint="default" w:ascii="等线" w:hAnsi="等线" w:eastAsia="等线" w:cs="宋体"/>
                <w:color w:val="auto"/>
                <w:kern w:val="0"/>
                <w:sz w:val="18"/>
                <w:szCs w:val="18"/>
                <w:lang w:val="en-US"/>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hint="default" w:ascii="宋体" w:hAnsi="宋体" w:eastAsia="宋体" w:cs="宋体"/>
                <w:color w:val="auto"/>
                <w:kern w:val="0"/>
                <w:sz w:val="18"/>
                <w:szCs w:val="18"/>
                <w:lang w:val="en-US"/>
              </w:rPr>
              <w:t>4</w:t>
            </w:r>
          </w:p>
        </w:tc>
        <w:tc>
          <w:tcPr>
            <w:tcW w:w="1134" w:type="dxa"/>
            <w:tcBorders>
              <w:top w:val="nil"/>
              <w:left w:val="nil"/>
              <w:bottom w:val="single" w:color="auto" w:sz="4" w:space="0"/>
              <w:right w:val="single" w:color="auto" w:sz="4" w:space="0"/>
            </w:tcBorders>
            <w:shd w:val="clear" w:color="auto" w:fill="auto"/>
            <w:noWrap/>
          </w:tcPr>
          <w:p>
            <w:pPr>
              <w:widowControl/>
              <w:jc w:val="center"/>
              <w:rPr>
                <w:rFonts w:ascii="等线" w:hAnsi="等线" w:eastAsia="等线" w:cs="宋体"/>
                <w:color w:val="auto"/>
                <w:kern w:val="0"/>
                <w:sz w:val="18"/>
                <w:szCs w:val="18"/>
              </w:rPr>
            </w:pPr>
            <w:r>
              <w:rPr>
                <w:rFonts w:hint="default" w:ascii="等线" w:hAnsi="等线" w:eastAsia="等线" w:cs="宋体"/>
                <w:color w:val="auto"/>
                <w:kern w:val="0"/>
                <w:sz w:val="18"/>
                <w:szCs w:val="18"/>
                <w:lang w:val="en-US"/>
              </w:rPr>
              <w:t>100</w:t>
            </w:r>
            <w:r>
              <w:rPr>
                <w:rFonts w:hint="eastAsia" w:ascii="等线" w:hAnsi="等线" w:eastAsia="等线" w:cs="宋体"/>
                <w:color w:val="auto"/>
                <w:kern w:val="0"/>
                <w:sz w:val="18"/>
                <w:szCs w:val="18"/>
              </w:rPr>
              <w:t>%</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人员培训机制完备性</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完备</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完备</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ascii="宋体" w:hAnsi="宋体" w:eastAsia="宋体" w:cs="宋体"/>
                <w:color w:val="auto"/>
                <w:kern w:val="0"/>
                <w:sz w:val="18"/>
                <w:szCs w:val="18"/>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hint="default" w:ascii="宋体" w:hAnsi="宋体" w:eastAsia="宋体" w:cs="宋体"/>
                <w:color w:val="auto"/>
                <w:kern w:val="0"/>
                <w:sz w:val="18"/>
                <w:szCs w:val="18"/>
                <w:lang w:val="en-US"/>
              </w:rPr>
              <w:t>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18"/>
                <w:szCs w:val="18"/>
              </w:rPr>
            </w:pPr>
            <w:r>
              <w:rPr>
                <w:rFonts w:hint="default" w:ascii="等线" w:hAnsi="等线" w:eastAsia="等线" w:cs="宋体"/>
                <w:color w:val="auto"/>
                <w:kern w:val="0"/>
                <w:sz w:val="18"/>
                <w:szCs w:val="18"/>
                <w:lang w:val="en-US"/>
              </w:rPr>
              <w:t>100</w:t>
            </w:r>
            <w:r>
              <w:rPr>
                <w:rFonts w:hint="eastAsia" w:ascii="等线" w:hAnsi="等线" w:eastAsia="等线" w:cs="宋体"/>
                <w:color w:val="auto"/>
                <w:kern w:val="0"/>
                <w:sz w:val="18"/>
                <w:szCs w:val="18"/>
              </w:rPr>
              <w:t>%</w:t>
            </w:r>
          </w:p>
        </w:tc>
      </w:tr>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档案管理完备性</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完备</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完备</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ascii="宋体" w:hAnsi="宋体" w:eastAsia="宋体" w:cs="宋体"/>
                <w:color w:val="auto"/>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color w:val="auto"/>
                <w:kern w:val="0"/>
                <w:sz w:val="18"/>
                <w:szCs w:val="18"/>
              </w:rPr>
            </w:pPr>
            <w:r>
              <w:rPr>
                <w:rFonts w:hint="default" w:ascii="宋体" w:hAnsi="宋体" w:eastAsia="宋体" w:cs="宋体"/>
                <w:color w:val="auto"/>
                <w:kern w:val="0"/>
                <w:sz w:val="18"/>
                <w:szCs w:val="18"/>
                <w:lang w:val="en-US"/>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18"/>
                <w:szCs w:val="18"/>
              </w:rPr>
            </w:pPr>
            <w:r>
              <w:rPr>
                <w:rFonts w:hint="default" w:ascii="等线" w:hAnsi="等线" w:eastAsia="等线" w:cs="宋体"/>
                <w:color w:val="auto"/>
                <w:kern w:val="0"/>
                <w:sz w:val="18"/>
                <w:szCs w:val="18"/>
                <w:lang w:val="en-US"/>
              </w:rPr>
              <w:t>100</w:t>
            </w:r>
            <w:r>
              <w:rPr>
                <w:rFonts w:hint="eastAsia" w:ascii="等线" w:hAnsi="等线" w:eastAsia="等线" w:cs="宋体"/>
                <w:color w:val="auto"/>
                <w:kern w:val="0"/>
                <w:sz w:val="18"/>
                <w:szCs w:val="18"/>
              </w:rPr>
              <w:t>%</w:t>
            </w:r>
          </w:p>
        </w:tc>
      </w:tr>
      <w:tr>
        <w:tblPrEx>
          <w:tblCellMar>
            <w:top w:w="0" w:type="dxa"/>
            <w:left w:w="108" w:type="dxa"/>
            <w:bottom w:w="0" w:type="dxa"/>
            <w:right w:w="108" w:type="dxa"/>
          </w:tblCellMar>
        </w:tblPrEx>
        <w:trPr>
          <w:trHeight w:val="90"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bCs/>
                <w:color w:val="auto"/>
                <w:kern w:val="0"/>
                <w:sz w:val="18"/>
                <w:szCs w:val="18"/>
                <w:lang w:val="en-US"/>
              </w:rPr>
            </w:pPr>
            <w:r>
              <w:rPr>
                <w:rFonts w:hint="default" w:ascii="等线" w:hAnsi="等线" w:eastAsia="等线" w:cs="宋体"/>
                <w:b/>
                <w:bCs/>
                <w:color w:val="auto"/>
                <w:kern w:val="0"/>
                <w:sz w:val="18"/>
                <w:szCs w:val="18"/>
                <w:lang w:val="en-US"/>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18"/>
                <w:szCs w:val="18"/>
              </w:rPr>
            </w:pPr>
            <w:r>
              <w:rPr>
                <w:rFonts w:hint="default" w:ascii="等线" w:hAnsi="等线" w:eastAsia="等线" w:cs="宋体"/>
                <w:color w:val="auto"/>
                <w:kern w:val="0"/>
                <w:sz w:val="18"/>
                <w:szCs w:val="18"/>
                <w:lang w:val="en-US"/>
              </w:rPr>
              <w:t>100</w:t>
            </w:r>
            <w:r>
              <w:rPr>
                <w:rFonts w:hint="eastAsia" w:ascii="等线" w:hAnsi="等线" w:eastAsia="等线" w:cs="宋体"/>
                <w:color w:val="auto"/>
                <w:kern w:val="0"/>
                <w:sz w:val="18"/>
                <w:szCs w:val="18"/>
              </w:rPr>
              <w:t>%</w:t>
            </w:r>
          </w:p>
        </w:tc>
      </w:tr>
    </w:tbl>
    <w:p>
      <w:pPr>
        <w:ind w:firstLine="643" w:firstLineChars="200"/>
        <w:rPr>
          <w:color w:val="auto"/>
          <w:sz w:val="24"/>
          <w:szCs w:val="24"/>
        </w:rPr>
      </w:pPr>
      <w:r>
        <w:rPr>
          <w:rFonts w:hint="eastAsia" w:ascii="仿宋_GB2312" w:hAnsi="Times New Roman" w:eastAsia="仿宋_GB2312" w:cs="Times New Roman"/>
          <w:b/>
          <w:bCs/>
          <w:color w:val="auto"/>
          <w:kern w:val="2"/>
          <w:sz w:val="32"/>
          <w:szCs w:val="32"/>
          <w:lang w:val="en-US" w:eastAsia="zh-CN" w:bidi="ar-SA"/>
        </w:rPr>
        <w:t>中期规划建设完备程度：</w:t>
      </w:r>
      <w:r>
        <w:rPr>
          <w:rFonts w:hint="eastAsia" w:ascii="仿宋_GB2312" w:hAnsi="Times New Roman" w:eastAsia="仿宋_GB2312" w:cs="Times New Roman"/>
          <w:color w:val="auto"/>
          <w:kern w:val="2"/>
          <w:sz w:val="32"/>
          <w:szCs w:val="32"/>
          <w:lang w:val="en-US" w:eastAsia="zh-CN" w:bidi="ar-SA"/>
        </w:rPr>
        <w:t>我院中期规划明确完整、内容全面可行，认真落实中央、省市和县委关于政法队伍教育整顿的安排部署，跟班先进找差距等做法，但与规定还有差距。该指标权重</w:t>
      </w:r>
      <w:r>
        <w:rPr>
          <w:rFonts w:hint="default" w:ascii="仿宋_GB2312" w:hAnsi="Times New Roman" w:eastAsia="仿宋_GB2312" w:cs="Times New Roman"/>
          <w:color w:val="auto"/>
          <w:kern w:val="2"/>
          <w:sz w:val="32"/>
          <w:szCs w:val="32"/>
          <w:lang w:val="en-US" w:eastAsia="zh-CN" w:bidi="ar-SA"/>
        </w:rPr>
        <w:t>4</w:t>
      </w:r>
      <w:r>
        <w:rPr>
          <w:rFonts w:hint="eastAsia" w:ascii="仿宋_GB2312" w:hAnsi="Times New Roman" w:eastAsia="仿宋_GB2312" w:cs="Times New Roman"/>
          <w:color w:val="auto"/>
          <w:kern w:val="2"/>
          <w:sz w:val="32"/>
          <w:szCs w:val="32"/>
          <w:lang w:val="en-US" w:eastAsia="zh-CN" w:bidi="ar-SA"/>
        </w:rPr>
        <w:t>分，自评得分</w:t>
      </w:r>
      <w:r>
        <w:rPr>
          <w:rFonts w:hint="default" w:ascii="仿宋_GB2312" w:hAnsi="Times New Roman" w:eastAsia="仿宋_GB2312" w:cs="Times New Roman"/>
          <w:color w:val="auto"/>
          <w:kern w:val="2"/>
          <w:sz w:val="32"/>
          <w:szCs w:val="32"/>
          <w:lang w:val="en-US" w:eastAsia="zh-CN" w:bidi="ar-SA"/>
        </w:rPr>
        <w:t>4</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人员培训机制完备性：</w:t>
      </w:r>
      <w:r>
        <w:rPr>
          <w:rFonts w:hint="eastAsia" w:ascii="仿宋_GB2312" w:hAnsi="Times New Roman" w:eastAsia="仿宋_GB2312" w:cs="Times New Roman"/>
          <w:color w:val="auto"/>
          <w:kern w:val="2"/>
          <w:sz w:val="32"/>
          <w:szCs w:val="32"/>
          <w:lang w:val="en-US" w:eastAsia="zh-CN" w:bidi="ar-SA"/>
        </w:rPr>
        <w:t>我院大力加强短期岗位培训，参加、举办了刑事、民事、行政、执行、信访和综合等各类业务培训班1</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场次；提前完成专项培训任务 ，经过几年的教育培训工作，提高了法院干部队伍的学历层次和业务素质，进一步强化了法官的职业素养，提升了法官的庭审驾驭能力、裁判文书制作能力和法律适用能力。指标权重3分，自评得分</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档案管理完备性：</w:t>
      </w:r>
      <w:r>
        <w:rPr>
          <w:rFonts w:hint="default" w:ascii="仿宋_GB2312" w:hAnsi="Times New Roman" w:eastAsia="仿宋_GB2312" w:cs="Times New Roman"/>
          <w:color w:val="auto"/>
          <w:kern w:val="2"/>
          <w:sz w:val="32"/>
          <w:szCs w:val="32"/>
          <w:lang w:val="en-US" w:eastAsia="zh-CN" w:bidi="ar-SA"/>
        </w:rPr>
        <w:t>2023</w:t>
      </w:r>
      <w:r>
        <w:rPr>
          <w:rFonts w:hint="eastAsia" w:ascii="仿宋_GB2312" w:hAnsi="Times New Roman" w:eastAsia="仿宋_GB2312" w:cs="Times New Roman"/>
          <w:color w:val="auto"/>
          <w:kern w:val="2"/>
          <w:sz w:val="32"/>
          <w:szCs w:val="32"/>
          <w:lang w:val="en-US" w:eastAsia="zh-CN" w:bidi="ar-SA"/>
        </w:rPr>
        <w:t xml:space="preserve">年，我院按照建设省级档案室要求对原档案室进行了升级改造，进一步优化了防水、防火等设施，安排了专门人员负责档案归档调阅事项，确保档案管理安全有效，档案利用高效便捷。指标权重3分，自评得分 </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w:t>
      </w:r>
      <w:r>
        <w:rPr>
          <w:rFonts w:hint="eastAsia" w:ascii="仿宋_GB2312" w:hAnsi="Times New Roman" w:eastAsia="仿宋_GB2312" w:cs="Times New Roman"/>
          <w:color w:val="auto"/>
          <w:kern w:val="2"/>
          <w:sz w:val="32"/>
          <w:szCs w:val="32"/>
          <w:lang w:val="en-US" w:eastAsia="zh-CN" w:bidi="ar-SA"/>
        </w:rPr>
        <w:t xml:space="preserve">0%。 </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 xml:space="preserve">4、服务对象满意度 </w:t>
      </w:r>
    </w:p>
    <w:p>
      <w:pPr>
        <w:ind w:firstLine="640" w:firstLineChars="200"/>
        <w:rPr>
          <w:rFonts w:hint="default"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w:t>
      </w:r>
      <w:r>
        <w:rPr>
          <w:rFonts w:hint="default" w:ascii="仿宋_GB2312" w:hAnsi="Times New Roman" w:eastAsia="仿宋_GB2312" w:cs="Times New Roman"/>
          <w:color w:val="auto"/>
          <w:kern w:val="2"/>
          <w:sz w:val="32"/>
          <w:szCs w:val="32"/>
          <w:lang w:val="en-US" w:eastAsia="zh-CN" w:bidi="ar-SA"/>
        </w:rPr>
        <w:t>度</w:t>
      </w:r>
      <w:r>
        <w:rPr>
          <w:rFonts w:hint="eastAsia" w:ascii="仿宋_GB2312" w:hAnsi="Times New Roman" w:eastAsia="仿宋_GB2312" w:cs="Times New Roman"/>
          <w:color w:val="auto"/>
          <w:kern w:val="2"/>
          <w:sz w:val="32"/>
          <w:szCs w:val="32"/>
          <w:lang w:val="en-US" w:eastAsia="zh-CN" w:bidi="ar-SA"/>
        </w:rPr>
        <w:t>高台县人民法</w:t>
      </w:r>
      <w:r>
        <w:rPr>
          <w:rFonts w:hint="default" w:ascii="仿宋_GB2312" w:hAnsi="Times New Roman" w:eastAsia="仿宋_GB2312" w:cs="Times New Roman"/>
          <w:color w:val="auto"/>
          <w:kern w:val="2"/>
          <w:sz w:val="32"/>
          <w:szCs w:val="32"/>
          <w:lang w:val="en-US" w:eastAsia="zh-CN" w:bidi="ar-SA"/>
        </w:rPr>
        <w:t>院省级预算执行情况绩效自</w:t>
      </w:r>
      <w:r>
        <w:rPr>
          <w:rFonts w:hint="eastAsia" w:ascii="仿宋_GB2312" w:hAnsi="Times New Roman" w:eastAsia="仿宋_GB2312" w:cs="Times New Roman"/>
          <w:color w:val="auto"/>
          <w:kern w:val="2"/>
          <w:sz w:val="32"/>
          <w:szCs w:val="32"/>
          <w:lang w:val="en-US" w:eastAsia="zh-CN" w:bidi="ar-SA"/>
        </w:rPr>
        <w:t>评报表》，一级指标服务满意度下设</w:t>
      </w:r>
      <w:r>
        <w:rPr>
          <w:rFonts w:hint="default" w:ascii="仿宋_GB2312" w:hAnsi="Times New Roman" w:eastAsia="仿宋_GB2312" w:cs="Times New Roman"/>
          <w:color w:val="auto"/>
          <w:kern w:val="2"/>
          <w:sz w:val="32"/>
          <w:szCs w:val="32"/>
          <w:lang w:val="en-US" w:eastAsia="zh-CN" w:bidi="ar-SA"/>
        </w:rPr>
        <w:t>1个二级指标</w:t>
      </w:r>
      <w:r>
        <w:rPr>
          <w:rFonts w:hint="eastAsia" w:ascii="仿宋_GB2312" w:hAnsi="Times New Roman" w:eastAsia="仿宋_GB2312" w:cs="Times New Roman"/>
          <w:color w:val="auto"/>
          <w:kern w:val="2"/>
          <w:sz w:val="32"/>
          <w:szCs w:val="32"/>
          <w:lang w:val="en-US" w:eastAsia="zh-CN" w:bidi="ar-SA"/>
        </w:rPr>
        <w:t>，</w:t>
      </w:r>
      <w:r>
        <w:rPr>
          <w:rFonts w:hint="default" w:ascii="仿宋_GB2312" w:hAnsi="Times New Roman" w:eastAsia="仿宋_GB2312" w:cs="Times New Roman"/>
          <w:color w:val="auto"/>
          <w:kern w:val="2"/>
          <w:sz w:val="32"/>
          <w:szCs w:val="32"/>
          <w:lang w:val="en-US" w:eastAsia="zh-CN" w:bidi="ar-SA"/>
        </w:rPr>
        <w:t>1个三级指标，指标</w:t>
      </w:r>
      <w:r>
        <w:rPr>
          <w:rFonts w:hint="eastAsia" w:ascii="仿宋_GB2312" w:hAnsi="Times New Roman" w:eastAsia="仿宋_GB2312" w:cs="Times New Roman"/>
          <w:color w:val="auto"/>
          <w:kern w:val="2"/>
          <w:sz w:val="32"/>
          <w:szCs w:val="32"/>
          <w:lang w:val="en-US" w:eastAsia="zh-CN" w:bidi="ar-SA"/>
        </w:rPr>
        <w:t>权重合计10</w:t>
      </w:r>
      <w:r>
        <w:rPr>
          <w:rFonts w:hint="default" w:ascii="仿宋_GB2312" w:hAnsi="Times New Roman" w:eastAsia="仿宋_GB2312" w:cs="Times New Roman"/>
          <w:color w:val="auto"/>
          <w:kern w:val="2"/>
          <w:sz w:val="32"/>
          <w:szCs w:val="32"/>
          <w:lang w:val="en-US" w:eastAsia="zh-CN" w:bidi="ar-SA"/>
        </w:rPr>
        <w:t>分，自评得分10分，得分率为10</w:t>
      </w:r>
      <w:r>
        <w:rPr>
          <w:rFonts w:hint="eastAsia" w:ascii="仿宋_GB2312" w:hAnsi="Times New Roman" w:eastAsia="仿宋_GB2312" w:cs="Times New Roman"/>
          <w:color w:val="auto"/>
          <w:kern w:val="2"/>
          <w:sz w:val="32"/>
          <w:szCs w:val="32"/>
          <w:lang w:val="en-US" w:eastAsia="zh-CN" w:bidi="ar-SA"/>
        </w:rPr>
        <w:t>0</w:t>
      </w:r>
      <w:r>
        <w:rPr>
          <w:rFonts w:hint="default" w:ascii="仿宋_GB2312" w:hAnsi="Times New Roman" w:eastAsia="仿宋_GB2312" w:cs="Times New Roman"/>
          <w:color w:val="auto"/>
          <w:kern w:val="2"/>
          <w:sz w:val="32"/>
          <w:szCs w:val="32"/>
          <w:lang w:val="en-US" w:eastAsia="zh-CN" w:bidi="ar-SA"/>
        </w:rPr>
        <w:t>%。</w:t>
      </w:r>
    </w:p>
    <w:tbl>
      <w:tblPr>
        <w:tblStyle w:val="10"/>
        <w:tblW w:w="8931" w:type="dxa"/>
        <w:tblInd w:w="-289" w:type="dxa"/>
        <w:tblLayout w:type="autofit"/>
        <w:tblCellMar>
          <w:top w:w="0" w:type="dxa"/>
          <w:left w:w="108" w:type="dxa"/>
          <w:bottom w:w="0" w:type="dxa"/>
          <w:right w:w="108" w:type="dxa"/>
        </w:tblCellMar>
      </w:tblPr>
      <w:tblGrid>
        <w:gridCol w:w="2552"/>
        <w:gridCol w:w="1560"/>
        <w:gridCol w:w="1417"/>
        <w:gridCol w:w="1134"/>
        <w:gridCol w:w="1134"/>
        <w:gridCol w:w="1134"/>
      </w:tblGrid>
      <w:tr>
        <w:tblPrEx>
          <w:tblCellMar>
            <w:top w:w="0" w:type="dxa"/>
            <w:left w:w="108" w:type="dxa"/>
            <w:bottom w:w="0" w:type="dxa"/>
            <w:right w:w="108" w:type="dxa"/>
          </w:tblCellMar>
        </w:tblPrEx>
        <w:trPr>
          <w:trHeight w:val="397" w:hRule="atLeast"/>
        </w:trPr>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年度目标值</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权重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108" w:type="dxa"/>
            <w:bottom w:w="0" w:type="dxa"/>
            <w:right w:w="108" w:type="dxa"/>
          </w:tblCellMar>
        </w:tblPrEx>
        <w:trPr>
          <w:trHeight w:val="397" w:hRule="atLeast"/>
        </w:trPr>
        <w:tc>
          <w:tcPr>
            <w:tcW w:w="25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等线" w:hAnsi="等线" w:eastAsia="等线" w:cs="宋体"/>
                <w:b w:val="0"/>
                <w:bCs w:val="0"/>
                <w:color w:val="auto"/>
                <w:kern w:val="0"/>
                <w:sz w:val="18"/>
                <w:szCs w:val="18"/>
              </w:rPr>
            </w:pPr>
            <w:r>
              <w:rPr>
                <w:rFonts w:hint="eastAsia" w:ascii="宋体" w:hAnsi="宋体" w:eastAsia="宋体" w:cs="宋体"/>
                <w:b w:val="0"/>
                <w:bCs w:val="0"/>
                <w:color w:val="auto"/>
                <w:kern w:val="0"/>
                <w:sz w:val="18"/>
                <w:szCs w:val="18"/>
              </w:rPr>
              <w:t>人民群众满意度</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hint="eastAsia" w:ascii="等线" w:hAnsi="等线" w:eastAsia="等线" w:cs="宋体"/>
                <w:b w:val="0"/>
                <w:bCs w:val="0"/>
                <w:color w:val="auto"/>
                <w:kern w:val="0"/>
                <w:sz w:val="18"/>
                <w:szCs w:val="18"/>
              </w:rPr>
              <w:t>&gt;=</w:t>
            </w:r>
            <w:r>
              <w:rPr>
                <w:rFonts w:ascii="等线" w:hAnsi="等线" w:eastAsia="等线" w:cs="宋体"/>
                <w:b w:val="0"/>
                <w:bCs w:val="0"/>
                <w:color w:val="auto"/>
                <w:kern w:val="0"/>
                <w:sz w:val="18"/>
                <w:szCs w:val="18"/>
              </w:rPr>
              <w:t>8</w:t>
            </w:r>
            <w:r>
              <w:rPr>
                <w:rFonts w:hint="eastAsia" w:ascii="等线" w:hAnsi="等线" w:eastAsia="等线" w:cs="宋体"/>
                <w:b w:val="0"/>
                <w:bCs w:val="0"/>
                <w:color w:val="auto"/>
                <w:kern w:val="0"/>
                <w:sz w:val="18"/>
                <w:szCs w:val="18"/>
              </w:rPr>
              <w:t>5%</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ascii="等线" w:hAnsi="等线" w:eastAsia="等线" w:cs="宋体"/>
                <w:b w:val="0"/>
                <w:bCs w:val="0"/>
                <w:color w:val="auto"/>
                <w:kern w:val="0"/>
                <w:sz w:val="18"/>
                <w:szCs w:val="18"/>
              </w:rPr>
              <w:t>9</w:t>
            </w:r>
            <w:r>
              <w:rPr>
                <w:rFonts w:hint="default" w:ascii="等线" w:hAnsi="等线" w:eastAsia="等线" w:cs="宋体"/>
                <w:b w:val="0"/>
                <w:bCs w:val="0"/>
                <w:color w:val="auto"/>
                <w:kern w:val="0"/>
                <w:sz w:val="18"/>
                <w:szCs w:val="18"/>
                <w:lang w:val="en-US"/>
              </w:rPr>
              <w:t>8</w:t>
            </w:r>
            <w:r>
              <w:rPr>
                <w:rFonts w:ascii="等线" w:hAnsi="等线" w:eastAsia="等线" w:cs="宋体"/>
                <w:b w:val="0"/>
                <w:bCs w:val="0"/>
                <w:color w:val="auto"/>
                <w:kern w:val="0"/>
                <w:sz w:val="18"/>
                <w:szCs w:val="18"/>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val="0"/>
                <w:bCs w:val="0"/>
                <w:color w:val="auto"/>
                <w:kern w:val="0"/>
                <w:sz w:val="18"/>
                <w:szCs w:val="18"/>
                <w:lang w:val="en-US"/>
              </w:rPr>
            </w:pPr>
            <w:r>
              <w:rPr>
                <w:rFonts w:hint="default" w:ascii="等线" w:hAnsi="等线" w:eastAsia="等线" w:cs="宋体"/>
                <w:b w:val="0"/>
                <w:bCs w:val="0"/>
                <w:color w:val="auto"/>
                <w:kern w:val="0"/>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val="0"/>
                <w:bCs w:val="0"/>
                <w:color w:val="auto"/>
                <w:kern w:val="0"/>
                <w:sz w:val="18"/>
                <w:szCs w:val="18"/>
                <w:lang w:val="en-US"/>
              </w:rPr>
            </w:pPr>
            <w:r>
              <w:rPr>
                <w:rFonts w:hint="default" w:ascii="等线" w:hAnsi="等线" w:eastAsia="等线" w:cs="宋体"/>
                <w:b w:val="0"/>
                <w:bCs w:val="0"/>
                <w:color w:val="auto"/>
                <w:kern w:val="0"/>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hint="eastAsia" w:ascii="等线" w:hAnsi="等线" w:eastAsia="等线" w:cs="宋体"/>
                <w:b w:val="0"/>
                <w:bCs w:val="0"/>
                <w:color w:val="auto"/>
                <w:kern w:val="0"/>
                <w:sz w:val="18"/>
                <w:szCs w:val="18"/>
              </w:rPr>
              <w:t>100%</w:t>
            </w:r>
          </w:p>
        </w:tc>
      </w:tr>
      <w:tr>
        <w:tblPrEx>
          <w:tblCellMar>
            <w:top w:w="0" w:type="dxa"/>
            <w:left w:w="108" w:type="dxa"/>
            <w:bottom w:w="0" w:type="dxa"/>
            <w:right w:w="108" w:type="dxa"/>
          </w:tblCellMar>
        </w:tblPrEx>
        <w:trPr>
          <w:trHeight w:val="397" w:hRule="atLeast"/>
        </w:trPr>
        <w:tc>
          <w:tcPr>
            <w:tcW w:w="5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hint="eastAsia" w:ascii="等线" w:hAnsi="等线" w:eastAsia="等线" w:cs="宋体"/>
                <w:b w:val="0"/>
                <w:bCs w:val="0"/>
                <w:color w:val="auto"/>
                <w:kern w:val="0"/>
                <w:sz w:val="18"/>
                <w:szCs w:val="18"/>
              </w:rPr>
              <w:t>合计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val="0"/>
                <w:bCs w:val="0"/>
                <w:color w:val="auto"/>
                <w:kern w:val="0"/>
                <w:sz w:val="18"/>
                <w:szCs w:val="18"/>
                <w:lang w:val="en-US"/>
              </w:rPr>
            </w:pPr>
            <w:r>
              <w:rPr>
                <w:rFonts w:hint="default" w:ascii="等线" w:hAnsi="等线" w:eastAsia="等线" w:cs="宋体"/>
                <w:b w:val="0"/>
                <w:bCs w:val="0"/>
                <w:color w:val="auto"/>
                <w:kern w:val="0"/>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val="0"/>
                <w:bCs w:val="0"/>
                <w:color w:val="auto"/>
                <w:kern w:val="0"/>
                <w:sz w:val="18"/>
                <w:szCs w:val="18"/>
                <w:lang w:val="en-US"/>
              </w:rPr>
            </w:pPr>
            <w:r>
              <w:rPr>
                <w:rFonts w:hint="default" w:ascii="等线" w:hAnsi="等线" w:eastAsia="等线" w:cs="宋体"/>
                <w:b w:val="0"/>
                <w:bCs w:val="0"/>
                <w:color w:val="auto"/>
                <w:kern w:val="0"/>
                <w:sz w:val="18"/>
                <w:szCs w:val="18"/>
                <w:lang w:val="en-US"/>
              </w:rPr>
              <w:t>2.45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val="0"/>
                <w:bCs w:val="0"/>
                <w:color w:val="auto"/>
                <w:kern w:val="0"/>
                <w:sz w:val="18"/>
                <w:szCs w:val="18"/>
              </w:rPr>
            </w:pPr>
            <w:r>
              <w:rPr>
                <w:rFonts w:ascii="等线" w:hAnsi="等线" w:eastAsia="等线" w:cs="宋体"/>
                <w:b w:val="0"/>
                <w:bCs w:val="0"/>
                <w:color w:val="auto"/>
                <w:kern w:val="0"/>
                <w:sz w:val="18"/>
                <w:szCs w:val="18"/>
              </w:rPr>
              <w:t>10</w:t>
            </w:r>
            <w:r>
              <w:rPr>
                <w:rFonts w:hint="eastAsia" w:ascii="等线" w:hAnsi="等线" w:eastAsia="等线" w:cs="宋体"/>
                <w:b w:val="0"/>
                <w:bCs w:val="0"/>
                <w:color w:val="auto"/>
                <w:kern w:val="0"/>
                <w:sz w:val="18"/>
                <w:szCs w:val="18"/>
              </w:rPr>
              <w:t>0%</w:t>
            </w:r>
          </w:p>
        </w:tc>
      </w:tr>
    </w:tbl>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（四）偏离绩效目标的原因及下一步改进措施</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我院部门整体支出绩效基本没有偏离绩效目标。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下一步改进措施：</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pPr>
        <w:ind w:firstLine="640" w:firstLineChars="200"/>
        <w:rPr>
          <w:b/>
          <w:bCs/>
          <w:color w:val="auto"/>
          <w:sz w:val="24"/>
          <w:szCs w:val="24"/>
        </w:rPr>
      </w:pPr>
      <w:r>
        <w:rPr>
          <w:rFonts w:hint="eastAsia" w:ascii="黑体" w:hAnsi="黑体" w:eastAsia="黑体" w:cs="黑体"/>
          <w:b w:val="0"/>
          <w:bCs w:val="0"/>
          <w:color w:val="auto"/>
          <w:sz w:val="32"/>
          <w:szCs w:val="32"/>
        </w:rPr>
        <w:t>四、部门预算项目支出绩效自评情况分析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年，我院预算支出项目为</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个，当年项目年初预算数</w:t>
      </w:r>
      <w:r>
        <w:rPr>
          <w:rFonts w:hint="default" w:ascii="仿宋_GB2312" w:hAnsi="Times New Roman" w:eastAsia="仿宋_GB2312" w:cs="Times New Roman"/>
          <w:color w:val="auto"/>
          <w:kern w:val="2"/>
          <w:sz w:val="32"/>
          <w:szCs w:val="32"/>
          <w:lang w:val="en-US" w:eastAsia="zh-CN" w:bidi="ar-SA"/>
        </w:rPr>
        <w:t>434</w:t>
      </w:r>
      <w:r>
        <w:rPr>
          <w:rFonts w:hint="eastAsia" w:ascii="仿宋_GB2312" w:hAnsi="Times New Roman" w:eastAsia="仿宋_GB2312" w:cs="Times New Roman"/>
          <w:color w:val="auto"/>
          <w:kern w:val="2"/>
          <w:sz w:val="32"/>
          <w:szCs w:val="32"/>
          <w:lang w:val="en-US" w:eastAsia="zh-CN" w:bidi="ar-SA"/>
        </w:rPr>
        <w:t>万元，全年预算数</w:t>
      </w:r>
      <w:r>
        <w:rPr>
          <w:rFonts w:hint="default" w:ascii="仿宋_GB2312" w:hAnsi="Times New Roman" w:eastAsia="仿宋_GB2312" w:cs="Times New Roman"/>
          <w:color w:val="auto"/>
          <w:kern w:val="2"/>
          <w:sz w:val="32"/>
          <w:szCs w:val="32"/>
          <w:lang w:val="en-US" w:eastAsia="zh-CN" w:bidi="ar-SA"/>
        </w:rPr>
        <w:t>619</w:t>
      </w:r>
      <w:r>
        <w:rPr>
          <w:rFonts w:hint="eastAsia" w:ascii="仿宋_GB2312" w:hAnsi="Times New Roman" w:eastAsia="仿宋_GB2312" w:cs="Times New Roman"/>
          <w:color w:val="auto"/>
          <w:kern w:val="2"/>
          <w:sz w:val="32"/>
          <w:szCs w:val="32"/>
          <w:lang w:val="en-US" w:eastAsia="zh-CN" w:bidi="ar-SA"/>
        </w:rPr>
        <w:t>万元，实际支出数</w:t>
      </w:r>
      <w:r>
        <w:rPr>
          <w:rFonts w:hint="default" w:ascii="仿宋_GB2312" w:hAnsi="Times New Roman" w:eastAsia="仿宋_GB2312" w:cs="Times New Roman"/>
          <w:color w:val="auto"/>
          <w:kern w:val="2"/>
          <w:sz w:val="32"/>
          <w:szCs w:val="32"/>
          <w:lang w:val="en-US" w:eastAsia="zh-CN" w:bidi="ar-SA"/>
        </w:rPr>
        <w:t>618.64</w:t>
      </w:r>
      <w:r>
        <w:rPr>
          <w:rFonts w:hint="eastAsia" w:ascii="仿宋_GB2312" w:hAnsi="Times New Roman" w:eastAsia="仿宋_GB2312" w:cs="Times New Roman"/>
          <w:color w:val="auto"/>
          <w:kern w:val="2"/>
          <w:sz w:val="32"/>
          <w:szCs w:val="32"/>
          <w:lang w:val="en-US" w:eastAsia="zh-CN" w:bidi="ar-SA"/>
        </w:rPr>
        <w:t>万元，执行率</w:t>
      </w:r>
      <w:r>
        <w:rPr>
          <w:rFonts w:hint="default" w:ascii="仿宋_GB2312" w:hAnsi="Times New Roman" w:eastAsia="仿宋_GB2312" w:cs="Times New Roman"/>
          <w:color w:val="auto"/>
          <w:kern w:val="2"/>
          <w:sz w:val="32"/>
          <w:szCs w:val="32"/>
          <w:lang w:val="en-US" w:eastAsia="zh-CN" w:bidi="ar-SA"/>
        </w:rPr>
        <w:t>99.98</w:t>
      </w:r>
      <w:r>
        <w:rPr>
          <w:rFonts w:hint="eastAsia" w:ascii="仿宋_GB2312" w:hAnsi="Times New Roman" w:eastAsia="仿宋_GB2312" w:cs="Times New Roman"/>
          <w:color w:val="auto"/>
          <w:kern w:val="2"/>
          <w:sz w:val="32"/>
          <w:szCs w:val="32"/>
          <w:lang w:val="en-US" w:eastAsia="zh-CN" w:bidi="ar-SA"/>
        </w:rPr>
        <w:t>%。通过自评，3个项目结果均为 “优”。分项目自评情况分析如下：</w:t>
      </w:r>
    </w:p>
    <w:p>
      <w:pPr>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（一）项目1- 中央政法转移支付资金</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1、项目支出预算执行情况</w:t>
      </w:r>
    </w:p>
    <w:p>
      <w:pPr>
        <w:ind w:firstLine="640" w:firstLineChars="200"/>
        <w:rPr>
          <w:color w:val="auto"/>
          <w:sz w:val="24"/>
          <w:szCs w:val="24"/>
        </w:rPr>
      </w:pPr>
      <w:r>
        <w:rPr>
          <w:rFonts w:hint="eastAsia" w:ascii="仿宋_GB2312" w:hAnsi="Times New Roman" w:eastAsia="仿宋_GB2312" w:cs="Times New Roman"/>
          <w:color w:val="auto"/>
          <w:kern w:val="2"/>
          <w:sz w:val="32"/>
          <w:szCs w:val="32"/>
          <w:lang w:val="en-US" w:eastAsia="zh-CN" w:bidi="ar-SA"/>
        </w:rPr>
        <w:t>中央政法转移支付资金项目全年预算数</w:t>
      </w:r>
      <w:r>
        <w:rPr>
          <w:rFonts w:hint="default" w:ascii="仿宋_GB2312" w:hAnsi="Times New Roman" w:eastAsia="仿宋_GB2312" w:cs="Times New Roman"/>
          <w:color w:val="auto"/>
          <w:kern w:val="2"/>
          <w:sz w:val="32"/>
          <w:szCs w:val="32"/>
          <w:lang w:val="en-US" w:eastAsia="zh-CN" w:bidi="ar-SA"/>
        </w:rPr>
        <w:t>330</w:t>
      </w:r>
      <w:r>
        <w:rPr>
          <w:rFonts w:hint="eastAsia" w:ascii="仿宋_GB2312" w:hAnsi="Times New Roman" w:eastAsia="仿宋_GB2312" w:cs="Times New Roman"/>
          <w:color w:val="auto"/>
          <w:kern w:val="2"/>
          <w:sz w:val="32"/>
          <w:szCs w:val="32"/>
          <w:lang w:val="en-US" w:eastAsia="zh-CN" w:bidi="ar-SA"/>
        </w:rPr>
        <w:t>万元，全年执行数3</w:t>
      </w:r>
      <w:r>
        <w:rPr>
          <w:rFonts w:hint="default" w:ascii="仿宋_GB2312" w:hAnsi="Times New Roman" w:eastAsia="仿宋_GB2312" w:cs="Times New Roman"/>
          <w:color w:val="auto"/>
          <w:kern w:val="2"/>
          <w:sz w:val="32"/>
          <w:szCs w:val="32"/>
          <w:lang w:val="en-US" w:eastAsia="zh-CN" w:bidi="ar-SA"/>
        </w:rPr>
        <w:t>30</w:t>
      </w:r>
      <w:r>
        <w:rPr>
          <w:rFonts w:hint="eastAsia" w:ascii="仿宋_GB2312" w:hAnsi="Times New Roman" w:eastAsia="仿宋_GB2312" w:cs="Times New Roman"/>
          <w:color w:val="auto"/>
          <w:kern w:val="2"/>
          <w:sz w:val="32"/>
          <w:szCs w:val="32"/>
          <w:lang w:val="en-US" w:eastAsia="zh-CN" w:bidi="ar-SA"/>
        </w:rPr>
        <w:t>万元，预算执行率100%，满分10分，得分10分。</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2、总体绩效目标完成情况分析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中央政法转移支付项目自评价得分</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分，自评结果为“优”。</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本项目202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绩效目标实际完成情况如下：中央政法转移支付资金主要用于支付办案办公费、印刷费、电费、邮电费、取暖费、差旅费、维修（护）费、培训费、被装购置费、劳务费、委托业务费、公务用车运行维护费、办公设备购置、公务用车购置等支出。保障了我院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年各类案件的审判、执行工作。与预期的预算计划完全一致。</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3、各项指标完成情况分析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根据甘肃省财政厅关于加快推进预算绩效管理工作及甘肃省财政厅关于开展202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年度省级部门预算绩效运行监控工作等通知精神，项目支出指标设置权重为产出指标为50%，效益指标30%，满意度指标10%：二级指标8个，三级指标16个。</w:t>
      </w:r>
    </w:p>
    <w:tbl>
      <w:tblPr>
        <w:tblStyle w:val="10"/>
        <w:tblW w:w="9617" w:type="dxa"/>
        <w:tblInd w:w="0" w:type="dxa"/>
        <w:tblLayout w:type="autofit"/>
        <w:tblCellMar>
          <w:top w:w="0" w:type="dxa"/>
          <w:left w:w="0" w:type="dxa"/>
          <w:bottom w:w="0" w:type="dxa"/>
          <w:right w:w="0" w:type="dxa"/>
        </w:tblCellMar>
      </w:tblPr>
      <w:tblGrid>
        <w:gridCol w:w="1737"/>
        <w:gridCol w:w="2186"/>
        <w:gridCol w:w="1436"/>
        <w:gridCol w:w="1267"/>
        <w:gridCol w:w="739"/>
        <w:gridCol w:w="1126"/>
        <w:gridCol w:w="1126"/>
      </w:tblGrid>
      <w:tr>
        <w:tblPrEx>
          <w:tblCellMar>
            <w:top w:w="0" w:type="dxa"/>
            <w:left w:w="0" w:type="dxa"/>
            <w:bottom w:w="0" w:type="dxa"/>
            <w:right w:w="0" w:type="dxa"/>
          </w:tblCellMar>
        </w:tblPrEx>
        <w:trPr>
          <w:trHeight w:val="64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二级指标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年度指标值</w:t>
            </w:r>
          </w:p>
        </w:tc>
        <w:tc>
          <w:tcPr>
            <w:tcW w:w="1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分值</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数量指标</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结案率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&gt;=90%</w:t>
            </w:r>
          </w:p>
        </w:tc>
        <w:tc>
          <w:tcPr>
            <w:tcW w:w="12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97.88</w:t>
            </w:r>
            <w:r>
              <w:rPr>
                <w:rFonts w:hint="eastAsia" w:ascii="宋体" w:hAnsi="宋体" w:eastAsia="宋体" w:cs="宋体"/>
                <w:color w:val="auto"/>
                <w:kern w:val="0"/>
                <w:sz w:val="18"/>
                <w:szCs w:val="18"/>
                <w:lang w:val="en-US"/>
              </w:rPr>
              <w:t>%</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5.6</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5.6</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培训工作完成率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c>
          <w:tcPr>
            <w:tcW w:w="12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r>
              <w:rPr>
                <w:rFonts w:hint="default" w:ascii="宋体" w:hAnsi="宋体" w:eastAsia="宋体" w:cs="宋体"/>
                <w:color w:val="auto"/>
                <w:kern w:val="0"/>
                <w:sz w:val="18"/>
                <w:szCs w:val="18"/>
                <w:lang w:val="en-US"/>
              </w:rPr>
              <w:t>.55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r>
              <w:rPr>
                <w:rFonts w:hint="default" w:ascii="宋体" w:hAnsi="宋体" w:eastAsia="宋体" w:cs="宋体"/>
                <w:color w:val="auto"/>
                <w:kern w:val="0"/>
                <w:sz w:val="18"/>
                <w:szCs w:val="18"/>
                <w:lang w:val="en-US"/>
              </w:rPr>
              <w:t>.55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日常维护维修工作完成率</w:t>
            </w:r>
          </w:p>
        </w:tc>
        <w:tc>
          <w:tcPr>
            <w:tcW w:w="14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&gt;=100%</w:t>
            </w:r>
          </w:p>
        </w:tc>
        <w:tc>
          <w:tcPr>
            <w:tcW w:w="1267"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质量指标</w:t>
            </w:r>
          </w:p>
        </w:tc>
        <w:tc>
          <w:tcPr>
            <w:tcW w:w="218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一审服判息诉率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&gt;=90%</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90%</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上诉改判率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&lt;=10%</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r>
              <w:rPr>
                <w:rFonts w:hint="default" w:ascii="宋体" w:hAnsi="宋体" w:eastAsia="宋体" w:cs="宋体"/>
                <w:color w:val="auto"/>
                <w:kern w:val="0"/>
                <w:sz w:val="18"/>
                <w:szCs w:val="18"/>
                <w:lang w:val="en-US"/>
              </w:rPr>
              <w:t>.55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r>
              <w:rPr>
                <w:rFonts w:hint="default" w:ascii="宋体" w:hAnsi="宋体" w:eastAsia="宋体" w:cs="宋体"/>
                <w:color w:val="auto"/>
                <w:kern w:val="0"/>
                <w:sz w:val="18"/>
                <w:szCs w:val="18"/>
                <w:lang w:val="en-US"/>
              </w:rPr>
              <w:t>.55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培训考核通过率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100.00%</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时效指标</w:t>
            </w: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法定审限内结案率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&gt;=97%</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99.9%</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培训工作开展及时性</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及时</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及时</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r>
              <w:rPr>
                <w:rFonts w:hint="default" w:ascii="宋体" w:hAnsi="宋体" w:eastAsia="宋体" w:cs="宋体"/>
                <w:color w:val="auto"/>
                <w:kern w:val="0"/>
                <w:sz w:val="18"/>
                <w:szCs w:val="18"/>
                <w:lang w:val="en-US"/>
              </w:rPr>
              <w:t>.55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8</w:t>
            </w:r>
            <w:r>
              <w:rPr>
                <w:rFonts w:hint="eastAsia" w:ascii="宋体" w:hAnsi="宋体" w:eastAsia="宋体" w:cs="宋体"/>
                <w:color w:val="auto"/>
                <w:kern w:val="0"/>
                <w:sz w:val="18"/>
                <w:szCs w:val="18"/>
                <w:lang w:val="en-US"/>
              </w:rPr>
              <w:t>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设备购置及日常维修维护及时率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及时</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及时</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rPr>
              <w:t>5</w:t>
            </w:r>
            <w:r>
              <w:rPr>
                <w:rFonts w:hint="default" w:ascii="宋体" w:hAnsi="宋体" w:eastAsia="宋体" w:cs="宋体"/>
                <w:color w:val="auto"/>
                <w:kern w:val="0"/>
                <w:sz w:val="18"/>
                <w:szCs w:val="18"/>
                <w:lang w:val="en-US"/>
              </w:rPr>
              <w:t>.55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5.55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8</w:t>
            </w:r>
            <w:r>
              <w:rPr>
                <w:rFonts w:hint="eastAsia" w:ascii="宋体" w:hAnsi="宋体" w:eastAsia="宋体" w:cs="宋体"/>
                <w:color w:val="auto"/>
                <w:kern w:val="0"/>
                <w:sz w:val="18"/>
                <w:szCs w:val="18"/>
                <w:lang w:val="en-US"/>
              </w:rPr>
              <w:t>0%</w:t>
            </w:r>
          </w:p>
        </w:tc>
      </w:tr>
      <w:tr>
        <w:tblPrEx>
          <w:tblCellMar>
            <w:top w:w="0" w:type="dxa"/>
            <w:left w:w="0" w:type="dxa"/>
            <w:bottom w:w="0" w:type="dxa"/>
            <w:right w:w="0" w:type="dxa"/>
          </w:tblCellMar>
        </w:tblPrEx>
        <w:trPr>
          <w:trHeight w:val="649" w:hRule="atLeast"/>
        </w:trPr>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经济效益指标</w:t>
            </w: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执行标的到位率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&gt;=27%</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24.1</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8.93</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89.3%</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社会效益指标</w:t>
            </w: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陪审率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&gt;=85%</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99.11%</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一审简易程序适用率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&gt;=70%</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84.54%</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r>
              <w:rPr>
                <w:rFonts w:hint="eastAsia" w:ascii="宋体" w:hAnsi="宋体" w:eastAsia="宋体" w:cs="宋体"/>
                <w:color w:val="auto"/>
                <w:kern w:val="0"/>
                <w:sz w:val="18"/>
                <w:szCs w:val="18"/>
                <w:lang w:val="en-US"/>
              </w:rPr>
              <w:t>%</w:t>
            </w:r>
          </w:p>
        </w:tc>
      </w:tr>
      <w:tr>
        <w:tblPrEx>
          <w:tblCellMar>
            <w:top w:w="0" w:type="dxa"/>
            <w:left w:w="0" w:type="dxa"/>
            <w:bottom w:w="0" w:type="dxa"/>
            <w:right w:w="0" w:type="dxa"/>
          </w:tblCellMar>
        </w:tblPrEx>
        <w:trPr>
          <w:trHeight w:val="649" w:hRule="atLeast"/>
        </w:trPr>
        <w:tc>
          <w:tcPr>
            <w:tcW w:w="1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服务对象满意度指标</w:t>
            </w: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人民群众满意度</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&gt;=85%</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98%</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r>
              <w:rPr>
                <w:rFonts w:hint="eastAsia" w:ascii="宋体" w:hAnsi="宋体" w:eastAsia="宋体" w:cs="宋体"/>
                <w:color w:val="auto"/>
                <w:kern w:val="0"/>
                <w:sz w:val="18"/>
                <w:szCs w:val="18"/>
                <w:lang w:val="en-US"/>
              </w:rPr>
              <w:t>%</w:t>
            </w:r>
          </w:p>
        </w:tc>
      </w:tr>
      <w:tr>
        <w:tblPrEx>
          <w:tblCellMar>
            <w:top w:w="0" w:type="dxa"/>
            <w:left w:w="0" w:type="dxa"/>
            <w:bottom w:w="0" w:type="dxa"/>
            <w:right w:w="0" w:type="dxa"/>
          </w:tblCellMar>
        </w:tblPrEx>
        <w:trPr>
          <w:trHeight w:val="649" w:hRule="atLeast"/>
        </w:trPr>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p>
        </w:tc>
        <w:tc>
          <w:tcPr>
            <w:tcW w:w="2186"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培训人员满意率</w:t>
            </w:r>
          </w:p>
        </w:tc>
        <w:tc>
          <w:tcPr>
            <w:tcW w:w="1436" w:type="dxa"/>
            <w:tcBorders>
              <w:top w:val="single" w:color="auto" w:sz="6" w:space="0"/>
              <w:left w:val="single" w:color="auto" w:sz="6" w:space="0"/>
              <w:bottom w:val="single" w:color="auto" w:sz="6" w:space="0"/>
              <w:right w:val="single" w:color="auto" w:sz="6" w:space="0"/>
            </w:tcBorders>
            <w:shd w:val="solid" w:color="FFFFFF"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&gt;=90%</w:t>
            </w:r>
          </w:p>
        </w:tc>
        <w:tc>
          <w:tcPr>
            <w:tcW w:w="1267" w:type="dxa"/>
            <w:tcBorders>
              <w:top w:val="single" w:color="auto" w:sz="6" w:space="0"/>
              <w:left w:val="single" w:color="auto" w:sz="6" w:space="0"/>
              <w:bottom w:val="single" w:color="auto" w:sz="6" w:space="0"/>
              <w:right w:val="single" w:color="auto" w:sz="6"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97.5%</w:t>
            </w:r>
          </w:p>
        </w:tc>
        <w:tc>
          <w:tcPr>
            <w:tcW w:w="7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w:t>
            </w:r>
          </w:p>
        </w:tc>
      </w:tr>
      <w:tr>
        <w:tblPrEx>
          <w:tblCellMar>
            <w:top w:w="0" w:type="dxa"/>
            <w:left w:w="0" w:type="dxa"/>
            <w:bottom w:w="0" w:type="dxa"/>
            <w:right w:w="0" w:type="dxa"/>
          </w:tblCellMar>
        </w:tblPrEx>
        <w:trPr>
          <w:trHeight w:val="93" w:hRule="atLeast"/>
        </w:trPr>
        <w:tc>
          <w:tcPr>
            <w:tcW w:w="66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等线" w:hAnsi="等线" w:eastAsia="等线" w:cs="宋体"/>
                <w:color w:val="auto"/>
                <w:kern w:val="0"/>
                <w:sz w:val="22"/>
                <w:lang w:val="en-US"/>
              </w:rPr>
            </w:pPr>
            <w:r>
              <w:rPr>
                <w:rFonts w:hint="default" w:ascii="宋体" w:hAnsi="宋体" w:eastAsia="宋体" w:cs="宋体"/>
                <w:color w:val="auto"/>
                <w:kern w:val="0"/>
                <w:sz w:val="18"/>
                <w:szCs w:val="18"/>
                <w:lang w:val="en-US"/>
              </w:rPr>
              <w:t>100</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等线" w:hAnsi="等线" w:eastAsia="等线" w:cs="宋体"/>
                <w:color w:val="auto"/>
                <w:kern w:val="0"/>
                <w:sz w:val="22"/>
                <w:lang w:val="en-US"/>
              </w:rPr>
            </w:pPr>
            <w:r>
              <w:rPr>
                <w:rFonts w:hint="default" w:ascii="宋体" w:hAnsi="宋体" w:eastAsia="宋体" w:cs="宋体"/>
                <w:color w:val="auto"/>
                <w:kern w:val="0"/>
                <w:sz w:val="18"/>
                <w:szCs w:val="18"/>
                <w:lang w:val="en-US"/>
              </w:rPr>
              <w:t>98.93</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auto"/>
                <w:kern w:val="0"/>
                <w:sz w:val="22"/>
              </w:rPr>
            </w:pPr>
            <w:r>
              <w:rPr>
                <w:rFonts w:hint="default" w:ascii="宋体" w:hAnsi="宋体" w:eastAsia="宋体" w:cs="宋体"/>
                <w:color w:val="auto"/>
                <w:kern w:val="0"/>
                <w:sz w:val="18"/>
                <w:szCs w:val="18"/>
                <w:lang w:val="en-US"/>
              </w:rPr>
              <w:t>98.93</w:t>
            </w:r>
            <w:r>
              <w:rPr>
                <w:rFonts w:hint="eastAsia" w:ascii="宋体" w:hAnsi="宋体" w:eastAsia="宋体" w:cs="宋体"/>
                <w:color w:val="auto"/>
                <w:kern w:val="0"/>
                <w:sz w:val="18"/>
                <w:szCs w:val="18"/>
              </w:rPr>
              <w:t>%</w:t>
            </w:r>
          </w:p>
        </w:tc>
      </w:tr>
    </w:tbl>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（1）产出指标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产出指标包括数量指标、质量指标、时效指标、成本指标四个二级指标。总分值50分，得分</w:t>
      </w:r>
      <w:r>
        <w:rPr>
          <w:rFonts w:hint="default" w:ascii="仿宋_GB2312" w:hAnsi="Times New Roman" w:eastAsia="仿宋_GB2312" w:cs="Times New Roman"/>
          <w:color w:val="auto"/>
          <w:kern w:val="2"/>
          <w:sz w:val="32"/>
          <w:szCs w:val="32"/>
          <w:lang w:val="en-US" w:eastAsia="zh-CN" w:bidi="ar-SA"/>
        </w:rPr>
        <w:t>50</w:t>
      </w:r>
      <w:r>
        <w:rPr>
          <w:rFonts w:hint="eastAsia" w:ascii="仿宋_GB2312" w:hAnsi="Times New Roman" w:eastAsia="仿宋_GB2312" w:cs="Times New Roman"/>
          <w:color w:val="auto"/>
          <w:kern w:val="2"/>
          <w:sz w:val="32"/>
          <w:szCs w:val="32"/>
          <w:lang w:val="en-US" w:eastAsia="zh-CN" w:bidi="ar-SA"/>
        </w:rPr>
        <w:t>分，得分率</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数量指标下设结案率、培训工作完成率、日常维护维修工作完成率等，均达到设定的目标值。202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年结案率</w:t>
      </w:r>
      <w:r>
        <w:rPr>
          <w:rFonts w:hint="default" w:ascii="仿宋_GB2312" w:hAnsi="Times New Roman" w:eastAsia="仿宋_GB2312" w:cs="Times New Roman"/>
          <w:color w:val="auto"/>
          <w:kern w:val="2"/>
          <w:sz w:val="32"/>
          <w:szCs w:val="32"/>
          <w:lang w:val="en-US" w:eastAsia="zh-CN" w:bidi="ar-SA"/>
        </w:rPr>
        <w:t>97.88</w:t>
      </w:r>
      <w:r>
        <w:rPr>
          <w:rFonts w:hint="eastAsia" w:ascii="仿宋_GB2312" w:hAnsi="Times New Roman" w:eastAsia="仿宋_GB2312" w:cs="Times New Roman"/>
          <w:color w:val="auto"/>
          <w:kern w:val="2"/>
          <w:sz w:val="32"/>
          <w:szCs w:val="32"/>
          <w:lang w:val="en-US" w:eastAsia="zh-CN" w:bidi="ar-SA"/>
        </w:rPr>
        <w:t>%。该指标分值1</w:t>
      </w:r>
      <w:r>
        <w:rPr>
          <w:rFonts w:hint="default" w:ascii="仿宋_GB2312" w:hAnsi="Times New Roman" w:eastAsia="仿宋_GB2312" w:cs="Times New Roman"/>
          <w:color w:val="auto"/>
          <w:kern w:val="2"/>
          <w:sz w:val="32"/>
          <w:szCs w:val="32"/>
          <w:lang w:val="en-US" w:eastAsia="zh-CN" w:bidi="ar-SA"/>
        </w:rPr>
        <w:t>6.7</w:t>
      </w:r>
      <w:r>
        <w:rPr>
          <w:rFonts w:hint="eastAsia" w:ascii="仿宋_GB2312" w:hAnsi="Times New Roman" w:eastAsia="仿宋_GB2312" w:cs="Times New Roman"/>
          <w:color w:val="auto"/>
          <w:kern w:val="2"/>
          <w:sz w:val="32"/>
          <w:szCs w:val="32"/>
          <w:lang w:val="en-US" w:eastAsia="zh-CN" w:bidi="ar-SA"/>
        </w:rPr>
        <w:t>分，按评价标准自评得分为1</w:t>
      </w:r>
      <w:r>
        <w:rPr>
          <w:rFonts w:hint="default" w:ascii="仿宋_GB2312" w:hAnsi="Times New Roman" w:eastAsia="仿宋_GB2312" w:cs="Times New Roman"/>
          <w:color w:val="auto"/>
          <w:kern w:val="2"/>
          <w:sz w:val="32"/>
          <w:szCs w:val="32"/>
          <w:lang w:val="en-US" w:eastAsia="zh-CN" w:bidi="ar-SA"/>
        </w:rPr>
        <w:t>6.7</w:t>
      </w:r>
      <w:r>
        <w:rPr>
          <w:rFonts w:hint="eastAsia" w:ascii="仿宋_GB2312" w:hAnsi="Times New Roman" w:eastAsia="仿宋_GB2312" w:cs="Times New Roman"/>
          <w:color w:val="auto"/>
          <w:kern w:val="2"/>
          <w:sz w:val="32"/>
          <w:szCs w:val="32"/>
          <w:lang w:val="en-US" w:eastAsia="zh-CN" w:bidi="ar-SA"/>
        </w:rPr>
        <w:t>分，得分率为100%。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质量指标下设一审服判息诉率、上诉改判率、培训考核通过率3个指标，均达到设定的目标值。该指标分值</w:t>
      </w:r>
      <w:r>
        <w:rPr>
          <w:rFonts w:hint="default" w:ascii="仿宋_GB2312" w:hAnsi="Times New Roman" w:eastAsia="仿宋_GB2312" w:cs="Times New Roman"/>
          <w:color w:val="auto"/>
          <w:kern w:val="2"/>
          <w:sz w:val="32"/>
          <w:szCs w:val="32"/>
          <w:lang w:val="en-US" w:eastAsia="zh-CN" w:bidi="ar-SA"/>
        </w:rPr>
        <w:t>16.65</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16.65</w:t>
      </w:r>
      <w:r>
        <w:rPr>
          <w:rFonts w:hint="eastAsia" w:ascii="仿宋_GB2312" w:hAnsi="Times New Roman" w:eastAsia="仿宋_GB2312" w:cs="Times New Roman"/>
          <w:color w:val="auto"/>
          <w:kern w:val="2"/>
          <w:sz w:val="32"/>
          <w:szCs w:val="32"/>
          <w:lang w:val="en-US" w:eastAsia="zh-CN" w:bidi="ar-SA"/>
        </w:rPr>
        <w:t>分，得分率为100%。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时效指标下设法定审限内结案率、培训工作开展及时性、设备购置及日常维修维护及时率。202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年我院依法开展刑事审判，全力维护社会稳定；妥善解决民商纠纷，积极化解社会矛盾；加强行政审判工作，促进法制政府建设；办案经费支出及时。达到预期目标，该指标分值</w:t>
      </w:r>
      <w:r>
        <w:rPr>
          <w:rFonts w:hint="default" w:ascii="仿宋_GB2312" w:hAnsi="Times New Roman" w:eastAsia="仿宋_GB2312" w:cs="Times New Roman"/>
          <w:color w:val="auto"/>
          <w:kern w:val="2"/>
          <w:sz w:val="32"/>
          <w:szCs w:val="32"/>
          <w:lang w:val="en-US" w:eastAsia="zh-CN" w:bidi="ar-SA"/>
        </w:rPr>
        <w:t>16.65</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16.65</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（2）效益指标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效益指标包括经济效益、社会效益指标</w:t>
      </w:r>
      <w:r>
        <w:rPr>
          <w:rFonts w:hint="default" w:ascii="仿宋_GB2312" w:hAnsi="Times New Roman" w:eastAsia="仿宋_GB2312" w:cs="Times New Roman"/>
          <w:color w:val="auto"/>
          <w:kern w:val="2"/>
          <w:sz w:val="32"/>
          <w:szCs w:val="32"/>
          <w:lang w:val="en-US" w:eastAsia="zh-CN" w:bidi="ar-SA"/>
        </w:rPr>
        <w:t>2</w:t>
      </w:r>
      <w:r>
        <w:rPr>
          <w:rFonts w:hint="eastAsia" w:ascii="仿宋_GB2312" w:hAnsi="Times New Roman" w:eastAsia="仿宋_GB2312" w:cs="Times New Roman"/>
          <w:color w:val="auto"/>
          <w:kern w:val="2"/>
          <w:sz w:val="32"/>
          <w:szCs w:val="32"/>
          <w:lang w:val="en-US" w:eastAsia="zh-CN" w:bidi="ar-SA"/>
        </w:rPr>
        <w:t>个二级指标。总分值30分，得分</w:t>
      </w:r>
      <w:r>
        <w:rPr>
          <w:rFonts w:hint="default" w:ascii="仿宋_GB2312" w:hAnsi="Times New Roman" w:eastAsia="仿宋_GB2312" w:cs="Times New Roman"/>
          <w:color w:val="auto"/>
          <w:kern w:val="2"/>
          <w:sz w:val="32"/>
          <w:szCs w:val="32"/>
          <w:lang w:val="en-US" w:eastAsia="zh-CN" w:bidi="ar-SA"/>
        </w:rPr>
        <w:t>28.93</w:t>
      </w:r>
      <w:r>
        <w:rPr>
          <w:rFonts w:hint="eastAsia" w:ascii="仿宋_GB2312" w:hAnsi="Times New Roman" w:eastAsia="仿宋_GB2312" w:cs="Times New Roman"/>
          <w:color w:val="auto"/>
          <w:kern w:val="2"/>
          <w:sz w:val="32"/>
          <w:szCs w:val="32"/>
          <w:lang w:val="en-US" w:eastAsia="zh-CN" w:bidi="ar-SA"/>
        </w:rPr>
        <w:t>分，得分率</w:t>
      </w:r>
      <w:r>
        <w:rPr>
          <w:rFonts w:hint="default" w:ascii="仿宋_GB2312" w:hAnsi="Times New Roman" w:eastAsia="仿宋_GB2312" w:cs="Times New Roman"/>
          <w:color w:val="auto"/>
          <w:kern w:val="2"/>
          <w:sz w:val="32"/>
          <w:szCs w:val="32"/>
          <w:lang w:val="en-US" w:eastAsia="zh-CN" w:bidi="ar-SA"/>
        </w:rPr>
        <w:t>96.43</w:t>
      </w:r>
      <w:r>
        <w:rPr>
          <w:rFonts w:hint="eastAsia" w:ascii="仿宋_GB2312" w:hAnsi="Times New Roman" w:eastAsia="仿宋_GB2312" w:cs="Times New Roman"/>
          <w:color w:val="auto"/>
          <w:kern w:val="2"/>
          <w:sz w:val="32"/>
          <w:szCs w:val="32"/>
          <w:lang w:val="en-US" w:eastAsia="zh-CN" w:bidi="ar-SA"/>
        </w:rPr>
        <w:t>%。</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经济效益下设执行标的到位率1个三级指标，该指标分值</w:t>
      </w:r>
      <w:r>
        <w:rPr>
          <w:rFonts w:hint="default" w:ascii="仿宋_GB2312" w:hAnsi="Times New Roman" w:eastAsia="仿宋_GB2312" w:cs="Times New Roman"/>
          <w:color w:val="auto"/>
          <w:kern w:val="2"/>
          <w:sz w:val="32"/>
          <w:szCs w:val="32"/>
          <w:lang w:val="en-US" w:eastAsia="zh-CN" w:bidi="ar-SA"/>
        </w:rPr>
        <w:t>10</w:t>
      </w:r>
      <w:r>
        <w:rPr>
          <w:rFonts w:hint="eastAsia" w:ascii="仿宋_GB2312" w:hAnsi="Times New Roman" w:eastAsia="仿宋_GB2312" w:cs="Times New Roman"/>
          <w:color w:val="auto"/>
          <w:kern w:val="2"/>
          <w:sz w:val="32"/>
          <w:szCs w:val="32"/>
          <w:lang w:val="en-US" w:eastAsia="zh-CN" w:bidi="ar-SA"/>
        </w:rPr>
        <w:t>分，根据评分标准自评得分</w:t>
      </w:r>
      <w:r>
        <w:rPr>
          <w:rFonts w:hint="default" w:ascii="仿宋_GB2312" w:hAnsi="Times New Roman" w:eastAsia="仿宋_GB2312" w:cs="Times New Roman"/>
          <w:color w:val="auto"/>
          <w:kern w:val="2"/>
          <w:sz w:val="32"/>
          <w:szCs w:val="32"/>
          <w:lang w:val="en-US" w:eastAsia="zh-CN" w:bidi="ar-SA"/>
        </w:rPr>
        <w:t>8.93</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89.3%</w:t>
      </w:r>
      <w:r>
        <w:rPr>
          <w:rFonts w:hint="eastAsia" w:ascii="仿宋_GB2312" w:hAnsi="Times New Roman" w:eastAsia="仿宋_GB2312" w:cs="Times New Roman"/>
          <w:color w:val="auto"/>
          <w:kern w:val="2"/>
          <w:sz w:val="32"/>
          <w:szCs w:val="32"/>
          <w:lang w:val="en-US" w:eastAsia="zh-CN" w:bidi="ar-SA"/>
        </w:rPr>
        <w:t>。</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社会效益下设2个三级指标，陪审率、一审简易程序适用率。202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依法开展刑事审判，全力维护社会稳定；妥善解决民商纠纷，积极化解社会矛盾；加强行政审判工作，促进法制政府建设；全力破解执行难题，兑现涉诉合法权益，不断提高人民群众对法院信任度。该指标分值</w:t>
      </w:r>
      <w:r>
        <w:rPr>
          <w:rFonts w:hint="default" w:ascii="仿宋_GB2312" w:hAnsi="Times New Roman" w:eastAsia="仿宋_GB2312" w:cs="Times New Roman"/>
          <w:color w:val="auto"/>
          <w:kern w:val="2"/>
          <w:sz w:val="32"/>
          <w:szCs w:val="32"/>
          <w:lang w:val="en-US" w:eastAsia="zh-CN" w:bidi="ar-SA"/>
        </w:rPr>
        <w:t>20</w:t>
      </w:r>
      <w:r>
        <w:rPr>
          <w:rFonts w:hint="eastAsia" w:ascii="仿宋_GB2312" w:hAnsi="Times New Roman" w:eastAsia="仿宋_GB2312" w:cs="Times New Roman"/>
          <w:color w:val="auto"/>
          <w:kern w:val="2"/>
          <w:sz w:val="32"/>
          <w:szCs w:val="32"/>
          <w:lang w:val="en-US" w:eastAsia="zh-CN" w:bidi="ar-SA"/>
        </w:rPr>
        <w:t>分，根据评分标准自评得分</w:t>
      </w:r>
      <w:r>
        <w:rPr>
          <w:rFonts w:hint="default" w:ascii="仿宋_GB2312" w:hAnsi="Times New Roman" w:eastAsia="仿宋_GB2312" w:cs="Times New Roman"/>
          <w:color w:val="auto"/>
          <w:kern w:val="2"/>
          <w:sz w:val="32"/>
          <w:szCs w:val="32"/>
          <w:lang w:val="en-US" w:eastAsia="zh-CN" w:bidi="ar-SA"/>
        </w:rPr>
        <w:t>20</w:t>
      </w:r>
      <w:r>
        <w:rPr>
          <w:rFonts w:hint="eastAsia" w:ascii="仿宋_GB2312" w:hAnsi="Times New Roman" w:eastAsia="仿宋_GB2312" w:cs="Times New Roman"/>
          <w:color w:val="auto"/>
          <w:kern w:val="2"/>
          <w:sz w:val="32"/>
          <w:szCs w:val="32"/>
          <w:lang w:val="en-US" w:eastAsia="zh-CN" w:bidi="ar-SA"/>
        </w:rPr>
        <w:t>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（3）满意度指标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满意度指标指相关受益群体的满意度，本次自评满意度指标设置为人民群众满意度和培训人员满意率。202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在院党组的正确领导和分管院领导的悉心指导下，坚持以审判需求为导向、以司法能力建设为核心、以社会责任为目标，忠实履职尽责，主动担当作为，在常态化疫情防控形势下书写了本院工作高质量发展的新篇章，通过满意度调查，人民群众对法院工作满意，培训人员对单位工作满意，达到了目标值。该指标分值10分，根据评分标准自评得分10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（4）偏离绩效目标的原因及下一步改进措施</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我院中央政法转移支付资金没有偏离绩效目标。</w:t>
      </w:r>
    </w:p>
    <w:p>
      <w:pPr>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（二）项目2- 业务费</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1、项目支出预算执行情况</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业务费全年预算数</w:t>
      </w:r>
      <w:r>
        <w:rPr>
          <w:rFonts w:hint="default" w:ascii="仿宋_GB2312" w:hAnsi="Times New Roman" w:eastAsia="仿宋_GB2312" w:cs="Times New Roman"/>
          <w:color w:val="auto"/>
          <w:kern w:val="2"/>
          <w:sz w:val="32"/>
          <w:szCs w:val="32"/>
          <w:lang w:val="en-US" w:eastAsia="zh-CN" w:bidi="ar-SA"/>
        </w:rPr>
        <w:t>265</w:t>
      </w:r>
      <w:r>
        <w:rPr>
          <w:rFonts w:hint="eastAsia" w:ascii="仿宋_GB2312" w:hAnsi="Times New Roman" w:eastAsia="仿宋_GB2312" w:cs="Times New Roman"/>
          <w:color w:val="auto"/>
          <w:kern w:val="2"/>
          <w:sz w:val="32"/>
          <w:szCs w:val="32"/>
          <w:lang w:val="en-US" w:eastAsia="zh-CN" w:bidi="ar-SA"/>
        </w:rPr>
        <w:t>万元，全年执行数</w:t>
      </w:r>
      <w:r>
        <w:rPr>
          <w:rFonts w:hint="default" w:ascii="仿宋_GB2312" w:hAnsi="Times New Roman" w:eastAsia="仿宋_GB2312" w:cs="Times New Roman"/>
          <w:color w:val="auto"/>
          <w:kern w:val="2"/>
          <w:sz w:val="32"/>
          <w:szCs w:val="32"/>
          <w:lang w:val="en-US" w:eastAsia="zh-CN" w:bidi="ar-SA"/>
        </w:rPr>
        <w:t>264.64</w:t>
      </w:r>
      <w:r>
        <w:rPr>
          <w:rFonts w:hint="eastAsia" w:ascii="仿宋_GB2312" w:hAnsi="Times New Roman" w:eastAsia="仿宋_GB2312" w:cs="Times New Roman"/>
          <w:color w:val="auto"/>
          <w:kern w:val="2"/>
          <w:sz w:val="32"/>
          <w:szCs w:val="32"/>
          <w:lang w:val="en-US" w:eastAsia="zh-CN" w:bidi="ar-SA"/>
        </w:rPr>
        <w:t>万元，预算执行率</w:t>
      </w:r>
      <w:r>
        <w:rPr>
          <w:rFonts w:hint="default" w:ascii="仿宋_GB2312" w:hAnsi="Times New Roman" w:eastAsia="仿宋_GB2312" w:cs="Times New Roman"/>
          <w:color w:val="auto"/>
          <w:kern w:val="2"/>
          <w:sz w:val="32"/>
          <w:szCs w:val="32"/>
          <w:lang w:val="en-US" w:eastAsia="zh-CN" w:bidi="ar-SA"/>
        </w:rPr>
        <w:t>99.86</w:t>
      </w:r>
      <w:r>
        <w:rPr>
          <w:rFonts w:hint="eastAsia" w:ascii="仿宋_GB2312" w:hAnsi="Times New Roman" w:eastAsia="仿宋_GB2312" w:cs="Times New Roman"/>
          <w:color w:val="auto"/>
          <w:kern w:val="2"/>
          <w:sz w:val="32"/>
          <w:szCs w:val="32"/>
          <w:lang w:val="en-US" w:eastAsia="zh-CN" w:bidi="ar-SA"/>
        </w:rPr>
        <w:t>%，满分10分，得分10分。</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2、总体绩效目标完成情况分析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业务费自评价得分100分，自评结果为“优”。</w:t>
      </w:r>
    </w:p>
    <w:p>
      <w:pPr>
        <w:ind w:firstLine="640" w:firstLineChars="200"/>
        <w:rPr>
          <w:color w:val="auto"/>
          <w:sz w:val="24"/>
          <w:szCs w:val="24"/>
          <w:highlight w:val="yellow"/>
        </w:rPr>
      </w:pPr>
      <w:r>
        <w:rPr>
          <w:rFonts w:hint="eastAsia" w:ascii="仿宋_GB2312" w:hAnsi="Times New Roman" w:eastAsia="仿宋_GB2312" w:cs="Times New Roman"/>
          <w:color w:val="auto"/>
          <w:kern w:val="2"/>
          <w:sz w:val="32"/>
          <w:szCs w:val="32"/>
          <w:lang w:val="en-US" w:eastAsia="zh-CN" w:bidi="ar-SA"/>
        </w:rPr>
        <w:t>本项目202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绩效目标实际完成情况如下：主要用于支付工作人员办理案件过程中需要开支的办公费、印刷费、电费、物业管理费、维修（护）费、劳务费、委托业务费、公务用车运行维护费、办公设备购置等支出。全年预算执行率</w:t>
      </w:r>
      <w:r>
        <w:rPr>
          <w:rFonts w:hint="default" w:ascii="仿宋_GB2312" w:hAnsi="Times New Roman" w:eastAsia="仿宋_GB2312" w:cs="Times New Roman"/>
          <w:color w:val="auto"/>
          <w:kern w:val="2"/>
          <w:sz w:val="32"/>
          <w:szCs w:val="32"/>
          <w:lang w:val="en-US" w:eastAsia="zh-CN" w:bidi="ar-SA"/>
        </w:rPr>
        <w:t>99.86</w:t>
      </w:r>
      <w:r>
        <w:rPr>
          <w:rFonts w:hint="eastAsia" w:ascii="仿宋_GB2312" w:hAnsi="Times New Roman" w:eastAsia="仿宋_GB2312" w:cs="Times New Roman"/>
          <w:color w:val="auto"/>
          <w:kern w:val="2"/>
          <w:sz w:val="32"/>
          <w:szCs w:val="32"/>
          <w:lang w:val="en-US" w:eastAsia="zh-CN" w:bidi="ar-SA"/>
        </w:rPr>
        <w:t>%，保障了办案业务工作正常开展。与预期的预算计划一致。</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3、各项指标完成情况分析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根据甘肃省财政厅关于加快推进预算绩效管理工作及甘肃省财政厅关于开展202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年度省级部门预算绩效运行监控工作等通知精神，项目支出指标设置权重为产出指标为50%，效益指标30%，满意度指标10%：二级指标8个，三级指标22个。</w:t>
      </w:r>
    </w:p>
    <w:tbl>
      <w:tblPr>
        <w:tblStyle w:val="10"/>
        <w:tblW w:w="9606" w:type="dxa"/>
        <w:tblInd w:w="0" w:type="dxa"/>
        <w:tblLayout w:type="autofit"/>
        <w:tblCellMar>
          <w:top w:w="0" w:type="dxa"/>
          <w:left w:w="0" w:type="dxa"/>
          <w:bottom w:w="0" w:type="dxa"/>
          <w:right w:w="0" w:type="dxa"/>
        </w:tblCellMar>
      </w:tblPr>
      <w:tblGrid>
        <w:gridCol w:w="1433"/>
        <w:gridCol w:w="1984"/>
        <w:gridCol w:w="1701"/>
        <w:gridCol w:w="1293"/>
        <w:gridCol w:w="945"/>
        <w:gridCol w:w="1125"/>
        <w:gridCol w:w="1125"/>
      </w:tblGrid>
      <w:tr>
        <w:tblPrEx>
          <w:tblCellMar>
            <w:top w:w="0" w:type="dxa"/>
            <w:left w:w="0" w:type="dxa"/>
            <w:bottom w:w="0" w:type="dxa"/>
            <w:right w:w="0"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二级指标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三级指标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年度指标值</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实际完成值</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分值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得分率</w:t>
            </w:r>
          </w:p>
        </w:tc>
      </w:tr>
      <w:tr>
        <w:tblPrEx>
          <w:tblCellMar>
            <w:top w:w="0" w:type="dxa"/>
            <w:left w:w="0" w:type="dxa"/>
            <w:bottom w:w="0" w:type="dxa"/>
            <w:right w:w="0" w:type="dxa"/>
          </w:tblCellMar>
        </w:tblPrEx>
        <w:trPr>
          <w:trHeight w:val="567" w:hRule="atLeast"/>
        </w:trPr>
        <w:tc>
          <w:tcPr>
            <w:tcW w:w="14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数量指标</w:t>
            </w: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刑事案件结案率</w:t>
            </w:r>
          </w:p>
        </w:tc>
        <w:tc>
          <w:tcPr>
            <w:tcW w:w="1701" w:type="dxa"/>
            <w:tcBorders>
              <w:top w:val="single" w:color="auto" w:sz="4" w:space="0"/>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&gt;=9</w:t>
            </w:r>
            <w:r>
              <w:rPr>
                <w:rFonts w:ascii="宋体" w:hAnsi="宋体" w:eastAsia="宋体" w:cs="宋体"/>
                <w:color w:val="auto"/>
                <w:kern w:val="0"/>
                <w:sz w:val="18"/>
                <w:szCs w:val="18"/>
              </w:rPr>
              <w:t>2</w:t>
            </w:r>
            <w:r>
              <w:rPr>
                <w:rFonts w:hint="eastAsia" w:ascii="宋体" w:hAnsi="宋体" w:eastAsia="宋体" w:cs="宋体"/>
                <w:color w:val="auto"/>
                <w:kern w:val="0"/>
                <w:sz w:val="18"/>
                <w:szCs w:val="18"/>
              </w:rPr>
              <w:t>%</w:t>
            </w:r>
          </w:p>
        </w:tc>
        <w:tc>
          <w:tcPr>
            <w:tcW w:w="1293"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default" w:ascii="宋体" w:hAnsi="宋体" w:eastAsia="宋体" w:cs="宋体"/>
                <w:color w:val="auto"/>
                <w:kern w:val="0"/>
                <w:sz w:val="18"/>
                <w:szCs w:val="18"/>
                <w:lang w:val="en-US"/>
              </w:rPr>
              <w:t>97.25</w:t>
            </w:r>
            <w:r>
              <w:rPr>
                <w:rFonts w:hint="eastAsia" w:ascii="宋体" w:hAnsi="宋体" w:eastAsia="宋体" w:cs="宋体"/>
                <w:color w:val="auto"/>
                <w:kern w:val="0"/>
                <w:sz w:val="18"/>
                <w:szCs w:val="18"/>
              </w:rPr>
              <w:t>%</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3.92</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rPr>
              <w:t>3.92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民商事案件结案率</w:t>
            </w: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&gt;=</w:t>
            </w:r>
            <w:r>
              <w:rPr>
                <w:rFonts w:ascii="宋体" w:hAnsi="宋体" w:eastAsia="宋体" w:cs="宋体"/>
                <w:color w:val="auto"/>
                <w:kern w:val="0"/>
                <w:sz w:val="18"/>
                <w:szCs w:val="18"/>
              </w:rPr>
              <w:t>90</w:t>
            </w:r>
            <w:r>
              <w:rPr>
                <w:rFonts w:hint="eastAsia" w:ascii="宋体" w:hAnsi="宋体" w:eastAsia="宋体" w:cs="宋体"/>
                <w:color w:val="auto"/>
                <w:kern w:val="0"/>
                <w:sz w:val="18"/>
                <w:szCs w:val="18"/>
              </w:rPr>
              <w:t>%</w:t>
            </w:r>
          </w:p>
        </w:tc>
        <w:tc>
          <w:tcPr>
            <w:tcW w:w="12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default" w:ascii="宋体" w:hAnsi="宋体" w:eastAsia="宋体" w:cs="宋体"/>
                <w:color w:val="auto"/>
                <w:kern w:val="0"/>
                <w:sz w:val="18"/>
                <w:szCs w:val="18"/>
                <w:lang w:val="en-US"/>
              </w:rPr>
              <w:t>97.64</w:t>
            </w:r>
            <w:r>
              <w:rPr>
                <w:rFonts w:ascii="宋体" w:hAnsi="宋体" w:eastAsia="宋体" w:cs="宋体"/>
                <w:color w:val="auto"/>
                <w:kern w:val="0"/>
                <w:sz w:val="18"/>
                <w:szCs w:val="18"/>
              </w:rPr>
              <w:t>%</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行政案件结案率</w:t>
            </w: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&gt;=</w:t>
            </w:r>
            <w:r>
              <w:rPr>
                <w:rFonts w:ascii="宋体" w:hAnsi="宋体" w:eastAsia="宋体" w:cs="宋体"/>
                <w:color w:val="auto"/>
                <w:kern w:val="0"/>
                <w:sz w:val="18"/>
                <w:szCs w:val="18"/>
              </w:rPr>
              <w:t>80</w:t>
            </w:r>
            <w:r>
              <w:rPr>
                <w:rFonts w:hint="eastAsia" w:ascii="宋体" w:hAnsi="宋体" w:eastAsia="宋体" w:cs="宋体"/>
                <w:color w:val="auto"/>
                <w:kern w:val="0"/>
                <w:sz w:val="18"/>
                <w:szCs w:val="18"/>
              </w:rPr>
              <w:t>%</w:t>
            </w:r>
          </w:p>
        </w:tc>
        <w:tc>
          <w:tcPr>
            <w:tcW w:w="12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default" w:ascii="宋体" w:hAnsi="宋体" w:eastAsia="宋体" w:cs="宋体"/>
                <w:color w:val="auto"/>
                <w:kern w:val="0"/>
                <w:sz w:val="18"/>
                <w:szCs w:val="18"/>
                <w:lang w:val="en-US"/>
              </w:rPr>
              <w:t>95.31</w:t>
            </w:r>
            <w:r>
              <w:rPr>
                <w:rFonts w:ascii="宋体" w:hAnsi="宋体" w:eastAsia="宋体" w:cs="宋体"/>
                <w:color w:val="auto"/>
                <w:kern w:val="0"/>
                <w:sz w:val="18"/>
                <w:szCs w:val="18"/>
              </w:rPr>
              <w:t>%</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执行案件结案率</w:t>
            </w: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&gt;=</w:t>
            </w:r>
            <w:r>
              <w:rPr>
                <w:rFonts w:ascii="宋体" w:hAnsi="宋体" w:eastAsia="宋体" w:cs="宋体"/>
                <w:color w:val="auto"/>
                <w:kern w:val="0"/>
                <w:sz w:val="18"/>
                <w:szCs w:val="18"/>
              </w:rPr>
              <w:t>82</w:t>
            </w:r>
            <w:r>
              <w:rPr>
                <w:rFonts w:hint="eastAsia" w:ascii="宋体" w:hAnsi="宋体" w:eastAsia="宋体" w:cs="宋体"/>
                <w:color w:val="auto"/>
                <w:kern w:val="0"/>
                <w:sz w:val="18"/>
                <w:szCs w:val="18"/>
              </w:rPr>
              <w:t>%</w:t>
            </w:r>
          </w:p>
        </w:tc>
        <w:tc>
          <w:tcPr>
            <w:tcW w:w="12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default" w:ascii="宋体" w:hAnsi="宋体" w:eastAsia="宋体" w:cs="宋体"/>
                <w:color w:val="auto"/>
                <w:kern w:val="0"/>
                <w:sz w:val="18"/>
                <w:szCs w:val="18"/>
                <w:lang w:val="en-US"/>
              </w:rPr>
              <w:t>97.49</w:t>
            </w:r>
            <w:r>
              <w:rPr>
                <w:rFonts w:ascii="宋体" w:hAnsi="宋体" w:eastAsia="宋体" w:cs="宋体"/>
                <w:color w:val="auto"/>
                <w:kern w:val="0"/>
                <w:sz w:val="18"/>
                <w:szCs w:val="18"/>
              </w:rPr>
              <w:t>%</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bidi="ar-SA"/>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color w:val="auto"/>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物业服务保障工作完成率</w:t>
            </w: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r>
              <w:rPr>
                <w:rFonts w:ascii="宋体" w:hAnsi="宋体" w:eastAsia="宋体" w:cs="宋体"/>
                <w:color w:val="auto"/>
                <w:kern w:val="0"/>
                <w:sz w:val="18"/>
                <w:szCs w:val="18"/>
              </w:rPr>
              <w:t>100</w:t>
            </w:r>
            <w:r>
              <w:rPr>
                <w:rFonts w:hint="eastAsia" w:ascii="宋体" w:hAnsi="宋体" w:eastAsia="宋体" w:cs="宋体"/>
                <w:color w:val="auto"/>
                <w:kern w:val="0"/>
                <w:sz w:val="18"/>
                <w:szCs w:val="18"/>
              </w:rPr>
              <w:t>%</w:t>
            </w:r>
          </w:p>
        </w:tc>
        <w:tc>
          <w:tcPr>
            <w:tcW w:w="12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100.00%</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color w:val="auto"/>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警车购置数</w:t>
            </w: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&gt;=1</w:t>
            </w:r>
          </w:p>
        </w:tc>
        <w:tc>
          <w:tcPr>
            <w:tcW w:w="12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color w:val="auto"/>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设备购置完成率</w:t>
            </w:r>
          </w:p>
        </w:tc>
        <w:tc>
          <w:tcPr>
            <w:tcW w:w="1701"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&gt;=</w:t>
            </w:r>
            <w:r>
              <w:rPr>
                <w:rFonts w:hint="default" w:ascii="宋体" w:hAnsi="宋体" w:eastAsia="宋体" w:cs="宋体"/>
                <w:color w:val="auto"/>
                <w:kern w:val="0"/>
                <w:sz w:val="18"/>
                <w:szCs w:val="18"/>
                <w:lang w:val="en-US"/>
              </w:rPr>
              <w:t>70</w:t>
            </w:r>
            <w:r>
              <w:rPr>
                <w:rFonts w:hint="eastAsia" w:ascii="宋体" w:hAnsi="宋体" w:eastAsia="宋体" w:cs="宋体"/>
                <w:color w:val="auto"/>
                <w:kern w:val="0"/>
                <w:sz w:val="18"/>
                <w:szCs w:val="18"/>
                <w:lang w:val="en-US"/>
              </w:rPr>
              <w:t>%</w:t>
            </w:r>
          </w:p>
        </w:tc>
        <w:tc>
          <w:tcPr>
            <w:tcW w:w="129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100.00%</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color w:val="auto"/>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质量指标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一审服判息诉率</w:t>
            </w:r>
          </w:p>
        </w:tc>
        <w:tc>
          <w:tcPr>
            <w:tcW w:w="170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&gt;=9</w:t>
            </w:r>
            <w:r>
              <w:rPr>
                <w:rFonts w:hint="default" w:ascii="宋体" w:hAnsi="宋体" w:eastAsia="宋体" w:cs="宋体"/>
                <w:color w:val="auto"/>
                <w:kern w:val="0"/>
                <w:sz w:val="18"/>
                <w:szCs w:val="18"/>
                <w:lang w:val="en-US"/>
              </w:rPr>
              <w:t>0</w:t>
            </w:r>
            <w:r>
              <w:rPr>
                <w:rFonts w:hint="eastAsia" w:ascii="宋体" w:hAnsi="宋体" w:eastAsia="宋体" w:cs="宋体"/>
                <w:color w:val="auto"/>
                <w:kern w:val="0"/>
                <w:sz w:val="18"/>
                <w:szCs w:val="18"/>
                <w:lang w:val="en-US"/>
              </w:rPr>
              <w:t>%</w:t>
            </w:r>
          </w:p>
        </w:tc>
        <w:tc>
          <w:tcPr>
            <w:tcW w:w="12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9</w:t>
            </w:r>
            <w:r>
              <w:rPr>
                <w:rFonts w:hint="default" w:ascii="宋体" w:hAnsi="宋体" w:eastAsia="宋体" w:cs="宋体"/>
                <w:color w:val="auto"/>
                <w:kern w:val="0"/>
                <w:sz w:val="18"/>
                <w:szCs w:val="18"/>
                <w:lang w:val="en-US"/>
              </w:rPr>
              <w:t>0</w:t>
            </w:r>
            <w:r>
              <w:rPr>
                <w:rFonts w:hint="eastAsia" w:ascii="宋体" w:hAnsi="宋体" w:eastAsia="宋体" w:cs="宋体"/>
                <w:color w:val="auto"/>
                <w:kern w:val="0"/>
                <w:sz w:val="18"/>
                <w:szCs w:val="18"/>
              </w:rPr>
              <w:t>%</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color w:val="auto"/>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上诉案件改判率</w:t>
            </w:r>
          </w:p>
        </w:tc>
        <w:tc>
          <w:tcPr>
            <w:tcW w:w="1701"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&lt;=10%</w:t>
            </w:r>
          </w:p>
        </w:tc>
        <w:tc>
          <w:tcPr>
            <w:tcW w:w="1293"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10</w:t>
            </w:r>
            <w:r>
              <w:rPr>
                <w:rFonts w:hint="eastAsia" w:ascii="宋体" w:hAnsi="宋体" w:eastAsia="宋体" w:cs="宋体"/>
                <w:color w:val="auto"/>
                <w:kern w:val="0"/>
                <w:sz w:val="18"/>
                <w:szCs w:val="18"/>
              </w:rPr>
              <w:t>%</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color w:val="auto"/>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设备警车验收合格率</w:t>
            </w:r>
          </w:p>
        </w:tc>
        <w:tc>
          <w:tcPr>
            <w:tcW w:w="1701" w:type="dxa"/>
            <w:tcBorders>
              <w:top w:val="nil"/>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=100%</w:t>
            </w:r>
          </w:p>
        </w:tc>
        <w:tc>
          <w:tcPr>
            <w:tcW w:w="1293"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100.00%</w:t>
            </w:r>
          </w:p>
        </w:tc>
        <w:tc>
          <w:tcPr>
            <w:tcW w:w="9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color w:val="auto"/>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时效指标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法定审限内结案率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&gt;=97%</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99.99</w:t>
            </w:r>
            <w:r>
              <w:rPr>
                <w:rFonts w:hint="eastAsia" w:ascii="宋体" w:hAnsi="宋体" w:eastAsia="宋体" w:cs="宋体"/>
                <w:color w:val="auto"/>
                <w:kern w:val="0"/>
                <w:sz w:val="18"/>
                <w:szCs w:val="18"/>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设备警车购置工作完成及时性</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及时</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物业服务保障及时性</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及时</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3.84</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执行标的到位率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&gt;=27%</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24.1</w:t>
            </w:r>
            <w:r>
              <w:rPr>
                <w:rFonts w:hint="eastAsia" w:ascii="宋体" w:hAnsi="宋体" w:eastAsia="宋体" w:cs="宋体"/>
                <w:color w:val="auto"/>
                <w:kern w:val="0"/>
                <w:sz w:val="18"/>
                <w:szCs w:val="18"/>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val="en-US"/>
              </w:rPr>
              <w:t>8.93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default" w:ascii="宋体" w:hAnsi="宋体" w:eastAsia="宋体" w:cs="宋体"/>
                <w:color w:val="auto"/>
                <w:kern w:val="0"/>
                <w:sz w:val="18"/>
                <w:szCs w:val="18"/>
                <w:lang w:val="en-US"/>
              </w:rPr>
              <w:t>89.3</w:t>
            </w:r>
            <w:r>
              <w:rPr>
                <w:rFonts w:hint="eastAsia" w:ascii="宋体" w:hAnsi="宋体" w:eastAsia="宋体" w:cs="宋体"/>
                <w:color w:val="auto"/>
                <w:kern w:val="0"/>
                <w:sz w:val="18"/>
                <w:szCs w:val="18"/>
              </w:rPr>
              <w:t>%</w:t>
            </w:r>
          </w:p>
        </w:tc>
      </w:tr>
      <w:tr>
        <w:tblPrEx>
          <w:tblCellMar>
            <w:top w:w="0" w:type="dxa"/>
            <w:left w:w="0" w:type="dxa"/>
            <w:bottom w:w="0" w:type="dxa"/>
            <w:right w:w="0" w:type="dxa"/>
          </w:tblCellMar>
        </w:tblPrEx>
        <w:trPr>
          <w:trHeight w:val="567"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社会效益指标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一审简易程序适用率</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rPr>
              <w:t>&gt;=</w:t>
            </w:r>
            <w:r>
              <w:rPr>
                <w:rFonts w:hint="default" w:ascii="宋体" w:hAnsi="宋体" w:eastAsia="宋体" w:cs="宋体"/>
                <w:color w:val="auto"/>
                <w:kern w:val="0"/>
                <w:sz w:val="18"/>
                <w:szCs w:val="18"/>
                <w:lang w:val="en-US"/>
              </w:rPr>
              <w:t>70</w:t>
            </w:r>
            <w:r>
              <w:rPr>
                <w:rFonts w:hint="eastAsia" w:ascii="宋体" w:hAnsi="宋体" w:eastAsia="宋体" w:cs="宋体"/>
                <w:color w:val="auto"/>
                <w:kern w:val="0"/>
                <w:sz w:val="18"/>
                <w:szCs w:val="18"/>
                <w:lang w:val="en-US"/>
              </w:rPr>
              <w:t>%</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US"/>
              </w:rPr>
              <w:t>84.54</w:t>
            </w:r>
            <w:r>
              <w:rPr>
                <w:rFonts w:hint="eastAsia" w:ascii="宋体" w:hAnsi="宋体" w:eastAsia="宋体" w:cs="宋体"/>
                <w:color w:val="auto"/>
                <w:kern w:val="0"/>
                <w:sz w:val="18"/>
                <w:szCs w:val="18"/>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生态效益</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环境类案件效益</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&gt;=</w:t>
            </w:r>
            <w:r>
              <w:rPr>
                <w:rFonts w:hint="default" w:ascii="宋体" w:hAnsi="宋体" w:eastAsia="宋体" w:cs="宋体"/>
                <w:color w:val="auto"/>
                <w:kern w:val="0"/>
                <w:sz w:val="18"/>
                <w:szCs w:val="18"/>
                <w:lang w:val="en-US"/>
              </w:rPr>
              <w:t>90</w:t>
            </w:r>
            <w:r>
              <w:rPr>
                <w:rFonts w:hint="eastAsia" w:ascii="宋体" w:hAnsi="宋体" w:eastAsia="宋体" w:cs="宋体"/>
                <w:color w:val="auto"/>
                <w:kern w:val="0"/>
                <w:sz w:val="18"/>
                <w:szCs w:val="18"/>
              </w:rPr>
              <w:t>%</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等线" w:hAnsi="等线" w:eastAsia="等线" w:cs="宋体"/>
                <w:color w:val="auto"/>
                <w:kern w:val="0"/>
                <w:sz w:val="18"/>
                <w:szCs w:val="18"/>
                <w:lang w:val="en-US"/>
              </w:rPr>
            </w:pPr>
            <w:r>
              <w:rPr>
                <w:rFonts w:hint="default" w:ascii="宋体" w:hAnsi="宋体" w:eastAsia="宋体" w:cs="宋体"/>
                <w:color w:val="auto"/>
                <w:kern w:val="0"/>
                <w:sz w:val="18"/>
                <w:szCs w:val="18"/>
                <w:lang w:val="en-US"/>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等线" w:hAnsi="等线" w:eastAsia="等线" w:cs="宋体"/>
                <w:color w:val="auto"/>
                <w:kern w:val="0"/>
                <w:sz w:val="18"/>
                <w:szCs w:val="18"/>
                <w:lang w:val="en-US" w:eastAsia="zh-CN" w:bidi="ar-SA"/>
              </w:rPr>
            </w:pPr>
            <w:r>
              <w:rPr>
                <w:rFonts w:hint="default" w:ascii="宋体" w:hAnsi="宋体" w:eastAsia="宋体" w:cs="宋体"/>
                <w:color w:val="auto"/>
                <w:kern w:val="0"/>
                <w:sz w:val="18"/>
                <w:szCs w:val="18"/>
                <w:lang w:val="en-US"/>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r>
              <w:rPr>
                <w:rFonts w:ascii="宋体" w:hAnsi="宋体" w:eastAsia="宋体" w:cs="宋体"/>
                <w:color w:val="auto"/>
                <w:kern w:val="0"/>
                <w:sz w:val="18"/>
                <w:szCs w:val="18"/>
              </w:rPr>
              <w:t>0%</w:t>
            </w:r>
          </w:p>
        </w:tc>
      </w:tr>
      <w:tr>
        <w:tblPrEx>
          <w:tblCellMar>
            <w:top w:w="0" w:type="dxa"/>
            <w:left w:w="0" w:type="dxa"/>
            <w:bottom w:w="0" w:type="dxa"/>
            <w:right w:w="0" w:type="dxa"/>
          </w:tblCellMar>
        </w:tblPrEx>
        <w:trPr>
          <w:trHeight w:val="567" w:hRule="atLeast"/>
        </w:trPr>
        <w:tc>
          <w:tcPr>
            <w:tcW w:w="1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服务对象满意度指标</w:t>
            </w: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人民群众满意度</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ascii="宋体" w:hAnsi="宋体" w:eastAsia="宋体" w:cs="宋体"/>
                <w:color w:val="auto"/>
                <w:kern w:val="0"/>
                <w:sz w:val="18"/>
                <w:szCs w:val="18"/>
              </w:rPr>
              <w:t>&gt;=85%</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等线" w:hAnsi="等线" w:eastAsia="等线" w:cs="宋体"/>
                <w:color w:val="auto"/>
                <w:kern w:val="0"/>
                <w:sz w:val="18"/>
                <w:szCs w:val="18"/>
                <w:lang w:val="en-US"/>
              </w:rPr>
            </w:pPr>
            <w:r>
              <w:rPr>
                <w:rFonts w:hint="default" w:ascii="宋体" w:hAnsi="宋体" w:eastAsia="宋体" w:cs="宋体"/>
                <w:color w:val="auto"/>
                <w:kern w:val="0"/>
                <w:sz w:val="18"/>
                <w:szCs w:val="18"/>
                <w:lang w:val="en-US"/>
              </w:rPr>
              <w:t>97.5%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lang w:val="en-US" w:eastAsia="zh-CN" w:bidi="ar-SA"/>
              </w:rPr>
            </w:pPr>
            <w:r>
              <w:rPr>
                <w:rFonts w:hint="eastAsia" w:ascii="宋体" w:hAnsi="宋体" w:eastAsia="宋体" w:cs="宋体"/>
                <w:color w:val="auto"/>
                <w:kern w:val="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1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等线" w:hAnsi="等线" w:eastAsia="等线" w:cs="宋体"/>
                <w:color w:val="auto"/>
                <w:kern w:val="0"/>
                <w:sz w:val="18"/>
                <w:szCs w:val="18"/>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工作人员满意度</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ascii="宋体" w:hAnsi="宋体" w:eastAsia="宋体" w:cs="宋体"/>
                <w:color w:val="auto"/>
                <w:kern w:val="0"/>
                <w:sz w:val="18"/>
                <w:szCs w:val="18"/>
              </w:rPr>
              <w:t>&gt;=85%</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ascii="宋体" w:hAnsi="宋体" w:eastAsia="宋体" w:cs="宋体"/>
                <w:color w:val="auto"/>
                <w:kern w:val="0"/>
                <w:sz w:val="18"/>
                <w:szCs w:val="18"/>
              </w:rPr>
              <w:t>9</w:t>
            </w:r>
            <w:r>
              <w:rPr>
                <w:rFonts w:hint="default" w:ascii="宋体" w:hAnsi="宋体" w:eastAsia="宋体" w:cs="宋体"/>
                <w:color w:val="auto"/>
                <w:kern w:val="0"/>
                <w:sz w:val="18"/>
                <w:szCs w:val="18"/>
                <w:lang w:val="en-US"/>
              </w:rPr>
              <w:t>7.</w:t>
            </w:r>
            <w:r>
              <w:rPr>
                <w:rFonts w:ascii="宋体" w:hAnsi="宋体" w:eastAsia="宋体" w:cs="宋体"/>
                <w:color w:val="auto"/>
                <w:kern w:val="0"/>
                <w:sz w:val="18"/>
                <w:szCs w:val="18"/>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rPr>
            </w:pPr>
            <w:r>
              <w:rPr>
                <w:rFonts w:hint="eastAsia" w:ascii="宋体" w:hAnsi="宋体" w:eastAsia="宋体" w:cs="宋体"/>
                <w:color w:val="auto"/>
                <w:kern w:val="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等线" w:hAnsi="等线" w:eastAsia="等线" w:cs="宋体"/>
                <w:color w:val="auto"/>
                <w:kern w:val="0"/>
                <w:sz w:val="18"/>
                <w:szCs w:val="18"/>
                <w:lang w:val="en-US" w:eastAsia="zh-CN" w:bidi="ar-SA"/>
              </w:rPr>
            </w:pPr>
            <w:r>
              <w:rPr>
                <w:rFonts w:hint="eastAsia" w:ascii="宋体" w:hAnsi="宋体" w:eastAsia="宋体" w:cs="宋体"/>
                <w:color w:val="auto"/>
                <w:kern w:val="0"/>
                <w:sz w:val="18"/>
                <w:szCs w:val="18"/>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0" w:type="dxa"/>
            <w:bottom w:w="0" w:type="dxa"/>
            <w:right w:w="0" w:type="dxa"/>
          </w:tblCellMar>
        </w:tblPrEx>
        <w:trPr>
          <w:trHeight w:val="567" w:hRule="atLeast"/>
        </w:trPr>
        <w:tc>
          <w:tcPr>
            <w:tcW w:w="51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auto"/>
                <w:kern w:val="0"/>
                <w:sz w:val="18"/>
                <w:szCs w:val="18"/>
              </w:rPr>
            </w:pPr>
            <w:r>
              <w:rPr>
                <w:rFonts w:hint="eastAsia" w:ascii="等线" w:hAnsi="等线" w:eastAsia="等线" w:cs="宋体"/>
                <w:color w:val="auto"/>
                <w:kern w:val="0"/>
                <w:sz w:val="18"/>
                <w:szCs w:val="18"/>
              </w:rPr>
              <w:t>合计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auto"/>
                <w:kern w:val="0"/>
                <w:sz w:val="18"/>
                <w:szCs w:val="18"/>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等线" w:hAnsi="等线" w:eastAsia="等线" w:cs="宋体"/>
                <w:color w:val="auto"/>
                <w:kern w:val="0"/>
                <w:sz w:val="18"/>
                <w:szCs w:val="18"/>
                <w:lang w:val="en-US"/>
              </w:rPr>
            </w:pPr>
            <w:r>
              <w:rPr>
                <w:rFonts w:hint="default" w:ascii="等线" w:hAnsi="等线" w:eastAsia="等线" w:cs="宋体"/>
                <w:color w:val="auto"/>
                <w:kern w:val="0"/>
                <w:sz w:val="18"/>
                <w:szCs w:val="18"/>
                <w:lang w:val="en-US"/>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等线" w:hAnsi="等线" w:eastAsia="等线" w:cs="宋体"/>
                <w:color w:val="auto"/>
                <w:kern w:val="0"/>
                <w:sz w:val="18"/>
                <w:szCs w:val="18"/>
                <w:lang w:val="en-US"/>
              </w:rPr>
            </w:pPr>
            <w:r>
              <w:rPr>
                <w:rFonts w:hint="default" w:ascii="等线" w:hAnsi="等线" w:eastAsia="等线" w:cs="宋体"/>
                <w:color w:val="auto"/>
                <w:kern w:val="0"/>
                <w:sz w:val="18"/>
                <w:szCs w:val="18"/>
                <w:lang w:val="en-US"/>
              </w:rPr>
              <w:t>98.93</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等线" w:hAnsi="等线" w:eastAsia="等线" w:cs="宋体"/>
                <w:color w:val="auto"/>
                <w:kern w:val="0"/>
                <w:sz w:val="18"/>
                <w:szCs w:val="18"/>
              </w:rPr>
            </w:pPr>
            <w:r>
              <w:rPr>
                <w:rFonts w:hint="default" w:ascii="等线" w:hAnsi="等线" w:eastAsia="等线" w:cs="宋体"/>
                <w:color w:val="auto"/>
                <w:kern w:val="0"/>
                <w:sz w:val="18"/>
                <w:szCs w:val="18"/>
                <w:lang w:val="en-US"/>
              </w:rPr>
              <w:t>98.93</w:t>
            </w:r>
            <w:r>
              <w:rPr>
                <w:rFonts w:hint="eastAsia" w:ascii="等线" w:hAnsi="等线" w:eastAsia="等线" w:cs="宋体"/>
                <w:color w:val="auto"/>
                <w:kern w:val="0"/>
                <w:sz w:val="18"/>
                <w:szCs w:val="18"/>
              </w:rPr>
              <w:t>%</w:t>
            </w:r>
          </w:p>
        </w:tc>
      </w:tr>
    </w:tbl>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（1）产出指标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产出指标包括数量指标、质量指标、时效指标、成本指标四个二级指标。总分值50分，得分50分，得分率100%。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数量指标主要下设各类案件结案率等指标，均达到了设定的目标值，202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年，刑事案件结案率9</w:t>
      </w:r>
      <w:r>
        <w:rPr>
          <w:rFonts w:hint="default" w:ascii="仿宋_GB2312" w:hAnsi="Times New Roman" w:eastAsia="仿宋_GB2312" w:cs="Times New Roman"/>
          <w:color w:val="auto"/>
          <w:kern w:val="2"/>
          <w:sz w:val="32"/>
          <w:szCs w:val="32"/>
          <w:lang w:val="en-US" w:eastAsia="zh-CN" w:bidi="ar-SA"/>
        </w:rPr>
        <w:t>7.25</w:t>
      </w:r>
      <w:r>
        <w:rPr>
          <w:rFonts w:hint="eastAsia" w:ascii="仿宋_GB2312" w:hAnsi="Times New Roman" w:eastAsia="仿宋_GB2312" w:cs="Times New Roman"/>
          <w:color w:val="auto"/>
          <w:kern w:val="2"/>
          <w:sz w:val="32"/>
          <w:szCs w:val="32"/>
          <w:lang w:val="en-US" w:eastAsia="zh-CN" w:bidi="ar-SA"/>
        </w:rPr>
        <w:t>%，民商事案件结案率9</w:t>
      </w:r>
      <w:r>
        <w:rPr>
          <w:rFonts w:hint="default" w:ascii="仿宋_GB2312" w:hAnsi="Times New Roman" w:eastAsia="仿宋_GB2312" w:cs="Times New Roman"/>
          <w:color w:val="auto"/>
          <w:kern w:val="2"/>
          <w:sz w:val="32"/>
          <w:szCs w:val="32"/>
          <w:lang w:val="en-US" w:eastAsia="zh-CN" w:bidi="ar-SA"/>
        </w:rPr>
        <w:t>7.6</w:t>
      </w:r>
      <w:r>
        <w:rPr>
          <w:rFonts w:hint="eastAsia" w:ascii="仿宋_GB2312" w:hAnsi="Times New Roman" w:eastAsia="仿宋_GB2312" w:cs="Times New Roman"/>
          <w:color w:val="auto"/>
          <w:kern w:val="2"/>
          <w:sz w:val="32"/>
          <w:szCs w:val="32"/>
          <w:lang w:val="en-US" w:eastAsia="zh-CN" w:bidi="ar-SA"/>
        </w:rPr>
        <w:t>4%，行政案件结案率</w:t>
      </w:r>
      <w:r>
        <w:rPr>
          <w:rFonts w:hint="default" w:ascii="仿宋_GB2312" w:hAnsi="Times New Roman" w:eastAsia="仿宋_GB2312" w:cs="Times New Roman"/>
          <w:color w:val="auto"/>
          <w:kern w:val="2"/>
          <w:sz w:val="32"/>
          <w:szCs w:val="32"/>
          <w:lang w:val="en-US" w:eastAsia="zh-CN" w:bidi="ar-SA"/>
        </w:rPr>
        <w:t>95.31</w:t>
      </w:r>
      <w:r>
        <w:rPr>
          <w:rFonts w:hint="eastAsia" w:ascii="仿宋_GB2312" w:hAnsi="Times New Roman" w:eastAsia="仿宋_GB2312" w:cs="Times New Roman"/>
          <w:color w:val="auto"/>
          <w:kern w:val="2"/>
          <w:sz w:val="32"/>
          <w:szCs w:val="32"/>
          <w:lang w:val="en-US" w:eastAsia="zh-CN" w:bidi="ar-SA"/>
        </w:rPr>
        <w:t>%，执行案件结案率</w:t>
      </w:r>
      <w:r>
        <w:rPr>
          <w:rFonts w:hint="default" w:ascii="仿宋_GB2312" w:hAnsi="Times New Roman" w:eastAsia="仿宋_GB2312" w:cs="Times New Roman"/>
          <w:color w:val="auto"/>
          <w:kern w:val="2"/>
          <w:sz w:val="32"/>
          <w:szCs w:val="32"/>
          <w:lang w:val="en-US" w:eastAsia="zh-CN" w:bidi="ar-SA"/>
        </w:rPr>
        <w:t>97.49</w:t>
      </w:r>
      <w:r>
        <w:rPr>
          <w:rFonts w:hint="eastAsia" w:ascii="仿宋_GB2312" w:hAnsi="Times New Roman" w:eastAsia="仿宋_GB2312" w:cs="Times New Roman"/>
          <w:color w:val="auto"/>
          <w:kern w:val="2"/>
          <w:sz w:val="32"/>
          <w:szCs w:val="32"/>
          <w:lang w:val="en-US" w:eastAsia="zh-CN" w:bidi="ar-SA"/>
        </w:rPr>
        <w:t>%。该指标分值</w:t>
      </w:r>
      <w:r>
        <w:rPr>
          <w:rFonts w:hint="default" w:ascii="仿宋_GB2312" w:hAnsi="Times New Roman" w:eastAsia="仿宋_GB2312" w:cs="Times New Roman"/>
          <w:color w:val="auto"/>
          <w:kern w:val="2"/>
          <w:sz w:val="32"/>
          <w:szCs w:val="32"/>
          <w:lang w:val="en-US" w:eastAsia="zh-CN" w:bidi="ar-SA"/>
        </w:rPr>
        <w:t>26.96</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26.96</w:t>
      </w:r>
      <w:r>
        <w:rPr>
          <w:rFonts w:hint="eastAsia" w:ascii="仿宋_GB2312" w:hAnsi="Times New Roman" w:eastAsia="仿宋_GB2312" w:cs="Times New Roman"/>
          <w:color w:val="auto"/>
          <w:kern w:val="2"/>
          <w:sz w:val="32"/>
          <w:szCs w:val="32"/>
          <w:lang w:val="en-US" w:eastAsia="zh-CN" w:bidi="ar-SA"/>
        </w:rPr>
        <w:t>分，得分率为100%。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质量指标下设一审服判息诉率、上诉改判率 、警车及设备验收合格率，均达到预期目标，该指标分值</w:t>
      </w:r>
      <w:r>
        <w:rPr>
          <w:rFonts w:hint="default" w:ascii="仿宋_GB2312" w:hAnsi="Times New Roman" w:eastAsia="仿宋_GB2312" w:cs="Times New Roman"/>
          <w:color w:val="auto"/>
          <w:kern w:val="2"/>
          <w:sz w:val="32"/>
          <w:szCs w:val="32"/>
          <w:lang w:val="en-US" w:eastAsia="zh-CN" w:bidi="ar-SA"/>
        </w:rPr>
        <w:t>11.52</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11.52</w:t>
      </w:r>
      <w:r>
        <w:rPr>
          <w:rFonts w:hint="eastAsia" w:ascii="仿宋_GB2312" w:hAnsi="Times New Roman" w:eastAsia="仿宋_GB2312" w:cs="Times New Roman"/>
          <w:color w:val="auto"/>
          <w:kern w:val="2"/>
          <w:sz w:val="32"/>
          <w:szCs w:val="32"/>
          <w:lang w:val="en-US" w:eastAsia="zh-CN" w:bidi="ar-SA"/>
        </w:rPr>
        <w:t>分，得分率为100%。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时效指标下设法定审限内结案率、警车及设备购置工作完成及时性、物业服务保障及时性指标，202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年我院依法开展刑事审判，全力维护社会稳定；妥善解决民商纠纷，积极化解社会矛盾；加强行政审判工作，促进法制政府建设，办案经费支出及时、维修维护完工及时。达到预期目标，该指标分值</w:t>
      </w:r>
      <w:r>
        <w:rPr>
          <w:rFonts w:hint="default" w:ascii="仿宋_GB2312" w:hAnsi="Times New Roman" w:eastAsia="仿宋_GB2312" w:cs="Times New Roman"/>
          <w:color w:val="auto"/>
          <w:kern w:val="2"/>
          <w:sz w:val="32"/>
          <w:szCs w:val="32"/>
          <w:lang w:val="en-US" w:eastAsia="zh-CN" w:bidi="ar-SA"/>
        </w:rPr>
        <w:t>11.52</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11.52</w:t>
      </w:r>
      <w:r>
        <w:rPr>
          <w:rFonts w:hint="eastAsia" w:ascii="仿宋_GB2312" w:hAnsi="Times New Roman" w:eastAsia="仿宋_GB2312" w:cs="Times New Roman"/>
          <w:color w:val="auto"/>
          <w:kern w:val="2"/>
          <w:sz w:val="32"/>
          <w:szCs w:val="32"/>
          <w:lang w:val="en-US" w:eastAsia="zh-CN" w:bidi="ar-SA"/>
        </w:rPr>
        <w:t>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（2）效益指标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效益指标包括经济效益、社会效益和可持续影响指标三个二级指标。总分值30分，得分30分，得分率100%。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经济效益下设执行标的到位率1个三级指标，未达到预期目标，该指标分值10分，按评价标准自评得分为</w:t>
      </w:r>
      <w:r>
        <w:rPr>
          <w:rFonts w:hint="default" w:ascii="仿宋_GB2312" w:hAnsi="Times New Roman" w:eastAsia="仿宋_GB2312" w:cs="Times New Roman"/>
          <w:color w:val="auto"/>
          <w:kern w:val="2"/>
          <w:sz w:val="32"/>
          <w:szCs w:val="32"/>
          <w:lang w:val="en-US" w:eastAsia="zh-CN" w:bidi="ar-SA"/>
        </w:rPr>
        <w:t>8.93</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89.3</w:t>
      </w:r>
      <w:r>
        <w:rPr>
          <w:rFonts w:hint="eastAsia" w:ascii="仿宋_GB2312" w:hAnsi="Times New Roman" w:eastAsia="仿宋_GB2312" w:cs="Times New Roman"/>
          <w:color w:val="auto"/>
          <w:kern w:val="2"/>
          <w:sz w:val="32"/>
          <w:szCs w:val="32"/>
          <w:lang w:val="en-US" w:eastAsia="zh-CN" w:bidi="ar-SA"/>
        </w:rPr>
        <w:t>%。</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社会效益下设一审简易程序适用率1个三级指标。202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依法开展刑事审判，全力维护社会稳定；妥善解决民商纠纷，积极化解社会矛盾；加强行政审判工作，促进法制政府建设；全力破解执行难题，兑现涉诉合法权益，不断提高人民群众对法院信任度。该指标分值10分，根据评分标准自评得分10分，得分率为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可持续影响下设案件评审机制健全性、设备后期管护机制健全性2个三级指标，我院案件评审机制完备健全，设备管理制度完备、执行较好。该指标分值10分，根据评分标准自评得分10分，得分率为100%。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（3）满意度指标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满意度指标指相关受益群体的满意度，本次自评满意度指标设置为人民群众满意度和工作人员满意度。202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在院党组的正确领导和分管院领导的悉心指导下，坚持以审判需求为导向、以司法能力建设为核心、以社会责任为目标，忠实履职尽责，主动担当作为，在常态化疫情防控形势下书写了本院工作高质量发展的新篇章，通过满意度调查，人民群众对法院工作满意，工作人员对单位工作满意，达到了目标值。该指标分值10分，根据评分标准自评得分10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4、偏离绩效目标的原因及下一步改进措施</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我院业务费没有偏离绩效目标。</w:t>
      </w:r>
    </w:p>
    <w:p>
      <w:pPr>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（三）项目3- 法庭运维费</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1、项目支出预算执行情况</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法庭运维费全年预算数24万元，全年执行数24万元，预算执行率100%，满分10分，得分10分。</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2、总体绩效目标完成情况分析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法庭运维费自评价得分</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分，自评结果为“优”。</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本项目202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绩效目标实际完成情况如下：主要用于本院管辖范围之内的基层人民法庭改善的日常维修、装备购置等工作，保障2个派出法庭正常运转，水电暖运行通畅，进一步改善基层法庭办案条件，使得派出法庭工作人员满意度，确保本年底受理案件审判工作顺利的完成。主要用于支出法庭办公费、印刷费、水电费、物业管理费、维修（护）费、劳务费、办公设备购置等费用支出。保障了我院基层法庭工作的正常运转，方便了人民群众诉讼服务，有效地维护了社会和谐稳定。与预期的预算计划完全一致。</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3、各项指标完成情况分析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根据甘肃省财政厅关于加快推进预算绩效管理工作及甘肃省财政厅关于开展202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年度省级部门预算绩效运行监控工作等通知精神，项目支出指标设置权重为产出指标为50%，效益指标30%，满意度指标10%：二级指标7个，三级指标13个。</w:t>
      </w:r>
    </w:p>
    <w:tbl>
      <w:tblPr>
        <w:tblStyle w:val="10"/>
        <w:tblW w:w="8425" w:type="dxa"/>
        <w:tblInd w:w="93" w:type="dxa"/>
        <w:tblLayout w:type="autofit"/>
        <w:tblCellMar>
          <w:top w:w="0" w:type="dxa"/>
          <w:left w:w="108" w:type="dxa"/>
          <w:bottom w:w="0" w:type="dxa"/>
          <w:right w:w="108" w:type="dxa"/>
        </w:tblCellMar>
      </w:tblPr>
      <w:tblGrid>
        <w:gridCol w:w="758"/>
        <w:gridCol w:w="2430"/>
        <w:gridCol w:w="1150"/>
        <w:gridCol w:w="1396"/>
        <w:gridCol w:w="813"/>
        <w:gridCol w:w="939"/>
        <w:gridCol w:w="939"/>
      </w:tblGrid>
      <w:tr>
        <w:tblPrEx>
          <w:tblCellMar>
            <w:top w:w="0" w:type="dxa"/>
            <w:left w:w="108" w:type="dxa"/>
            <w:bottom w:w="0" w:type="dxa"/>
            <w:right w:w="108"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二级指标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三级指标</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年度指标值</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实际完成值</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分值</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得分率</w:t>
            </w:r>
          </w:p>
        </w:tc>
      </w:tr>
      <w:tr>
        <w:tblPrEx>
          <w:tblCellMar>
            <w:top w:w="0" w:type="dxa"/>
            <w:left w:w="108" w:type="dxa"/>
            <w:bottom w:w="0" w:type="dxa"/>
            <w:right w:w="108"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质量指标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保障法庭个数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w:t>
            </w:r>
            <w:r>
              <w:rPr>
                <w:rFonts w:ascii="宋体" w:hAnsi="宋体" w:eastAsia="宋体" w:cs="宋体"/>
                <w:color w:val="auto"/>
                <w:kern w:val="0"/>
                <w:sz w:val="20"/>
                <w:szCs w:val="20"/>
              </w:rPr>
              <w:t>2</w:t>
            </w:r>
            <w:r>
              <w:rPr>
                <w:rFonts w:hint="eastAsia" w:ascii="宋体" w:hAnsi="宋体" w:eastAsia="宋体" w:cs="宋体"/>
                <w:color w:val="auto"/>
                <w:kern w:val="0"/>
                <w:sz w:val="20"/>
                <w:szCs w:val="20"/>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rPr>
            </w:pPr>
            <w:r>
              <w:rPr>
                <w:rFonts w:ascii="宋体" w:hAnsi="宋体" w:eastAsia="宋体" w:cs="宋体"/>
                <w:color w:val="auto"/>
                <w:kern w:val="0"/>
                <w:sz w:val="22"/>
              </w:rPr>
              <w:t>2</w:t>
            </w:r>
            <w:r>
              <w:rPr>
                <w:rFonts w:hint="eastAsia" w:ascii="宋体" w:hAnsi="宋体" w:eastAsia="宋体" w:cs="宋体"/>
                <w:color w:val="auto"/>
                <w:kern w:val="0"/>
                <w:sz w:val="22"/>
              </w:rPr>
              <w:t>个</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18"/>
                <w:szCs w:val="18"/>
                <w:lang w:val="en-US"/>
              </w:rPr>
            </w:pPr>
            <w:r>
              <w:rPr>
                <w:rFonts w:hint="default" w:ascii="宋体" w:hAnsi="宋体" w:eastAsia="宋体" w:cs="宋体"/>
                <w:color w:val="auto"/>
                <w:kern w:val="0"/>
                <w:sz w:val="18"/>
                <w:szCs w:val="18"/>
                <w:lang w:val="en-US"/>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物业服务保障工作完成率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18"/>
                <w:szCs w:val="18"/>
                <w:lang w:val="en-US"/>
              </w:rPr>
            </w:pPr>
            <w:r>
              <w:rPr>
                <w:rFonts w:hint="default" w:ascii="宋体" w:hAnsi="宋体" w:eastAsia="宋体" w:cs="宋体"/>
                <w:color w:val="auto"/>
                <w:kern w:val="0"/>
                <w:sz w:val="18"/>
                <w:szCs w:val="18"/>
                <w:lang w:val="en-US"/>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270"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水电暖运行通畅率</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270" w:hRule="atLeast"/>
        </w:trPr>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时效指标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日常维修及时性</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18"/>
                <w:szCs w:val="18"/>
                <w:lang w:val="en-US"/>
              </w:rPr>
            </w:pPr>
            <w:r>
              <w:rPr>
                <w:rFonts w:hint="default" w:ascii="宋体" w:hAnsi="宋体" w:eastAsia="宋体" w:cs="宋体"/>
                <w:color w:val="auto"/>
                <w:kern w:val="0"/>
                <w:sz w:val="18"/>
                <w:szCs w:val="18"/>
                <w:lang w:val="en-US"/>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293" w:hRule="atLeast"/>
        </w:trPr>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8"/>
                <w:szCs w:val="18"/>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eastAsia="zh-CN"/>
              </w:rPr>
              <w:t>司法保障及时性</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18"/>
                <w:szCs w:val="18"/>
                <w:lang w:val="en-US"/>
              </w:rPr>
            </w:pPr>
            <w:r>
              <w:rPr>
                <w:rFonts w:hint="default" w:ascii="宋体" w:hAnsi="宋体" w:eastAsia="宋体" w:cs="宋体"/>
                <w:color w:val="auto"/>
                <w:sz w:val="18"/>
                <w:szCs w:val="18"/>
                <w:lang w:val="en-US"/>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rPr>
              <w:t>5</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270"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eastAsia="zh-CN"/>
              </w:rPr>
              <w:t>经济效益</w:t>
            </w:r>
            <w:r>
              <w:rPr>
                <w:rFonts w:hint="eastAsia" w:ascii="宋体" w:hAnsi="宋体" w:eastAsia="宋体" w:cs="宋体"/>
                <w:color w:val="auto"/>
                <w:kern w:val="0"/>
                <w:sz w:val="18"/>
                <w:szCs w:val="18"/>
              </w:rPr>
              <w:t>指标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eastAsia="zh-CN"/>
              </w:rPr>
              <w:t>有效保障审判服务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sz w:val="20"/>
                <w:szCs w:val="20"/>
                <w:lang w:eastAsia="zh-CN"/>
              </w:rPr>
            </w:pPr>
            <w:r>
              <w:rPr>
                <w:rFonts w:hint="eastAsia" w:ascii="宋体" w:hAnsi="宋体" w:eastAsia="宋体" w:cs="宋体"/>
                <w:color w:val="auto"/>
                <w:kern w:val="0"/>
                <w:sz w:val="20"/>
                <w:szCs w:val="20"/>
                <w:lang w:eastAsia="zh-CN"/>
              </w:rPr>
              <w:t>及时</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lang w:val="en-US"/>
              </w:rPr>
            </w:pPr>
            <w:r>
              <w:rPr>
                <w:rFonts w:hint="default" w:ascii="宋体" w:hAnsi="宋体" w:eastAsia="宋体" w:cs="宋体"/>
                <w:color w:val="auto"/>
                <w:kern w:val="0"/>
                <w:sz w:val="20"/>
                <w:szCs w:val="20"/>
                <w:lang w:val="en-US"/>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18"/>
                <w:szCs w:val="18"/>
                <w:lang w:val="en-US"/>
              </w:rPr>
            </w:pPr>
            <w:r>
              <w:rPr>
                <w:rFonts w:hint="default" w:ascii="宋体" w:hAnsi="宋体" w:eastAsia="宋体" w:cs="宋体"/>
                <w:color w:val="auto"/>
                <w:kern w:val="0"/>
                <w:sz w:val="18"/>
                <w:szCs w:val="18"/>
                <w:lang w:val="en-US"/>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18"/>
                <w:szCs w:val="18"/>
                <w:lang w:val="en-US"/>
              </w:rPr>
            </w:pPr>
            <w:r>
              <w:rPr>
                <w:rFonts w:hint="default" w:ascii="宋体" w:hAnsi="宋体" w:eastAsia="宋体" w:cs="宋体"/>
                <w:color w:val="auto"/>
                <w:kern w:val="0"/>
                <w:sz w:val="18"/>
                <w:szCs w:val="18"/>
                <w:lang w:val="en-US"/>
              </w:rPr>
              <w:t>30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67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服务对象满意度指标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派出法庭工作人员满意度</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0"/>
                <w:szCs w:val="20"/>
              </w:rPr>
            </w:pPr>
            <w:r>
              <w:rPr>
                <w:rFonts w:ascii="宋体" w:hAnsi="宋体" w:eastAsia="宋体" w:cs="宋体"/>
                <w:color w:val="auto"/>
                <w:kern w:val="0"/>
                <w:sz w:val="20"/>
                <w:szCs w:val="20"/>
              </w:rPr>
              <w:t>&gt;=85%</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2"/>
              </w:rPr>
            </w:pPr>
            <w:r>
              <w:rPr>
                <w:rFonts w:ascii="宋体" w:hAnsi="宋体" w:eastAsia="宋体" w:cs="宋体"/>
                <w:color w:val="auto"/>
                <w:kern w:val="0"/>
                <w:sz w:val="22"/>
              </w:rPr>
              <w:t>97</w:t>
            </w:r>
            <w:r>
              <w:rPr>
                <w:rFonts w:hint="default" w:ascii="宋体" w:hAnsi="宋体" w:eastAsia="宋体" w:cs="宋体"/>
                <w:color w:val="auto"/>
                <w:kern w:val="0"/>
                <w:sz w:val="22"/>
                <w:lang w:val="en-US"/>
              </w:rPr>
              <w:t>.5</w:t>
            </w:r>
            <w:r>
              <w:rPr>
                <w:rFonts w:ascii="宋体" w:hAnsi="宋体" w:eastAsia="宋体" w:cs="宋体"/>
                <w:color w:val="auto"/>
                <w:kern w:val="0"/>
                <w:sz w:val="22"/>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r>
      <w:tr>
        <w:tblPrEx>
          <w:tblCellMar>
            <w:top w:w="0" w:type="dxa"/>
            <w:left w:w="108" w:type="dxa"/>
            <w:bottom w:w="0" w:type="dxa"/>
            <w:right w:w="108" w:type="dxa"/>
          </w:tblCellMar>
        </w:tblPrEx>
        <w:trPr>
          <w:trHeight w:val="675" w:hRule="atLeast"/>
        </w:trPr>
        <w:tc>
          <w:tcPr>
            <w:tcW w:w="5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2"/>
              </w:rPr>
            </w:pPr>
            <w:r>
              <w:rPr>
                <w:rFonts w:hint="eastAsia" w:ascii="宋体" w:hAnsi="宋体" w:eastAsia="宋体" w:cs="宋体"/>
                <w:color w:val="auto"/>
                <w:kern w:val="0"/>
                <w:sz w:val="22"/>
              </w:rPr>
              <w:t>合计</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kern w:val="0"/>
                <w:sz w:val="18"/>
                <w:szCs w:val="18"/>
                <w:lang w:val="en-US"/>
              </w:rPr>
            </w:pPr>
            <w:r>
              <w:rPr>
                <w:rFonts w:hint="default" w:ascii="宋体" w:hAnsi="宋体" w:eastAsia="宋体" w:cs="宋体"/>
                <w:color w:val="auto"/>
                <w:kern w:val="0"/>
                <w:sz w:val="18"/>
                <w:szCs w:val="18"/>
                <w:lang w:val="en-US"/>
              </w:rPr>
              <w:t>90</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rPr>
            </w:pPr>
            <w:r>
              <w:rPr>
                <w:rFonts w:hint="default" w:ascii="宋体" w:hAnsi="宋体" w:eastAsia="宋体" w:cs="宋体"/>
                <w:color w:val="auto"/>
                <w:kern w:val="0"/>
                <w:sz w:val="18"/>
                <w:szCs w:val="18"/>
                <w:lang w:val="en-US"/>
              </w:rPr>
              <w:t>100</w:t>
            </w:r>
            <w:r>
              <w:rPr>
                <w:rFonts w:hint="eastAsia" w:ascii="宋体" w:hAnsi="宋体" w:eastAsia="宋体" w:cs="宋体"/>
                <w:color w:val="auto"/>
                <w:kern w:val="0"/>
                <w:sz w:val="18"/>
                <w:szCs w:val="18"/>
              </w:rPr>
              <w:t>%</w:t>
            </w:r>
          </w:p>
        </w:tc>
      </w:tr>
    </w:tbl>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（1）产出指标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产出指标包括数量指标、质量指标、时效指标、成本指标四个二级指标。总分值50分，得分48分，得分率96%。</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数量指标下设保障法庭个数、物业服务保障工作完成率、日常维修工作完成率</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个三级指标，均达到了设定的目标值，该指标分值</w:t>
      </w:r>
      <w:r>
        <w:rPr>
          <w:rFonts w:hint="default" w:ascii="仿宋_GB2312" w:hAnsi="Times New Roman" w:eastAsia="仿宋_GB2312" w:cs="Times New Roman"/>
          <w:color w:val="auto"/>
          <w:kern w:val="2"/>
          <w:sz w:val="32"/>
          <w:szCs w:val="32"/>
          <w:lang w:val="en-US" w:eastAsia="zh-CN" w:bidi="ar-SA"/>
        </w:rPr>
        <w:t>30</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30</w:t>
      </w:r>
      <w:r>
        <w:rPr>
          <w:rFonts w:hint="eastAsia" w:ascii="仿宋_GB2312" w:hAnsi="Times New Roman" w:eastAsia="仿宋_GB2312" w:cs="Times New Roman"/>
          <w:color w:val="auto"/>
          <w:kern w:val="2"/>
          <w:sz w:val="32"/>
          <w:szCs w:val="32"/>
          <w:lang w:val="en-US" w:eastAsia="zh-CN" w:bidi="ar-SA"/>
        </w:rPr>
        <w:t>分，得分率为100%。</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时效指标下设物业服务保障及时性、日常维修工作完成及时性</w:t>
      </w:r>
      <w:r>
        <w:rPr>
          <w:rFonts w:hint="default" w:ascii="仿宋_GB2312" w:hAnsi="Times New Roman" w:eastAsia="仿宋_GB2312" w:cs="Times New Roman"/>
          <w:color w:val="auto"/>
          <w:kern w:val="2"/>
          <w:sz w:val="32"/>
          <w:szCs w:val="32"/>
          <w:lang w:val="en-US" w:eastAsia="zh-CN" w:bidi="ar-SA"/>
        </w:rPr>
        <w:t>2</w:t>
      </w:r>
      <w:r>
        <w:rPr>
          <w:rFonts w:hint="eastAsia" w:ascii="仿宋_GB2312" w:hAnsi="Times New Roman" w:eastAsia="仿宋_GB2312" w:cs="Times New Roman"/>
          <w:color w:val="auto"/>
          <w:kern w:val="2"/>
          <w:sz w:val="32"/>
          <w:szCs w:val="32"/>
          <w:lang w:val="en-US" w:eastAsia="zh-CN" w:bidi="ar-SA"/>
        </w:rPr>
        <w:t>个二级指标。基本达到预期目标。该指标分值</w:t>
      </w:r>
      <w:r>
        <w:rPr>
          <w:rFonts w:hint="default" w:ascii="仿宋_GB2312" w:hAnsi="Times New Roman" w:eastAsia="仿宋_GB2312" w:cs="Times New Roman"/>
          <w:color w:val="auto"/>
          <w:kern w:val="2"/>
          <w:sz w:val="32"/>
          <w:szCs w:val="32"/>
          <w:lang w:val="en-US" w:eastAsia="zh-CN" w:bidi="ar-SA"/>
        </w:rPr>
        <w:t>20</w:t>
      </w:r>
      <w:r>
        <w:rPr>
          <w:rFonts w:hint="eastAsia" w:ascii="仿宋_GB2312" w:hAnsi="Times New Roman" w:eastAsia="仿宋_GB2312" w:cs="Times New Roman"/>
          <w:color w:val="auto"/>
          <w:kern w:val="2"/>
          <w:sz w:val="32"/>
          <w:szCs w:val="32"/>
          <w:lang w:val="en-US" w:eastAsia="zh-CN" w:bidi="ar-SA"/>
        </w:rPr>
        <w:t>分，按评价标准自评得分为</w:t>
      </w:r>
      <w:r>
        <w:rPr>
          <w:rFonts w:hint="default" w:ascii="仿宋_GB2312" w:hAnsi="Times New Roman" w:eastAsia="仿宋_GB2312" w:cs="Times New Roman"/>
          <w:color w:val="auto"/>
          <w:kern w:val="2"/>
          <w:sz w:val="32"/>
          <w:szCs w:val="32"/>
          <w:lang w:val="en-US" w:eastAsia="zh-CN" w:bidi="ar-SA"/>
        </w:rPr>
        <w:t>20</w:t>
      </w:r>
      <w:r>
        <w:rPr>
          <w:rFonts w:hint="eastAsia" w:ascii="仿宋_GB2312" w:hAnsi="Times New Roman" w:eastAsia="仿宋_GB2312" w:cs="Times New Roman"/>
          <w:color w:val="auto"/>
          <w:kern w:val="2"/>
          <w:sz w:val="32"/>
          <w:szCs w:val="32"/>
          <w:lang w:val="en-US" w:eastAsia="zh-CN" w:bidi="ar-SA"/>
        </w:rPr>
        <w:t>分，得分率为</w:t>
      </w:r>
      <w:r>
        <w:rPr>
          <w:rFonts w:hint="default" w:ascii="仿宋_GB2312" w:hAnsi="Times New Roman" w:eastAsia="仿宋_GB2312" w:cs="Times New Roman"/>
          <w:color w:val="auto"/>
          <w:kern w:val="2"/>
          <w:sz w:val="32"/>
          <w:szCs w:val="32"/>
          <w:lang w:val="en-US" w:eastAsia="zh-CN" w:bidi="ar-SA"/>
        </w:rPr>
        <w:t>100</w:t>
      </w:r>
      <w:r>
        <w:rPr>
          <w:rFonts w:hint="eastAsia" w:ascii="仿宋_GB2312" w:hAnsi="Times New Roman" w:eastAsia="仿宋_GB2312" w:cs="Times New Roman"/>
          <w:color w:val="auto"/>
          <w:kern w:val="2"/>
          <w:sz w:val="32"/>
          <w:szCs w:val="32"/>
          <w:lang w:val="en-US" w:eastAsia="zh-CN" w:bidi="ar-SA"/>
        </w:rPr>
        <w:t>%。</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（2）效益指标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效益指标是指经济效益指标。总分值</w:t>
      </w:r>
      <w:r>
        <w:rPr>
          <w:rFonts w:hint="default" w:ascii="仿宋_GB2312" w:hAnsi="Times New Roman" w:eastAsia="仿宋_GB2312" w:cs="Times New Roman"/>
          <w:color w:val="auto"/>
          <w:kern w:val="2"/>
          <w:sz w:val="32"/>
          <w:szCs w:val="32"/>
          <w:lang w:val="en-US" w:eastAsia="zh-CN" w:bidi="ar-SA"/>
        </w:rPr>
        <w:t>30</w:t>
      </w:r>
      <w:r>
        <w:rPr>
          <w:rFonts w:hint="eastAsia" w:ascii="仿宋_GB2312" w:hAnsi="Times New Roman" w:eastAsia="仿宋_GB2312" w:cs="Times New Roman"/>
          <w:color w:val="auto"/>
          <w:kern w:val="2"/>
          <w:sz w:val="32"/>
          <w:szCs w:val="32"/>
          <w:lang w:val="en-US" w:eastAsia="zh-CN" w:bidi="ar-SA"/>
        </w:rPr>
        <w:t>分，得分</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0分，得分率100%。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（3）满意度指标</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满意度指标指相关受益群体的满意度，本次自评满意度指标设置为工作人员满意度。202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我院在院党组的正确领导和分管院领导的悉心指导下，坚持以审判需求为导向、以司法能力建设为核心、以社会责任为目标，忠实履职尽责，主动担当作为，书写了本院工作高质量发展的新篇章。项目实行过程中，多次普法宣传对辖区居民的司法诉求提供了便利，维护了法院审判工作的有序开展，因此得到了工作人员的好评，达到了目标值。该指标分值10分，根据评分标准自评得分10分，得分率为100%。</w:t>
      </w:r>
    </w:p>
    <w:p>
      <w:pPr>
        <w:ind w:firstLine="643" w:firstLineChars="200"/>
        <w:rPr>
          <w:rFonts w:hint="eastAsia" w:ascii="仿宋_GB2312" w:hAnsi="Times New Roman" w:eastAsia="仿宋_GB2312" w:cs="Times New Roman"/>
          <w:b/>
          <w:bCs/>
          <w:color w:val="auto"/>
          <w:kern w:val="2"/>
          <w:sz w:val="32"/>
          <w:szCs w:val="32"/>
          <w:lang w:val="en-US" w:eastAsia="zh-CN" w:bidi="ar-SA"/>
        </w:rPr>
      </w:pPr>
      <w:r>
        <w:rPr>
          <w:rFonts w:hint="eastAsia" w:ascii="仿宋_GB2312" w:hAnsi="Times New Roman" w:eastAsia="仿宋_GB2312" w:cs="Times New Roman"/>
          <w:b/>
          <w:bCs/>
          <w:color w:val="auto"/>
          <w:kern w:val="2"/>
          <w:sz w:val="32"/>
          <w:szCs w:val="32"/>
          <w:lang w:val="en-US" w:eastAsia="zh-CN" w:bidi="ar-SA"/>
        </w:rPr>
        <w:t>（4）偏离绩效目标的原因及下一步改进措施</w:t>
      </w:r>
    </w:p>
    <w:p>
      <w:pPr>
        <w:pStyle w:val="2"/>
        <w:rPr>
          <w:rFonts w:hint="eastAsia" w:ascii="仿宋_GB2312" w:hAnsi="Times New Roman" w:eastAsia="仿宋_GB2312" w:cs="Times New Roman"/>
          <w:color w:val="auto"/>
          <w:kern w:val="2"/>
          <w:sz w:val="32"/>
          <w:szCs w:val="32"/>
          <w:lang w:val="en-US" w:eastAsia="zh-CN" w:bidi="ar-SA"/>
        </w:rPr>
      </w:pPr>
      <w:r>
        <w:rPr>
          <w:rFonts w:hint="eastAsia"/>
          <w:color w:val="auto"/>
          <w:sz w:val="24"/>
          <w:szCs w:val="24"/>
        </w:rPr>
        <w:t xml:space="preserve"> </w:t>
      </w:r>
      <w:r>
        <w:rPr>
          <w:rFonts w:hint="eastAsia" w:ascii="仿宋_GB2312" w:hAnsi="Times New Roman" w:eastAsia="仿宋_GB2312" w:cs="Times New Roman"/>
          <w:color w:val="auto"/>
          <w:kern w:val="2"/>
          <w:sz w:val="32"/>
          <w:szCs w:val="32"/>
          <w:lang w:val="en-US" w:eastAsia="zh-CN" w:bidi="ar-SA"/>
        </w:rPr>
        <w:t xml:space="preserve"> </w:t>
      </w:r>
      <w:r>
        <w:rPr>
          <w:rFonts w:hint="default" w:ascii="仿宋_GB2312" w:hAnsi="Times New Roman" w:eastAsia="仿宋_GB2312" w:cs="Times New Roman"/>
          <w:color w:val="auto"/>
          <w:kern w:val="2"/>
          <w:sz w:val="32"/>
          <w:szCs w:val="32"/>
          <w:lang w:val="en-US" w:eastAsia="zh-CN" w:bidi="ar-SA"/>
        </w:rPr>
        <w:t xml:space="preserve">  </w:t>
      </w:r>
      <w:r>
        <w:rPr>
          <w:rFonts w:hint="eastAsia" w:ascii="仿宋_GB2312" w:hAnsi="Times New Roman" w:eastAsia="仿宋_GB2312" w:cs="Times New Roman"/>
          <w:color w:val="auto"/>
          <w:kern w:val="2"/>
          <w:sz w:val="32"/>
          <w:szCs w:val="32"/>
          <w:lang w:val="en-US" w:eastAsia="zh-CN" w:bidi="ar-SA"/>
        </w:rPr>
        <w:t>我院法庭运维费没有偏离绩效目标。</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五、部门管理的转移支付绩效自评情况分析</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无。</w:t>
      </w:r>
    </w:p>
    <w:p>
      <w:pPr>
        <w:ind w:firstLine="640" w:firstLineChars="200"/>
        <w:rPr>
          <w:rFonts w:hint="eastAsia" w:ascii="黑体" w:hAnsi="黑体" w:eastAsia="黑体" w:cs="黑体"/>
          <w:b w:val="0"/>
          <w:bCs w:val="0"/>
          <w:color w:val="auto"/>
          <w:sz w:val="32"/>
          <w:szCs w:val="32"/>
          <w:highlight w:val="yellow"/>
        </w:rPr>
      </w:pPr>
      <w:r>
        <w:rPr>
          <w:rFonts w:hint="eastAsia" w:ascii="黑体" w:hAnsi="黑体" w:eastAsia="黑体" w:cs="黑体"/>
          <w:b w:val="0"/>
          <w:bCs w:val="0"/>
          <w:color w:val="auto"/>
          <w:sz w:val="32"/>
          <w:szCs w:val="32"/>
        </w:rPr>
        <w:t>六、绩效自评结果拟应用和公开情况</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根据甘肃省财政厅对开展202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年度省级预算执行情况绩效单位自评工作的要求及通知精神，进一步加强对绩效目标结果的运用，督促做好绩效自评发现的问题，并进行认真整改，确保本单位绩效目标保质保量实现。</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绩效自评结果的应用是单位完善政策、改进管理、提高预算水平，增强绩效管理的重要依据，单位要加强评价结果的应用。根据政策文件规定，我单位绩效自评结果将编入202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年度决算中，随同202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年度单位决算同步公开，并将绩效评价报告和结果作为202</w:t>
      </w:r>
      <w:r>
        <w:rPr>
          <w:rFonts w:hint="default" w:ascii="仿宋_GB2312" w:hAnsi="Times New Roman" w:eastAsia="仿宋_GB2312" w:cs="Times New Roman"/>
          <w:color w:val="auto"/>
          <w:kern w:val="2"/>
          <w:sz w:val="32"/>
          <w:szCs w:val="32"/>
          <w:lang w:val="en-US" w:eastAsia="zh-CN" w:bidi="ar-SA"/>
        </w:rPr>
        <w:t>3</w:t>
      </w:r>
      <w:r>
        <w:rPr>
          <w:rFonts w:hint="eastAsia" w:ascii="仿宋_GB2312" w:hAnsi="Times New Roman" w:eastAsia="仿宋_GB2312" w:cs="Times New Roman"/>
          <w:color w:val="auto"/>
          <w:kern w:val="2"/>
          <w:sz w:val="32"/>
          <w:szCs w:val="32"/>
          <w:lang w:val="en-US" w:eastAsia="zh-CN" w:bidi="ar-SA"/>
        </w:rPr>
        <w:t>年改进和提高资金使用效益的依据，提高预算编制质量，加快政府采购实施。</w:t>
      </w:r>
    </w:p>
    <w:p>
      <w:pPr>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七、其他需要说明的问题</w:t>
      </w:r>
    </w:p>
    <w:p>
      <w:pPr>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无。</w:t>
      </w: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4</w:t>
    </w:r>
    <w:r>
      <w:rPr>
        <w:lang w:val="zh-CN"/>
      </w:rPr>
      <w:fldChar w:fldCharType="end"/>
    </w:r>
  </w:p>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dlNjcyYTJhODZiZmQ5NzdhZGVhMjc5MGNjMzIxODgifQ=="/>
  </w:docVars>
  <w:rsids>
    <w:rsidRoot w:val="00267092"/>
    <w:rsid w:val="00025AA9"/>
    <w:rsid w:val="000302E1"/>
    <w:rsid w:val="00062224"/>
    <w:rsid w:val="000A410F"/>
    <w:rsid w:val="000F47C2"/>
    <w:rsid w:val="00110417"/>
    <w:rsid w:val="0011254A"/>
    <w:rsid w:val="001338AB"/>
    <w:rsid w:val="001642C3"/>
    <w:rsid w:val="00164BF3"/>
    <w:rsid w:val="00172C9D"/>
    <w:rsid w:val="00192ED6"/>
    <w:rsid w:val="001930E5"/>
    <w:rsid w:val="00194201"/>
    <w:rsid w:val="00197BB6"/>
    <w:rsid w:val="001A36F5"/>
    <w:rsid w:val="001B0891"/>
    <w:rsid w:val="001C4555"/>
    <w:rsid w:val="001D0235"/>
    <w:rsid w:val="001D7632"/>
    <w:rsid w:val="0020227E"/>
    <w:rsid w:val="00213E4E"/>
    <w:rsid w:val="002335B7"/>
    <w:rsid w:val="0023707C"/>
    <w:rsid w:val="002370FC"/>
    <w:rsid w:val="0023778B"/>
    <w:rsid w:val="00267092"/>
    <w:rsid w:val="002A7B0A"/>
    <w:rsid w:val="002C234B"/>
    <w:rsid w:val="002E2A3E"/>
    <w:rsid w:val="002F0F31"/>
    <w:rsid w:val="00321B1C"/>
    <w:rsid w:val="00322515"/>
    <w:rsid w:val="00366AE4"/>
    <w:rsid w:val="00381AF0"/>
    <w:rsid w:val="003850E7"/>
    <w:rsid w:val="00385CF6"/>
    <w:rsid w:val="00393A11"/>
    <w:rsid w:val="003D4253"/>
    <w:rsid w:val="003E7970"/>
    <w:rsid w:val="003F3A37"/>
    <w:rsid w:val="00401B48"/>
    <w:rsid w:val="0040311E"/>
    <w:rsid w:val="00404B42"/>
    <w:rsid w:val="004100DB"/>
    <w:rsid w:val="00420A73"/>
    <w:rsid w:val="00426870"/>
    <w:rsid w:val="00453265"/>
    <w:rsid w:val="00455684"/>
    <w:rsid w:val="00462570"/>
    <w:rsid w:val="00462F63"/>
    <w:rsid w:val="00492D28"/>
    <w:rsid w:val="004A4B93"/>
    <w:rsid w:val="004B688B"/>
    <w:rsid w:val="004D6062"/>
    <w:rsid w:val="004E61CC"/>
    <w:rsid w:val="004F7344"/>
    <w:rsid w:val="005360F4"/>
    <w:rsid w:val="00580ADC"/>
    <w:rsid w:val="00585B47"/>
    <w:rsid w:val="005A5F42"/>
    <w:rsid w:val="005A73E1"/>
    <w:rsid w:val="005B1354"/>
    <w:rsid w:val="005C61CE"/>
    <w:rsid w:val="005D5876"/>
    <w:rsid w:val="00614AA0"/>
    <w:rsid w:val="006267D9"/>
    <w:rsid w:val="006351F6"/>
    <w:rsid w:val="00640833"/>
    <w:rsid w:val="00641EE3"/>
    <w:rsid w:val="0065078C"/>
    <w:rsid w:val="00651484"/>
    <w:rsid w:val="00664266"/>
    <w:rsid w:val="00666DCF"/>
    <w:rsid w:val="006A3849"/>
    <w:rsid w:val="006A3C68"/>
    <w:rsid w:val="006B2F90"/>
    <w:rsid w:val="006C0012"/>
    <w:rsid w:val="006C1257"/>
    <w:rsid w:val="006C1AA2"/>
    <w:rsid w:val="006D128E"/>
    <w:rsid w:val="00712EBF"/>
    <w:rsid w:val="00735BCB"/>
    <w:rsid w:val="007507BD"/>
    <w:rsid w:val="00754A20"/>
    <w:rsid w:val="007635B6"/>
    <w:rsid w:val="007717CB"/>
    <w:rsid w:val="007757C2"/>
    <w:rsid w:val="00784827"/>
    <w:rsid w:val="00784C99"/>
    <w:rsid w:val="00796926"/>
    <w:rsid w:val="00797767"/>
    <w:rsid w:val="007A01EB"/>
    <w:rsid w:val="007A6FFF"/>
    <w:rsid w:val="007B241F"/>
    <w:rsid w:val="007D50CD"/>
    <w:rsid w:val="007E38ED"/>
    <w:rsid w:val="007F2A59"/>
    <w:rsid w:val="007F676A"/>
    <w:rsid w:val="00801A82"/>
    <w:rsid w:val="008333AB"/>
    <w:rsid w:val="00852DA4"/>
    <w:rsid w:val="00855B2D"/>
    <w:rsid w:val="0085677B"/>
    <w:rsid w:val="00881E91"/>
    <w:rsid w:val="00891AA7"/>
    <w:rsid w:val="00892B85"/>
    <w:rsid w:val="008C13A5"/>
    <w:rsid w:val="008C2B19"/>
    <w:rsid w:val="008E0EC4"/>
    <w:rsid w:val="009018A0"/>
    <w:rsid w:val="009061E3"/>
    <w:rsid w:val="00911170"/>
    <w:rsid w:val="009378C1"/>
    <w:rsid w:val="00937B2F"/>
    <w:rsid w:val="00940B9D"/>
    <w:rsid w:val="00942DCF"/>
    <w:rsid w:val="009469D6"/>
    <w:rsid w:val="009962EA"/>
    <w:rsid w:val="009A14D0"/>
    <w:rsid w:val="009A3A46"/>
    <w:rsid w:val="009A68D6"/>
    <w:rsid w:val="009C3A4B"/>
    <w:rsid w:val="009C3ED6"/>
    <w:rsid w:val="009C488E"/>
    <w:rsid w:val="009F334E"/>
    <w:rsid w:val="00A40841"/>
    <w:rsid w:val="00A57E23"/>
    <w:rsid w:val="00A61532"/>
    <w:rsid w:val="00A843FB"/>
    <w:rsid w:val="00A872AC"/>
    <w:rsid w:val="00AA28AD"/>
    <w:rsid w:val="00AA734B"/>
    <w:rsid w:val="00AC577A"/>
    <w:rsid w:val="00AC5A16"/>
    <w:rsid w:val="00AD678A"/>
    <w:rsid w:val="00B1635E"/>
    <w:rsid w:val="00B214C0"/>
    <w:rsid w:val="00B337C2"/>
    <w:rsid w:val="00B34236"/>
    <w:rsid w:val="00B36ED3"/>
    <w:rsid w:val="00B70386"/>
    <w:rsid w:val="00B91F54"/>
    <w:rsid w:val="00B96899"/>
    <w:rsid w:val="00BB6983"/>
    <w:rsid w:val="00BE77E3"/>
    <w:rsid w:val="00BF34BA"/>
    <w:rsid w:val="00BF5F6E"/>
    <w:rsid w:val="00C0150D"/>
    <w:rsid w:val="00C03DCF"/>
    <w:rsid w:val="00C07CB4"/>
    <w:rsid w:val="00C1545F"/>
    <w:rsid w:val="00C176CF"/>
    <w:rsid w:val="00C35541"/>
    <w:rsid w:val="00C562B2"/>
    <w:rsid w:val="00C839F3"/>
    <w:rsid w:val="00CA5DE0"/>
    <w:rsid w:val="00CA6D3F"/>
    <w:rsid w:val="00CB18D6"/>
    <w:rsid w:val="00CD1669"/>
    <w:rsid w:val="00CD5BAA"/>
    <w:rsid w:val="00CE1B56"/>
    <w:rsid w:val="00CE2A85"/>
    <w:rsid w:val="00CE5929"/>
    <w:rsid w:val="00D34887"/>
    <w:rsid w:val="00D55B39"/>
    <w:rsid w:val="00D56669"/>
    <w:rsid w:val="00D73D38"/>
    <w:rsid w:val="00D80C55"/>
    <w:rsid w:val="00D97239"/>
    <w:rsid w:val="00DA6F9E"/>
    <w:rsid w:val="00DC6CD1"/>
    <w:rsid w:val="00DD1842"/>
    <w:rsid w:val="00DE0E34"/>
    <w:rsid w:val="00DE348D"/>
    <w:rsid w:val="00DE7DF4"/>
    <w:rsid w:val="00DF23F5"/>
    <w:rsid w:val="00E35A92"/>
    <w:rsid w:val="00E81DCA"/>
    <w:rsid w:val="00E83B2F"/>
    <w:rsid w:val="00EA272C"/>
    <w:rsid w:val="00EA6023"/>
    <w:rsid w:val="00EC383A"/>
    <w:rsid w:val="00EE02AB"/>
    <w:rsid w:val="00EF48AE"/>
    <w:rsid w:val="00F3606D"/>
    <w:rsid w:val="00F45429"/>
    <w:rsid w:val="00F93696"/>
    <w:rsid w:val="00FF31D0"/>
    <w:rsid w:val="024E7B41"/>
    <w:rsid w:val="03921C2E"/>
    <w:rsid w:val="03F02645"/>
    <w:rsid w:val="040729B9"/>
    <w:rsid w:val="04193181"/>
    <w:rsid w:val="048C404A"/>
    <w:rsid w:val="05F32792"/>
    <w:rsid w:val="0A12553D"/>
    <w:rsid w:val="0A145168"/>
    <w:rsid w:val="0B4E3BB1"/>
    <w:rsid w:val="0B8074BB"/>
    <w:rsid w:val="0C79137F"/>
    <w:rsid w:val="0CE249DC"/>
    <w:rsid w:val="0D1B61DC"/>
    <w:rsid w:val="0E58381A"/>
    <w:rsid w:val="10817EC0"/>
    <w:rsid w:val="12C27A9B"/>
    <w:rsid w:val="12F73AB5"/>
    <w:rsid w:val="14CF0466"/>
    <w:rsid w:val="15511D8D"/>
    <w:rsid w:val="16566C5F"/>
    <w:rsid w:val="171E3249"/>
    <w:rsid w:val="17512D5C"/>
    <w:rsid w:val="176B2D96"/>
    <w:rsid w:val="183A24D5"/>
    <w:rsid w:val="186C56F3"/>
    <w:rsid w:val="1A4921B5"/>
    <w:rsid w:val="1BE858BA"/>
    <w:rsid w:val="1C9C3FAB"/>
    <w:rsid w:val="1D024004"/>
    <w:rsid w:val="1DEB2AAA"/>
    <w:rsid w:val="1FCB60C4"/>
    <w:rsid w:val="20C51935"/>
    <w:rsid w:val="20FB47F8"/>
    <w:rsid w:val="21951E43"/>
    <w:rsid w:val="21D11E83"/>
    <w:rsid w:val="227317B0"/>
    <w:rsid w:val="22BD7781"/>
    <w:rsid w:val="24805720"/>
    <w:rsid w:val="25A21CBA"/>
    <w:rsid w:val="26F95E31"/>
    <w:rsid w:val="287B0C3A"/>
    <w:rsid w:val="29EA2AC6"/>
    <w:rsid w:val="2AAF78E0"/>
    <w:rsid w:val="2B9E5546"/>
    <w:rsid w:val="2C0B4F9C"/>
    <w:rsid w:val="2C372DD7"/>
    <w:rsid w:val="2D7E6611"/>
    <w:rsid w:val="2F240262"/>
    <w:rsid w:val="32CF35F5"/>
    <w:rsid w:val="33701CDF"/>
    <w:rsid w:val="3437693D"/>
    <w:rsid w:val="34621157"/>
    <w:rsid w:val="34AA2880"/>
    <w:rsid w:val="360421EA"/>
    <w:rsid w:val="3670531C"/>
    <w:rsid w:val="370F4AB2"/>
    <w:rsid w:val="37364647"/>
    <w:rsid w:val="37A12615"/>
    <w:rsid w:val="38B41FBA"/>
    <w:rsid w:val="38B42799"/>
    <w:rsid w:val="39196993"/>
    <w:rsid w:val="3A012549"/>
    <w:rsid w:val="3A496C3A"/>
    <w:rsid w:val="3B2215C3"/>
    <w:rsid w:val="3B5F044B"/>
    <w:rsid w:val="3BA60A2D"/>
    <w:rsid w:val="3C4113B9"/>
    <w:rsid w:val="3C4F09E8"/>
    <w:rsid w:val="3CA1161A"/>
    <w:rsid w:val="3EF42F8B"/>
    <w:rsid w:val="3F2A500B"/>
    <w:rsid w:val="3F603DD6"/>
    <w:rsid w:val="40A3798D"/>
    <w:rsid w:val="40FB31DF"/>
    <w:rsid w:val="41027D97"/>
    <w:rsid w:val="411A3778"/>
    <w:rsid w:val="41B821FF"/>
    <w:rsid w:val="4354246C"/>
    <w:rsid w:val="4395026E"/>
    <w:rsid w:val="439B7476"/>
    <w:rsid w:val="440D28CD"/>
    <w:rsid w:val="454E6EE9"/>
    <w:rsid w:val="45896718"/>
    <w:rsid w:val="46BA7382"/>
    <w:rsid w:val="46E32628"/>
    <w:rsid w:val="477460A0"/>
    <w:rsid w:val="487F1CD8"/>
    <w:rsid w:val="48C47782"/>
    <w:rsid w:val="496668A0"/>
    <w:rsid w:val="49926B1F"/>
    <w:rsid w:val="499C63CB"/>
    <w:rsid w:val="4B0E11E1"/>
    <w:rsid w:val="4BA2058E"/>
    <w:rsid w:val="4BBC1D7A"/>
    <w:rsid w:val="4C4B577F"/>
    <w:rsid w:val="4CA26BF2"/>
    <w:rsid w:val="4CC821C2"/>
    <w:rsid w:val="4DC65C04"/>
    <w:rsid w:val="4E1F3A80"/>
    <w:rsid w:val="4E3B0A81"/>
    <w:rsid w:val="4FB11051"/>
    <w:rsid w:val="4FF90652"/>
    <w:rsid w:val="50364DED"/>
    <w:rsid w:val="506108CB"/>
    <w:rsid w:val="50F329C1"/>
    <w:rsid w:val="5368282A"/>
    <w:rsid w:val="54466845"/>
    <w:rsid w:val="54630C3D"/>
    <w:rsid w:val="54760014"/>
    <w:rsid w:val="55054F46"/>
    <w:rsid w:val="56410BC6"/>
    <w:rsid w:val="564A1861"/>
    <w:rsid w:val="58FD0E5A"/>
    <w:rsid w:val="596B021B"/>
    <w:rsid w:val="5A020C5D"/>
    <w:rsid w:val="5A4C3624"/>
    <w:rsid w:val="5BA8367D"/>
    <w:rsid w:val="5CDE7A74"/>
    <w:rsid w:val="5D0C3BA1"/>
    <w:rsid w:val="5DEA2144"/>
    <w:rsid w:val="60657338"/>
    <w:rsid w:val="61427F1A"/>
    <w:rsid w:val="6160518E"/>
    <w:rsid w:val="61AB60F1"/>
    <w:rsid w:val="630C6484"/>
    <w:rsid w:val="65494277"/>
    <w:rsid w:val="67AA307F"/>
    <w:rsid w:val="67E228C7"/>
    <w:rsid w:val="68C60E69"/>
    <w:rsid w:val="68D24628"/>
    <w:rsid w:val="68E96A48"/>
    <w:rsid w:val="694C6DEF"/>
    <w:rsid w:val="6964054B"/>
    <w:rsid w:val="69FA600F"/>
    <w:rsid w:val="6A170F68"/>
    <w:rsid w:val="6A880379"/>
    <w:rsid w:val="6ADC165E"/>
    <w:rsid w:val="6B056C9B"/>
    <w:rsid w:val="6B531BE3"/>
    <w:rsid w:val="6C457B8D"/>
    <w:rsid w:val="6C50105D"/>
    <w:rsid w:val="6D5136EB"/>
    <w:rsid w:val="6D7929BE"/>
    <w:rsid w:val="6DC55B55"/>
    <w:rsid w:val="6DD470B9"/>
    <w:rsid w:val="6E74391D"/>
    <w:rsid w:val="6E803FD0"/>
    <w:rsid w:val="6E836371"/>
    <w:rsid w:val="6F0D25F4"/>
    <w:rsid w:val="6F2B335E"/>
    <w:rsid w:val="6FAB700E"/>
    <w:rsid w:val="6FB33826"/>
    <w:rsid w:val="6FBA34BE"/>
    <w:rsid w:val="70C1430C"/>
    <w:rsid w:val="71BB6732"/>
    <w:rsid w:val="7299670C"/>
    <w:rsid w:val="731C6162"/>
    <w:rsid w:val="74620B20"/>
    <w:rsid w:val="757619DF"/>
    <w:rsid w:val="7649032A"/>
    <w:rsid w:val="76F43C1C"/>
    <w:rsid w:val="776823E1"/>
    <w:rsid w:val="78C61F78"/>
    <w:rsid w:val="7A1A30CF"/>
    <w:rsid w:val="7AD21C05"/>
    <w:rsid w:val="7AD7195F"/>
    <w:rsid w:val="7D623D85"/>
    <w:rsid w:val="7F1A2D57"/>
    <w:rsid w:val="7F746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qFormat/>
    <w:uiPriority w:val="0"/>
    <w:rPr>
      <w:szCs w:val="20"/>
    </w:rPr>
  </w:style>
  <w:style w:type="paragraph" w:styleId="3">
    <w:name w:val="Normal Indent"/>
    <w:basedOn w:val="1"/>
    <w:qFormat/>
    <w:uiPriority w:val="0"/>
    <w:pPr>
      <w:ind w:firstLine="420" w:firstLineChars="200"/>
    </w:pPr>
    <w:rPr>
      <w:rFonts w:ascii="等线" w:hAnsi="等线" w:eastAsia="等线" w:cs="Times New Roman"/>
    </w:rPr>
  </w:style>
  <w:style w:type="paragraph" w:styleId="4">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5">
    <w:name w:val="Body Text"/>
    <w:basedOn w:val="1"/>
    <w:next w:val="1"/>
    <w:qFormat/>
    <w:uiPriority w:val="0"/>
    <w:rPr>
      <w:rFonts w:ascii="Calibri" w:hAnsi="Calibri"/>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2">
    <w:name w:val="List Paragraph"/>
    <w:basedOn w:val="1"/>
    <w:qFormat/>
    <w:uiPriority w:val="34"/>
    <w:pPr>
      <w:ind w:firstLine="420" w:firstLineChars="200"/>
    </w:p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批注框文本 Char"/>
    <w:basedOn w:val="11"/>
    <w:link w:val="6"/>
    <w:semiHidden/>
    <w:qFormat/>
    <w:uiPriority w:val="99"/>
    <w:rPr>
      <w:rFonts w:asciiTheme="minorHAnsi" w:hAnsiTheme="minorHAnsi" w:eastAsiaTheme="minorEastAsia" w:cstheme="minorBidi"/>
      <w:kern w:val="2"/>
      <w:sz w:val="18"/>
      <w:szCs w:val="18"/>
    </w:rPr>
  </w:style>
  <w:style w:type="character" w:customStyle="1" w:styleId="16">
    <w:name w:val="font31"/>
    <w:basedOn w:val="11"/>
    <w:qFormat/>
    <w:uiPriority w:val="0"/>
    <w:rPr>
      <w:rFonts w:hint="eastAsia" w:ascii="宋体" w:hAnsi="宋体" w:eastAsia="宋体" w:cs="宋体"/>
      <w:color w:val="000000"/>
      <w:sz w:val="18"/>
      <w:szCs w:val="18"/>
      <w:u w:val="none"/>
    </w:rPr>
  </w:style>
  <w:style w:type="character" w:customStyle="1" w:styleId="17">
    <w:name w:val="font11"/>
    <w:basedOn w:val="11"/>
    <w:qFormat/>
    <w:uiPriority w:val="0"/>
    <w:rPr>
      <w:rFonts w:hint="eastAsia" w:ascii="宋体" w:hAnsi="宋体" w:eastAsia="宋体" w:cs="宋体"/>
      <w:color w:val="000000"/>
      <w:sz w:val="18"/>
      <w:szCs w:val="18"/>
      <w:u w:val="none"/>
    </w:rPr>
  </w:style>
  <w:style w:type="character" w:customStyle="1" w:styleId="18">
    <w:name w:val="font01"/>
    <w:basedOn w:val="11"/>
    <w:qFormat/>
    <w:uiPriority w:val="0"/>
    <w:rPr>
      <w:rFonts w:hint="eastAsia" w:ascii="宋体" w:hAnsi="宋体" w:eastAsia="宋体" w:cs="宋体"/>
      <w:color w:val="000000"/>
      <w:sz w:val="18"/>
      <w:szCs w:val="18"/>
      <w:u w:val="none"/>
    </w:rPr>
  </w:style>
  <w:style w:type="character" w:customStyle="1" w:styleId="19">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2184</Words>
  <Characters>12450</Characters>
  <Lines>103</Lines>
  <Paragraphs>29</Paragraphs>
  <TotalTime>14</TotalTime>
  <ScaleCrop>false</ScaleCrop>
  <LinksUpToDate>false</LinksUpToDate>
  <CharactersWithSpaces>14605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2022-01-10T08:20:00Z</dcterms:created>
  <dc:creator>Administrator</dc:creator>
  <cp:lastModifiedBy>Administrator</cp:lastModifiedBy>
  <dcterms:modified xsi:type="dcterms:W3CDTF">2024-08-26T07:44:37Z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20D74615B9D746DBB76EC3515BF45850</vt:lpwstr>
  </property>
</Properties>
</file>