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03538C6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35E2D2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695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19"/>
        <w:gridCol w:w="2284"/>
        <w:gridCol w:w="3007"/>
      </w:tblGrid>
      <w:tr w14:paraId="0736DC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52B8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4D7B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69998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C906E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243F980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A448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E7C8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债务化解奖励资金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4F51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8F27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3346014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90CC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63762F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4B0C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1AB80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6327CD2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71296B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48AED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3551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C228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0F643A4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DB42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9A2C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2440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26E35C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1A9F5A2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1E3B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4E65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C7C8F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11C07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61F8029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C73C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C47CDB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1455900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3E4B3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A5BA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54EA4BA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CD3B9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439F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1455900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4BFE4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5850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1265058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A82D41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372C0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E2F1C3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4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35FD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3D2C9EA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0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00CB3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0EF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11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D729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6F3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1EF578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24A535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01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5"/>
        <w:gridCol w:w="1736"/>
        <w:gridCol w:w="1736"/>
        <w:gridCol w:w="1738"/>
        <w:gridCol w:w="1738"/>
        <w:gridCol w:w="1630"/>
      </w:tblGrid>
      <w:tr w14:paraId="15FE558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031FD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2633B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1084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BBF5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4DBA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534E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144B464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1774A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1DE742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145.59</w:t>
            </w: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92D86F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145.59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3859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145.59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CD78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31F8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</w:tr>
      <w:tr w14:paraId="0BFDAFD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9BDF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9BEF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4D00F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AFFC7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485C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D32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6C0525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DB01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4D835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A076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EB0C0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013E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19E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52F146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7F0E24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03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0"/>
        <w:gridCol w:w="8237"/>
      </w:tblGrid>
      <w:tr w14:paraId="06235B3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F9AF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8238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  <w:t>为贯彻落实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高台县卫生健康局《关于进一步加强县级公立医院运行管理工作的意见》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  <w:t>的要求，</w:t>
            </w:r>
            <w:r>
              <w:rPr>
                <w:rFonts w:hint="eastAsia" w:ascii="宋体" w:hAnsi="宋体" w:eastAsia="宋体" w:cs="宋体"/>
                <w:kern w:val="2"/>
                <w:sz w:val="13"/>
                <w:szCs w:val="13"/>
                <w:lang w:eastAsia="zh-CN"/>
              </w:rPr>
              <w:t>按照“锁定存量、严控增量、依法依规、分级分类、综合施策”的思路，综合运用自筹资金、协商谈判、财政补助、争取政府债券和政策支持等多种有效途径，有效解决县级公立医院债务问题，逐步构建县级公立医院债务化解工作新机制</w:t>
            </w:r>
            <w:r>
              <w:rPr>
                <w:rFonts w:hint="eastAsia" w:cs="宋体"/>
                <w:kern w:val="2"/>
                <w:sz w:val="13"/>
                <w:szCs w:val="13"/>
                <w:lang w:eastAsia="zh-CN"/>
              </w:rPr>
              <w:t>。</w:t>
            </w:r>
          </w:p>
        </w:tc>
      </w:tr>
      <w:tr w14:paraId="7B06C6D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4CC2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7E07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  <w:lang w:eastAsia="zh-CN"/>
              </w:rPr>
              <w:t>通过</w:t>
            </w:r>
            <w:r>
              <w:rPr>
                <w:rFonts w:hint="eastAsia" w:ascii="宋体" w:hAnsi="宋体" w:eastAsia="宋体" w:cs="宋体"/>
                <w:sz w:val="13"/>
                <w:szCs w:val="13"/>
                <w:lang w:val="en-US" w:eastAsia="zh-CN"/>
              </w:rPr>
              <w:t>债务化解项目补助资金有效缓解医院还债压力，合理配置卫生资源，新项目的审批，防止过度技术扩张</w:t>
            </w:r>
            <w:r>
              <w:rPr>
                <w:rFonts w:hint="eastAsia" w:ascii="宋体" w:hAnsi="宋体" w:cs="宋体"/>
                <w:sz w:val="13"/>
                <w:szCs w:val="13"/>
                <w:lang w:val="en-US" w:eastAsia="zh-CN"/>
              </w:rPr>
              <w:t>，引导医院合理发展</w:t>
            </w:r>
          </w:p>
        </w:tc>
      </w:tr>
      <w:tr w14:paraId="56602FF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5A9E8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875C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2"/>
                <w:sz w:val="13"/>
                <w:szCs w:val="13"/>
                <w:lang w:eastAsia="zh-CN"/>
              </w:rPr>
              <w:t>按照“锁定存量、严控增量、依法依规、分级分类、综合施策”的思路，综合运用自筹资金、协商谈判、财政补助、争取政府债券和政策支持等多种有效途径</w:t>
            </w:r>
            <w:r>
              <w:rPr>
                <w:rFonts w:hint="eastAsia" w:cs="宋体"/>
                <w:kern w:val="2"/>
                <w:sz w:val="13"/>
                <w:szCs w:val="13"/>
                <w:lang w:eastAsia="zh-CN"/>
              </w:rPr>
              <w:t>。</w:t>
            </w:r>
          </w:p>
        </w:tc>
      </w:tr>
      <w:tr w14:paraId="2B4FC60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BF0555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0662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2025年1月1日—2025年12月31日完成该项目</w:t>
            </w:r>
          </w:p>
        </w:tc>
      </w:tr>
      <w:tr w14:paraId="10168C0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C6795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C0C5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高台县卫生健康局</w:t>
            </w:r>
          </w:p>
        </w:tc>
      </w:tr>
      <w:tr w14:paraId="6599ABB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31528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F174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083CBAB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10F8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D883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19E4A1A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16C37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53FF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《关于进一步加强县级公立医院运行管理工作的意见》</w:t>
            </w:r>
          </w:p>
        </w:tc>
      </w:tr>
      <w:tr w14:paraId="715594B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B9925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E3A4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EE434F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DD385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A6E2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40CA111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1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E3988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39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8B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加强医院偿债资金管理和使用，对财政统筹安排的专项偿债资</w:t>
            </w:r>
            <w:r>
              <w:rPr>
                <w:rFonts w:hint="eastAsia" w:cs="宋体"/>
                <w:kern w:val="0"/>
                <w:sz w:val="13"/>
                <w:szCs w:val="13"/>
                <w:lang w:val="en-US" w:eastAsia="zh-CN"/>
              </w:rPr>
              <w:t>金，</w:t>
            </w:r>
            <w:r>
              <w:rPr>
                <w:rFonts w:hint="eastAsia" w:ascii="宋体" w:hAnsi="宋体" w:eastAsia="宋体" w:cs="宋体"/>
                <w:kern w:val="2"/>
                <w:sz w:val="13"/>
                <w:szCs w:val="13"/>
                <w:lang w:eastAsia="zh-CN"/>
              </w:rPr>
              <w:t>有效解决县级公立医院债务问题，逐步构建县级公立医院债务化解工作新机制</w:t>
            </w:r>
            <w:r>
              <w:rPr>
                <w:rFonts w:hint="eastAsia" w:cs="宋体"/>
                <w:kern w:val="2"/>
                <w:sz w:val="13"/>
                <w:szCs w:val="13"/>
                <w:lang w:eastAsia="zh-CN"/>
              </w:rPr>
              <w:t>。</w:t>
            </w:r>
          </w:p>
        </w:tc>
      </w:tr>
    </w:tbl>
    <w:p w14:paraId="5D4470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33640D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413459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02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5"/>
        <w:gridCol w:w="1277"/>
        <w:gridCol w:w="1275"/>
        <w:gridCol w:w="1343"/>
        <w:gridCol w:w="1275"/>
        <w:gridCol w:w="1275"/>
        <w:gridCol w:w="1385"/>
        <w:gridCol w:w="1210"/>
      </w:tblGrid>
      <w:tr w14:paraId="3A0058D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413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0199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4AB5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35EB9DD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673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619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D5B26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68AB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AB65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68D6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0914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AF36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5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D6B58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449F5F7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5F8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B7E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A66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化债资金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投入成本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B850C9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≤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A097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145.59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6C2C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E569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78ED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C00674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FED5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B26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6CAF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890F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CD68EA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B4080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4C78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9622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0FE332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B72A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CBA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4B5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71ED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FD493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5047AC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4026D8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0993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2592FB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BF4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8EE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272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化解债务总额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A0417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64804C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800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86927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D90F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AD13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9D67B13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81A1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C7F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FCA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债务化解率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0121B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23F6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18.2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29388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0532FA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F433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3A9567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8B8E5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63E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F32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支付及时性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9611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98A2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B8F54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4567E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184D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990CAE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</w:trPr>
        <w:tc>
          <w:tcPr>
            <w:tcW w:w="61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C2B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648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DCB7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环节债务压力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3806A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11BC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有效降低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62E05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F0C02C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35E4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9C8E84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BD2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619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30E666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E22272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债权人满意度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46F90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≥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CA63D4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90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D725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%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8B54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438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27BA6E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720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19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2CB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13EE6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职工满意度</w:t>
            </w:r>
          </w:p>
        </w:tc>
        <w:tc>
          <w:tcPr>
            <w:tcW w:w="6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11720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≥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FB3FF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90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4B52F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%</w:t>
            </w:r>
          </w:p>
        </w:tc>
        <w:tc>
          <w:tcPr>
            <w:tcW w:w="6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B661C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5D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288251C4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6CC6D66"/>
    <w:rsid w:val="0BF17983"/>
    <w:rsid w:val="14CE4213"/>
    <w:rsid w:val="19B250D3"/>
    <w:rsid w:val="23171683"/>
    <w:rsid w:val="298F5A67"/>
    <w:rsid w:val="2A2429A8"/>
    <w:rsid w:val="2FE37DD1"/>
    <w:rsid w:val="325F76B6"/>
    <w:rsid w:val="3971644D"/>
    <w:rsid w:val="3AAF7842"/>
    <w:rsid w:val="3B3E08A3"/>
    <w:rsid w:val="3F013B3D"/>
    <w:rsid w:val="4A5655E8"/>
    <w:rsid w:val="4B593903"/>
    <w:rsid w:val="4C940979"/>
    <w:rsid w:val="4F585E44"/>
    <w:rsid w:val="51182B81"/>
    <w:rsid w:val="588C013C"/>
    <w:rsid w:val="594349C5"/>
    <w:rsid w:val="5B284729"/>
    <w:rsid w:val="60240562"/>
    <w:rsid w:val="612479FF"/>
    <w:rsid w:val="61A159A6"/>
    <w:rsid w:val="6BAD52D4"/>
    <w:rsid w:val="6BC54253"/>
    <w:rsid w:val="6FB16F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99"/>
  </w:style>
  <w:style w:type="table" w:default="1" w:styleId="10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977</Words>
  <Characters>1048</Characters>
  <Lines>1</Lines>
  <Paragraphs>1</Paragraphs>
  <TotalTime>0</TotalTime>
  <ScaleCrop>false</ScaleCrop>
  <LinksUpToDate>false</LinksUpToDate>
  <CharactersWithSpaces>1244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2024-01-05T06:42:00Z</dcterms:created>
  <dc:creator>Administrator</dc:creator>
  <cp:lastModifiedBy>  A  七  月  _</cp:lastModifiedBy>
  <dcterms:modified xsi:type="dcterms:W3CDTF">2025-01-23T02:26:26Z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5F33F1E7494A41E394A840A667886549_13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