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DF8A8">
      <w:pPr>
        <w:spacing w:line="360" w:lineRule="exact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附件2</w:t>
      </w:r>
    </w:p>
    <w:p w14:paraId="1711734F">
      <w:pPr>
        <w:spacing w:line="560" w:lineRule="exac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单位整体支出绩效目标表</w:t>
      </w:r>
    </w:p>
    <w:p w14:paraId="5E52C5C6">
      <w:pPr>
        <w:spacing w:line="560" w:lineRule="exact"/>
        <w:jc w:val="center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（202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>5</w:t>
      </w:r>
      <w:r>
        <w:rPr>
          <w:rFonts w:hint="eastAsia" w:ascii="仿宋_GB2312" w:eastAsia="仿宋_GB2312"/>
          <w:b/>
          <w:sz w:val="24"/>
          <w:szCs w:val="24"/>
        </w:rPr>
        <w:t>年度）</w:t>
      </w:r>
    </w:p>
    <w:tbl>
      <w:tblPr>
        <w:tblStyle w:val="2"/>
        <w:tblW w:w="97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625"/>
        <w:gridCol w:w="846"/>
        <w:gridCol w:w="382"/>
        <w:gridCol w:w="4096"/>
        <w:gridCol w:w="1173"/>
        <w:gridCol w:w="993"/>
      </w:tblGrid>
      <w:tr w14:paraId="763BFA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74655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</w:rPr>
              <w:t>部门（单位）名称</w:t>
            </w:r>
          </w:p>
        </w:tc>
        <w:tc>
          <w:tcPr>
            <w:tcW w:w="66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2520F"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  <w:t>高台县中医医院</w:t>
            </w:r>
          </w:p>
        </w:tc>
      </w:tr>
      <w:tr w14:paraId="078D0F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extDirection w:val="tbLrV"/>
            <w:vAlign w:val="center"/>
          </w:tcPr>
          <w:p w14:paraId="077D2E93">
            <w:pPr>
              <w:ind w:left="113" w:right="113"/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</w:rPr>
              <w:t>总 体 目 标</w:t>
            </w:r>
          </w:p>
        </w:tc>
        <w:tc>
          <w:tcPr>
            <w:tcW w:w="91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2E9A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cs="宋体" w:asciiTheme="minorEastAsia" w:hAnsiTheme="minorEastAsia" w:eastAsiaTheme="minorEastAsia"/>
                <w:kern w:val="0"/>
                <w:sz w:val="15"/>
                <w:szCs w:val="15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5"/>
                <w:szCs w:val="15"/>
              </w:rPr>
              <w:t>目标1：药品零差率补助县配套。实行药品零差率销售，药占比达到省卫健委下达的考核指标,按照立机制、控费用、调结构、强监管的原则，通过落实政府办医责任、实行药品零差率政策，国家基本目录药物使用率达到90%以上，目录药品质量合格率达到100%。                                                                                   目标2：床位补贴。落实公立医院基本建设、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5"/>
                <w:szCs w:val="15"/>
                <w:lang w:val="en-US" w:eastAsia="zh-CN"/>
              </w:rPr>
              <w:t>人员经费补助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5"/>
                <w:szCs w:val="15"/>
              </w:rPr>
              <w:t>、人才培养、公共卫生服务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5"/>
                <w:szCs w:val="15"/>
                <w:lang w:eastAsia="zh-CN"/>
              </w:rPr>
              <w:t>、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5"/>
                <w:szCs w:val="15"/>
              </w:rPr>
              <w:t>等公共服务的投入责任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5"/>
                <w:szCs w:val="15"/>
                <w:lang w:eastAsia="zh-CN"/>
              </w:rPr>
              <w:t>。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5"/>
                <w:szCs w:val="15"/>
              </w:rPr>
              <w:t xml:space="preserve">                                                                                                            目标3：医疗废物收转运中心运行经费。有效降低医废传染，实现医废无害化及资源化。                                                              目标4：储血点运转经费。储血点的建立和运行真正意义上实现了血液从血管（献血者）到血管（用血者）的冷链控制，保障了患者用血的安全性、有效性和及时性，提高了应对突发公共卫生事件血液应急保障能力。                                                                                        目标5：重点学科专项经费。加快医院专科建设，全面提升医院诊疗水平，进一步提升医院可持续影响力，改善就医质量，就医服务，就医环境，促进医疗技术、业务管理水平不断提高，优化人才队伍建设。                                                                                                 目标6：感染科、急救中心补助。通过感染科、急救中心医护人员培训以及设备采购保障，建设符合现状急诊应急队伍和传染病救治队伍，提高意外灾害事故、疫情等突发公共卫生事件的医疗急救水平及社区预防、保健和康复医疗服务工作，开展各类医疗保健卫生知识宣传普及。</w:t>
            </w:r>
          </w:p>
          <w:p w14:paraId="47DB53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sz w:val="15"/>
                <w:szCs w:val="15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5"/>
                <w:szCs w:val="15"/>
              </w:rPr>
              <w:t>目标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5"/>
                <w:szCs w:val="15"/>
                <w:lang w:val="en-US" w:eastAsia="zh-CN"/>
              </w:rPr>
              <w:t>7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5"/>
                <w:szCs w:val="15"/>
              </w:rPr>
              <w:t>：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5"/>
                <w:szCs w:val="15"/>
                <w:lang w:val="en-US" w:eastAsia="zh-CN"/>
              </w:rPr>
              <w:t>医养结合服务能力建设项目前期费。</w:t>
            </w:r>
            <w:r>
              <w:rPr>
                <w:rFonts w:ascii="宋体" w:hAnsi="宋体" w:eastAsia="宋体" w:cs="宋体"/>
                <w:sz w:val="15"/>
                <w:szCs w:val="15"/>
              </w:rPr>
              <w:t>医院推出“医养一体”的新型医疗模式即为老年患者进行常规的医疗护理服务的同时，提供24小时全程精心的生活照料和情感浓厚的人文关怀。医养结合作为一种新型的养老服务模式，能够为老年人提供更加全面、专业的医疗服务，有助于提高老年人的生活质量。公立医院作为医疗卫生服务体系的重要组成部分，能够将医疗与养老服务有效衔接，是实现医养结合模式的理想载体</w:t>
            </w:r>
            <w:r>
              <w:rPr>
                <w:rFonts w:hint="eastAsia" w:ascii="宋体" w:hAnsi="宋体" w:cs="宋体"/>
                <w:sz w:val="15"/>
                <w:szCs w:val="15"/>
                <w:lang w:eastAsia="zh-CN"/>
              </w:rPr>
              <w:t>。</w:t>
            </w:r>
          </w:p>
          <w:p w14:paraId="0C32D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5"/>
                <w:szCs w:val="15"/>
              </w:rPr>
              <w:t>目标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5"/>
                <w:szCs w:val="15"/>
                <w:lang w:val="en-US" w:eastAsia="zh-CN"/>
              </w:rPr>
              <w:t>8：医院门诊电梯采购项目。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随着医疗服务的不断提升和患者需求的日益增长，门诊部客流量那个增大，为有效缓解患者及医务人员在楼层间移动的不便，提高医院整体运营效率和服务质量，计划实施门诊电梯项目。优化门诊部垂直交通环境，为患者提供更加便捷的就诊甘，同时为医护人员创造更加高效的工作环境。</w:t>
            </w:r>
          </w:p>
          <w:p w14:paraId="42E80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目标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9：感染性疾病科病区改造。为提高医院感染性疾病科的工作效率和工作质量，减少医院感染的发生率和传播率，保障患者的安全，更好的满足患者的需要，提供更加专业的医疗服务和就诊环境。</w:t>
            </w:r>
          </w:p>
          <w:p w14:paraId="6399C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目标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10：债务化解资金。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为贯彻落实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高台县卫生健康局《关于进一步加强县级公立医院运行管理工作的意见》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的要求，</w:t>
            </w:r>
            <w:r>
              <w:rPr>
                <w:rFonts w:hint="eastAsia" w:ascii="宋体" w:hAnsi="宋体" w:eastAsia="宋体" w:cs="宋体"/>
                <w:kern w:val="2"/>
                <w:sz w:val="15"/>
                <w:szCs w:val="15"/>
                <w:lang w:eastAsia="zh-CN"/>
              </w:rPr>
              <w:t>按照“锁定存量、严控增量、依法依规、分级分类、综合施策”的思路，综合运用自筹资金、协商谈判、财政补助、争取政府债券和政策支持等多种有效途径，有效解决县级公立医院债务问题，逐步构建县级公立医院债务化解工作新机制。</w:t>
            </w:r>
          </w:p>
          <w:p w14:paraId="590FC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目标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11：重点学科科研专项经费。近几年医院在重点学科建设方面，不断加强人才队伍培养，完善设施、设备等方面，并结合目前医疗现状，建成多个省市县重点学科，但随着医疗市场的不断变化，患者需求的不断提升，目前学科现状已无法满足。</w:t>
            </w:r>
          </w:p>
          <w:p w14:paraId="0255F1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eastAsia="宋体" w:cs="宋体" w:asciiTheme="minorEastAsia" w:hAnsiTheme="minorEastAsia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目标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12：医保信息化建设项目。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sz w:val="15"/>
                <w:szCs w:val="15"/>
              </w:rPr>
              <w:t>夯实医保基础工作，推进标准化和信息化建设，建立和完善医疗保障信息系统，加快推进医保基金管理、费用结算、医疗行为管理与监督等具有复合功能的医疗保障信息系统建设，充分发挥信息化新效能，为医保治理体系和治理能力现代化提供强大动力，从而提升医保服务水平和参保患者的满意度，让医保管理更科学，医保服务更便捷</w:t>
            </w: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。</w:t>
            </w:r>
          </w:p>
        </w:tc>
      </w:tr>
      <w:tr w14:paraId="714EFC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extDirection w:val="tbLrV"/>
            <w:vAlign w:val="center"/>
          </w:tcPr>
          <w:p w14:paraId="44798A52">
            <w:pPr>
              <w:ind w:left="113" w:right="113"/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</w:rPr>
              <w:t>预 算 情 况（万元）</w:t>
            </w:r>
          </w:p>
        </w:tc>
        <w:tc>
          <w:tcPr>
            <w:tcW w:w="2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E338350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</w:rPr>
              <w:t>按支出类型分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0A0EF1E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</w:rPr>
              <w:t>预算金额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91E5AEA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</w:rPr>
              <w:t>按来源类型分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64C3FA0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</w:rPr>
              <w:t>预算金额</w:t>
            </w:r>
          </w:p>
        </w:tc>
      </w:tr>
      <w:tr w14:paraId="29126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0FB5DDE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66C928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</w:rPr>
              <w:t>基本支出</w:t>
            </w: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1AD5B4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</w:rPr>
              <w:t>人员经费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A43E74C"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  <w:t>588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DCE0E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</w:rPr>
              <w:t>当年财政拨款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FE987"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  <w:t>750.93</w:t>
            </w:r>
          </w:p>
        </w:tc>
      </w:tr>
      <w:tr w14:paraId="7195D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1F2783D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215FB52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3C48693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</w:rPr>
              <w:t>公用经费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AFC1D7A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97ABF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</w:rPr>
              <w:t>上年结转资金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58C94"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  <w:t>282.58</w:t>
            </w:r>
          </w:p>
        </w:tc>
      </w:tr>
      <w:tr w14:paraId="009E4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58EA7A6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91BE3F9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5C30725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</w:rPr>
              <w:t>合计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0BAF8CF"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  <w:t>588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371C1C5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</w:rPr>
              <w:t>其他资金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0D981FE">
            <w:pPr>
              <w:jc w:val="center"/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  <w:t>0</w:t>
            </w:r>
          </w:p>
        </w:tc>
      </w:tr>
      <w:tr w14:paraId="7C4873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91269D8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</w:p>
        </w:tc>
        <w:tc>
          <w:tcPr>
            <w:tcW w:w="285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48E6FD4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</w:rPr>
              <w:t>项目支出</w:t>
            </w:r>
          </w:p>
        </w:tc>
        <w:tc>
          <w:tcPr>
            <w:tcW w:w="40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CECC878"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  <w:t>445.51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D653E09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</w:rPr>
              <w:t>收入预算合计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E506A9E"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  <w:t>1033.51</w:t>
            </w:r>
          </w:p>
        </w:tc>
      </w:tr>
      <w:tr w14:paraId="245EE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92A099C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</w:p>
        </w:tc>
        <w:tc>
          <w:tcPr>
            <w:tcW w:w="285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CAE40C6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</w:p>
        </w:tc>
        <w:tc>
          <w:tcPr>
            <w:tcW w:w="40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FB630E5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A1FF614">
            <w:pPr>
              <w:jc w:val="center"/>
              <w:rPr>
                <w:rFonts w:asciiTheme="minorEastAsia" w:hAnsiTheme="minorEastAsia" w:eastAsia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</w:rPr>
              <w:t>支出预算合计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764C4E"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5"/>
                <w:szCs w:val="15"/>
                <w:lang w:val="en-US" w:eastAsia="zh-CN"/>
              </w:rPr>
              <w:t>1033.51</w:t>
            </w:r>
          </w:p>
        </w:tc>
      </w:tr>
      <w:tr w14:paraId="5B50C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LrV"/>
            <w:vAlign w:val="center"/>
          </w:tcPr>
          <w:p w14:paraId="24BEA1DE">
            <w:pPr>
              <w:ind w:left="113" w:right="113"/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15"/>
                <w:szCs w:val="15"/>
              </w:rPr>
              <w:t>绩 效 指 标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CA31E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一级指标</w:t>
            </w: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D7823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二级指标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DA89F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三级指标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34487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指标值</w:t>
            </w:r>
          </w:p>
        </w:tc>
      </w:tr>
      <w:tr w14:paraId="627135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CD47CD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BE40C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部门管理</w:t>
            </w:r>
          </w:p>
        </w:tc>
        <w:tc>
          <w:tcPr>
            <w:tcW w:w="12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BEAB6">
            <w:pPr>
              <w:jc w:val="center"/>
              <w:rPr>
                <w:rFonts w:hint="default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  <w:t>资金投入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C9CEB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基本支出预算执行率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FBC98">
            <w:pPr>
              <w:jc w:val="center"/>
              <w:rPr>
                <w:rFonts w:hint="default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  <w:t>100%</w:t>
            </w:r>
          </w:p>
        </w:tc>
      </w:tr>
      <w:tr w14:paraId="0990C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BEEA0F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36176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2CAD7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D640C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项目支出预算执行率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54C4F">
            <w:pPr>
              <w:jc w:val="center"/>
              <w:rPr>
                <w:rFonts w:hint="default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  <w:t>100%</w:t>
            </w:r>
          </w:p>
        </w:tc>
      </w:tr>
      <w:tr w14:paraId="20C72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4C123F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5E518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4EC01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4F95E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"三公经费“控制率”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8C73D">
            <w:pPr>
              <w:jc w:val="center"/>
              <w:rPr>
                <w:rFonts w:hint="default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  <w:t>100%</w:t>
            </w:r>
          </w:p>
        </w:tc>
      </w:tr>
      <w:tr w14:paraId="6EDD4B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52A38A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9F729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C293E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CAB73"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结转结余变动率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98460">
            <w:pPr>
              <w:jc w:val="center"/>
              <w:rPr>
                <w:rFonts w:hint="default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  <w:t>0%</w:t>
            </w:r>
          </w:p>
        </w:tc>
      </w:tr>
      <w:tr w14:paraId="13E07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DBC626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AC8C7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C73A5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财务管理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3E869"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财务管理制度健全性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895D6"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  <w:t>健全</w:t>
            </w:r>
          </w:p>
        </w:tc>
      </w:tr>
      <w:tr w14:paraId="731618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F0865B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AA572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32805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5E677"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资金使用规范性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5249E"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  <w:t>规范</w:t>
            </w:r>
          </w:p>
        </w:tc>
      </w:tr>
      <w:tr w14:paraId="3D643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D23D86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5DD8D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BC40A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采购管理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397F2"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政府采购规范性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9A25C"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  <w:t>规范</w:t>
            </w:r>
          </w:p>
        </w:tc>
      </w:tr>
      <w:tr w14:paraId="7483E7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90C3B3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3401C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F286B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资产管理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E128F"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资产管理规范性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40DF9"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  <w:t>规范</w:t>
            </w:r>
          </w:p>
        </w:tc>
      </w:tr>
      <w:tr w14:paraId="6D6E03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040C05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F661A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FD037"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人员管理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B944F"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在职人员控制率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84FB5">
            <w:pPr>
              <w:jc w:val="center"/>
              <w:rPr>
                <w:rFonts w:hint="default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  <w:t>≤100%</w:t>
            </w:r>
          </w:p>
        </w:tc>
      </w:tr>
      <w:tr w14:paraId="5E7F50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CF5F71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57CE5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45848"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重点工作管理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2DC16"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重点工作管理制度健全性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EA9E8">
            <w:pPr>
              <w:jc w:val="center"/>
              <w:rPr>
                <w:rFonts w:hint="default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  <w:t>健全</w:t>
            </w:r>
          </w:p>
        </w:tc>
      </w:tr>
      <w:tr w14:paraId="6092C5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B57003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0C081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履职效果</w:t>
            </w:r>
          </w:p>
        </w:tc>
        <w:tc>
          <w:tcPr>
            <w:tcW w:w="12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907A5">
            <w:pPr>
              <w:jc w:val="center"/>
              <w:rPr>
                <w:rFonts w:hint="default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  <w:t>部门履职目标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A30CC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提供医疗服务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C59A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效果显著</w:t>
            </w:r>
          </w:p>
        </w:tc>
      </w:tr>
      <w:tr w14:paraId="3F824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34C2F2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6A5F1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510AB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7BE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承担医疗卫生机构人才培养、医学科研、医疗教学等任务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48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稳步推进</w:t>
            </w:r>
          </w:p>
        </w:tc>
      </w:tr>
      <w:tr w14:paraId="636714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A23843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73546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855CA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9C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承担法定和政府制定的公共卫生服务、突发事件紧急医疗救援、援外、国防卫生动员、支农、支边和支援社区等任务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00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稳步推进</w:t>
            </w:r>
          </w:p>
        </w:tc>
      </w:tr>
      <w:tr w14:paraId="08BF1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4CA08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A8113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38390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3E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急危重症患者的抢救，疑难复杂疾病向上转诊服务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5D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效果显著</w:t>
            </w:r>
          </w:p>
        </w:tc>
      </w:tr>
      <w:tr w14:paraId="0D14E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40516F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54642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21519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部门效果目标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E4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提供医疗服务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53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  <w:t>效果显著</w:t>
            </w:r>
          </w:p>
        </w:tc>
      </w:tr>
      <w:tr w14:paraId="208B6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BE0197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8146C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484A9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39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承担医疗卫生机构人才培养、医学科研、医疗教学等任务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BF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  <w:t>稳步推进</w:t>
            </w:r>
          </w:p>
        </w:tc>
      </w:tr>
      <w:tr w14:paraId="215A3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006291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2D4D4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D61D3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9C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承担法定和政府制定的公共卫生服务、突发事件紧急医疗救援、援外、国防卫生动员、支农、支边和支援社区等任务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37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  <w:t>稳步推进</w:t>
            </w:r>
          </w:p>
        </w:tc>
      </w:tr>
      <w:tr w14:paraId="672A9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6F1BFC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78275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6B533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CD0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急危重症患者的抢救，疑难复杂疾病向上转诊服务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AB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  <w:t>效果显著</w:t>
            </w:r>
          </w:p>
        </w:tc>
      </w:tr>
      <w:tr w14:paraId="25C2D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0CBF58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FBDD0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12087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服务对象满意度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6B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群众满意度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72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  <w:lang w:val="en-US" w:eastAsia="zh-CN"/>
              </w:rPr>
              <w:t>≥90%</w:t>
            </w:r>
          </w:p>
        </w:tc>
      </w:tr>
      <w:tr w14:paraId="6BB879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449CD7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0B775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E3874"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社会影响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CF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充分发挥基本医疗服务职能，提高医院效能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C9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提高</w:t>
            </w:r>
          </w:p>
        </w:tc>
      </w:tr>
      <w:tr w14:paraId="0ABDB0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1D544E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42430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能力建设</w:t>
            </w: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A1A71"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长效管理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766E7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中期规划建设完备程度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8CF90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健全</w:t>
            </w:r>
          </w:p>
        </w:tc>
      </w:tr>
      <w:tr w14:paraId="659206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AEBA4A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A7F0F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9407E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人力资源建设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CF2A4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人员培训机制完备性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9EE3B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健全</w:t>
            </w:r>
          </w:p>
        </w:tc>
      </w:tr>
      <w:tr w14:paraId="2008F0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1183D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59334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3C2B6"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档案管理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432A2"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档案管理完备性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7391E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5"/>
                <w:szCs w:val="15"/>
              </w:rPr>
              <w:t>健全</w:t>
            </w:r>
          </w:p>
        </w:tc>
      </w:tr>
    </w:tbl>
    <w:p w14:paraId="34263561">
      <w:r>
        <w:rPr>
          <w:rFonts w:ascii="仿宋_GB2312" w:eastAsia="仿宋_GB2312"/>
          <w:b/>
          <w:sz w:val="28"/>
          <w:szCs w:val="28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466B70"/>
    <w:rsid w:val="1D5A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2025-01-23T07:18:28Z</dcterms:created>
  <dc:creator>DELL</dc:creator>
  <cp:lastModifiedBy>  A  七  月  _</cp:lastModifiedBy>
  <dcterms:modified xsi:type="dcterms:W3CDTF">2025-01-23T07:18:53Z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eyJoZGlkIjoiYTFiNjAwZWY3ODQwNjhkNzFjNDQxNDc3NDA4OWEwODEiLCJ1c2VySWQiOiI0NDc0Njk3MTYifQ==</vt:lpwstr>
  </property>
  <property fmtid="{D5CDD505-2E9C-101B-9397-08002B2CF9AE}" pid="4" name="ICV">
    <vt:lpwstr>44EBBEBB37444CEFA32C302390E05545_12</vt:lpwstr>
  </property>
</Properties>
</file>