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line="560" w:lineRule="exact"/>
        <w:jc w:val="left"/>
        <w:rPr>
          <w:rFonts w:hint="default" w:ascii="仿宋_GB2312" w:eastAsia="仿宋_GB2312"/>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left"/>
        <w:rPr>
          <w:rFonts w:hint="eastAsia" w:ascii="仿宋_GB2312" w:eastAsia="仿宋_GB2312"/>
          <w:sz w:val="32"/>
          <w:szCs w:val="32"/>
        </w:rPr>
      </w:pP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20</w:t>
      </w:r>
      <w:r>
        <w:rPr>
          <w:rFonts w:hint="eastAsia" w:ascii="方正小标宋简体" w:hAnsi="方正小标宋简体" w:eastAsia="方正小标宋简体" w:cs="方正小标宋简体"/>
          <w:b w:val="0"/>
          <w:bCs w:val="0"/>
          <w:kern w:val="2"/>
          <w:sz w:val="40"/>
          <w:szCs w:val="40"/>
          <w:lang w:val="en-US" w:eastAsia="zh-CN"/>
        </w:rPr>
        <w:t>22</w:t>
      </w:r>
      <w:r>
        <w:rPr>
          <w:rFonts w:hint="eastAsia" w:ascii="方正小标宋简体" w:hAnsi="方正小标宋简体" w:eastAsia="方正小标宋简体" w:cs="方正小标宋简体"/>
          <w:b w:val="0"/>
          <w:bCs w:val="0"/>
          <w:kern w:val="2"/>
          <w:sz w:val="40"/>
          <w:szCs w:val="40"/>
          <w:lang w:eastAsia="zh-CN"/>
        </w:rPr>
        <w:t>年度骆驼城镇人民政府绩效自评</w:t>
      </w: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工作总结</w:t>
      </w: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p>
    <w:p>
      <w:pPr>
        <w:pStyle w:val="11"/>
        <w:spacing w:line="500" w:lineRule="exact"/>
        <w:ind w:left="111" w:right="125" w:firstLine="639"/>
        <w:jc w:val="both"/>
        <w:rPr>
          <w:rFonts w:hint="eastAsia" w:ascii="仿宋_GB2312" w:eastAsia="仿宋_GB2312"/>
          <w:spacing w:val="4"/>
          <w:kern w:val="0"/>
          <w:sz w:val="32"/>
          <w:szCs w:val="32"/>
        </w:rPr>
      </w:pPr>
      <w:r>
        <w:rPr>
          <w:rFonts w:hint="eastAsia" w:ascii="黑体" w:hAnsi="黑体" w:eastAsia="黑体" w:cs="黑体"/>
          <w:kern w:val="2"/>
          <w:sz w:val="32"/>
          <w:szCs w:val="32"/>
          <w:lang w:eastAsia="zh-CN"/>
        </w:rPr>
        <w:t>一、自评工作开展情况</w:t>
      </w:r>
    </w:p>
    <w:p>
      <w:pPr>
        <w:spacing w:line="560" w:lineRule="exact"/>
        <w:ind w:firstLine="656" w:firstLineChars="200"/>
        <w:jc w:val="left"/>
        <w:rPr>
          <w:rFonts w:hint="eastAsia" w:ascii="黑体" w:hAnsi="黑体" w:eastAsia="黑体" w:cs="黑体"/>
          <w:kern w:val="2"/>
          <w:sz w:val="28"/>
          <w:szCs w:val="28"/>
          <w:lang w:eastAsia="zh-CN"/>
        </w:rPr>
      </w:pPr>
      <w:r>
        <w:rPr>
          <w:rFonts w:hint="eastAsia" w:ascii="仿宋_GB2312" w:eastAsia="仿宋_GB2312"/>
          <w:spacing w:val="4"/>
          <w:kern w:val="0"/>
          <w:sz w:val="32"/>
          <w:szCs w:val="32"/>
        </w:rPr>
        <w:t>为全面贯彻落实《中共高台县委高台县人民政府关于全面实施预算绩效管理的实施意见》（高发〔2019〕36号）</w:t>
      </w:r>
      <w:r>
        <w:rPr>
          <w:rFonts w:hint="eastAsia" w:ascii="仿宋_GB2312" w:hAnsi="Times New Roman" w:eastAsia="仿宋_GB2312" w:cs="仿宋_GB2312"/>
          <w:sz w:val="32"/>
          <w:szCs w:val="32"/>
        </w:rPr>
        <w:t>进一步深化我镇预算绩效管理工作，强化预算支出责任，提高财政资金配置和使用效益，加快建成全方位、全过程、全覆盖的预算绩效管理体系，</w:t>
      </w:r>
      <w:r>
        <w:rPr>
          <w:rFonts w:hint="eastAsia" w:ascii="仿宋_GB2312" w:eastAsia="仿宋_GB2312"/>
          <w:sz w:val="32"/>
          <w:szCs w:val="32"/>
        </w:rPr>
        <w:t>我</w:t>
      </w:r>
      <w:r>
        <w:rPr>
          <w:rFonts w:hint="eastAsia" w:ascii="仿宋_GB2312" w:eastAsia="仿宋_GB2312"/>
          <w:sz w:val="32"/>
          <w:szCs w:val="32"/>
          <w:lang w:eastAsia="zh-CN"/>
        </w:rPr>
        <w:t>镇</w:t>
      </w:r>
      <w:r>
        <w:rPr>
          <w:rFonts w:hint="eastAsia" w:ascii="仿宋_GB2312" w:eastAsia="仿宋_GB2312"/>
          <w:sz w:val="32"/>
          <w:szCs w:val="32"/>
        </w:rPr>
        <w:t>根据</w:t>
      </w:r>
      <w:r>
        <w:rPr>
          <w:rFonts w:hint="eastAsia" w:ascii="仿宋_GB2312" w:hAnsi="仿宋" w:eastAsia="仿宋_GB2312"/>
          <w:sz w:val="32"/>
          <w:szCs w:val="32"/>
        </w:rPr>
        <w:t>资金绩效目标管理情况</w:t>
      </w:r>
      <w:r>
        <w:rPr>
          <w:rFonts w:hint="eastAsia" w:ascii="仿宋_GB2312" w:eastAsia="仿宋_GB2312"/>
          <w:sz w:val="32"/>
          <w:szCs w:val="32"/>
        </w:rPr>
        <w:t>进行了认真细致的自查、自评。</w:t>
      </w:r>
      <w:r>
        <w:rPr>
          <w:rFonts w:hint="eastAsia" w:ascii="仿宋_GB2312" w:hAnsi="仿宋" w:eastAsia="仿宋_GB2312"/>
          <w:sz w:val="32"/>
          <w:szCs w:val="32"/>
        </w:rPr>
        <w:t>现就自评情况报告如下：</w:t>
      </w:r>
    </w:p>
    <w:p>
      <w:pPr>
        <w:pStyle w:val="11"/>
        <w:spacing w:after="93" w:line="600" w:lineRule="exact"/>
        <w:ind w:left="111" w:right="125" w:firstLine="639"/>
        <w:rPr>
          <w:rFonts w:hint="default" w:ascii="仿宋_GB2312" w:hAnsi="仿宋" w:eastAsia="仿宋_GB2312"/>
          <w:sz w:val="32"/>
          <w:szCs w:val="32"/>
          <w:lang w:val="en-US" w:eastAsia="zh-CN"/>
        </w:rPr>
      </w:pPr>
      <w:r>
        <w:rPr>
          <w:rFonts w:hint="eastAsia" w:ascii="仿宋_GB2312" w:eastAsia="仿宋_GB2312" w:cs="仿宋_GB2312"/>
          <w:sz w:val="32"/>
          <w:szCs w:val="32"/>
          <w:lang w:eastAsia="zh-CN"/>
        </w:rPr>
        <w:t>骆驼城镇</w:t>
      </w:r>
      <w:r>
        <w:rPr>
          <w:rFonts w:hint="eastAsia" w:ascii="仿宋_GB2312" w:eastAsia="仿宋_GB2312" w:cs="仿宋_GB2312"/>
          <w:sz w:val="32"/>
          <w:szCs w:val="32"/>
          <w:lang w:val="en-US" w:eastAsia="zh-CN"/>
        </w:rPr>
        <w:t>2022</w:t>
      </w:r>
      <w:r>
        <w:rPr>
          <w:rFonts w:hint="eastAsia" w:ascii="仿宋_GB2312" w:hAnsi="Times New Roman" w:eastAsia="仿宋_GB2312" w:cs="仿宋_GB2312"/>
          <w:sz w:val="32"/>
          <w:szCs w:val="32"/>
        </w:rPr>
        <w:t>年度部门预算总金额</w:t>
      </w:r>
      <w:r>
        <w:rPr>
          <w:rFonts w:hint="eastAsia" w:ascii="仿宋_GB2312" w:eastAsia="仿宋_GB2312" w:cs="仿宋_GB2312"/>
          <w:sz w:val="32"/>
          <w:szCs w:val="32"/>
          <w:lang w:val="en-US" w:eastAsia="zh-CN"/>
        </w:rPr>
        <w:t>1057.34</w:t>
      </w:r>
      <w:r>
        <w:rPr>
          <w:rFonts w:hint="eastAsia" w:ascii="仿宋_GB2312" w:hAnsi="Times New Roman" w:eastAsia="仿宋_GB2312" w:cs="仿宋_GB2312"/>
          <w:sz w:val="32"/>
          <w:szCs w:val="32"/>
        </w:rPr>
        <w:t>万元，其中人员经费</w:t>
      </w:r>
      <w:r>
        <w:rPr>
          <w:rFonts w:hint="eastAsia" w:ascii="仿宋_GB2312" w:eastAsia="仿宋_GB2312" w:cs="仿宋_GB2312"/>
          <w:sz w:val="32"/>
          <w:szCs w:val="32"/>
          <w:lang w:val="en-US" w:eastAsia="zh-CN"/>
        </w:rPr>
        <w:t>989.74</w:t>
      </w:r>
      <w:r>
        <w:rPr>
          <w:rFonts w:hint="eastAsia" w:ascii="仿宋_GB2312" w:hAnsi="Times New Roman" w:eastAsia="仿宋_GB2312" w:cs="仿宋_GB2312"/>
          <w:sz w:val="32"/>
          <w:szCs w:val="32"/>
        </w:rPr>
        <w:t>万元，公用经费</w:t>
      </w:r>
      <w:r>
        <w:rPr>
          <w:rFonts w:hint="eastAsia" w:ascii="仿宋_GB2312" w:hAnsi="Times New Roman" w:eastAsia="仿宋_GB2312" w:cs="仿宋_GB2312"/>
          <w:sz w:val="32"/>
          <w:szCs w:val="32"/>
          <w:lang w:val="en-US" w:eastAsia="zh-CN"/>
        </w:rPr>
        <w:t>67.61</w:t>
      </w:r>
      <w:r>
        <w:rPr>
          <w:rFonts w:hint="eastAsia" w:ascii="仿宋_GB2312" w:hAnsi="Times New Roman"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hAnsi="Times New Roman" w:eastAsia="仿宋_GB2312" w:cs="仿宋_GB2312"/>
          <w:sz w:val="32"/>
          <w:szCs w:val="32"/>
        </w:rPr>
        <w:t>为顺利做好本次绩效自评工作，我镇组织相关负责同志，对20</w:t>
      </w:r>
      <w:r>
        <w:rPr>
          <w:rFonts w:hint="eastAsia" w:ascii="仿宋_GB2312" w:eastAsia="仿宋_GB2312" w:cs="仿宋_GB2312"/>
          <w:sz w:val="32"/>
          <w:szCs w:val="32"/>
          <w:lang w:val="en-US" w:eastAsia="zh-CN"/>
        </w:rPr>
        <w:t>22</w:t>
      </w:r>
      <w:r>
        <w:rPr>
          <w:rFonts w:hint="eastAsia" w:ascii="仿宋_GB2312" w:hAnsi="Times New Roman" w:eastAsia="仿宋_GB2312" w:cs="仿宋_GB2312"/>
          <w:sz w:val="32"/>
          <w:szCs w:val="32"/>
        </w:rPr>
        <w:t>年度预算编制、执行情况进行认真分析，结合年底决算数据，</w:t>
      </w:r>
      <w:r>
        <w:rPr>
          <w:rFonts w:hint="eastAsia" w:ascii="仿宋_GB2312" w:hAnsi="仿宋" w:eastAsia="仿宋_GB2312"/>
          <w:sz w:val="32"/>
          <w:szCs w:val="32"/>
          <w:lang w:eastAsia="zh-CN"/>
        </w:rPr>
        <w:t>我镇</w:t>
      </w:r>
      <w:r>
        <w:rPr>
          <w:rFonts w:hint="eastAsia" w:ascii="仿宋_GB2312" w:hAnsi="仿宋" w:eastAsia="仿宋_GB2312"/>
          <w:sz w:val="32"/>
          <w:szCs w:val="32"/>
        </w:rPr>
        <w:t>按照20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年度实际完成值，逐一填报《</w:t>
      </w:r>
      <w:bookmarkStart w:id="0" w:name="_GoBack"/>
      <w:bookmarkEnd w:id="0"/>
      <w:r>
        <w:rPr>
          <w:rFonts w:hint="eastAsia" w:ascii="仿宋_GB2312" w:hAnsi="仿宋" w:eastAsia="仿宋_GB2312"/>
          <w:sz w:val="32"/>
          <w:szCs w:val="32"/>
        </w:rPr>
        <w:t>部门整体支出绩效自评表》，同时对部门整体支出实施效果进行分析总结，</w:t>
      </w:r>
      <w:r>
        <w:rPr>
          <w:rFonts w:hint="eastAsia" w:ascii="仿宋_GB2312" w:hAnsi="Times New Roman" w:eastAsia="仿宋_GB2312" w:cs="仿宋_GB2312"/>
          <w:sz w:val="32"/>
          <w:szCs w:val="32"/>
        </w:rPr>
        <w:t>并形成绩效自评工作总结。</w:t>
      </w:r>
    </w:p>
    <w:p>
      <w:pPr>
        <w:pStyle w:val="11"/>
        <w:spacing w:line="500" w:lineRule="exact"/>
        <w:ind w:left="111" w:right="125" w:firstLine="639"/>
        <w:jc w:val="both"/>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二、自评结果概述</w:t>
      </w:r>
    </w:p>
    <w:p>
      <w:pPr>
        <w:spacing w:line="56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lang w:eastAsia="zh-CN"/>
        </w:rPr>
        <w:t>骆驼城镇</w:t>
      </w:r>
      <w:r>
        <w:rPr>
          <w:rFonts w:hint="eastAsia" w:ascii="楷体_GB2312" w:hAnsi="仿宋" w:eastAsia="楷体_GB2312"/>
          <w:sz w:val="32"/>
          <w:szCs w:val="32"/>
        </w:rPr>
        <w:t>总体绩效目标完成情况分析。</w:t>
      </w:r>
    </w:p>
    <w:p>
      <w:pPr>
        <w:spacing w:line="60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1、部门机构概况</w:t>
      </w:r>
    </w:p>
    <w:p>
      <w:pPr>
        <w:widowControl/>
        <w:spacing w:line="580" w:lineRule="exact"/>
        <w:ind w:firstLine="640" w:firstLineChars="200"/>
        <w:rPr>
          <w:rFonts w:hint="eastAsia" w:ascii="仿宋_GB2312" w:hAnsi="仿宋_GB2312" w:eastAsia="仿宋_GB2312" w:cs="仿宋_GB2312"/>
          <w:snapToGrid w:val="0"/>
          <w:kern w:val="0"/>
          <w:sz w:val="32"/>
          <w:szCs w:val="32"/>
          <w:lang w:val="zh-CN" w:eastAsia="zh-CN"/>
        </w:rPr>
      </w:pPr>
      <w:r>
        <w:rPr>
          <w:rFonts w:hint="eastAsia" w:ascii="仿宋_GB2312" w:hAnsi="仿宋_GB2312" w:eastAsia="仿宋_GB2312" w:cs="仿宋_GB2312"/>
          <w:snapToGrid w:val="0"/>
          <w:kern w:val="0"/>
          <w:sz w:val="32"/>
          <w:szCs w:val="32"/>
          <w:lang w:val="zh-CN" w:eastAsia="zh-CN"/>
        </w:rPr>
        <w:t>骆驼城镇内设6个党政内设机构，分别是:党政综合办公室、党建工作办公室、经济发展办公室、社会事务办公室、社会治理和应急管理办公室、人大办公室；设5个事业单位，分别为：农业农村综合服务中心、公共事务服务中心、政务（便民）服务中心、社会治安综合治理中心、综合行政执法队。</w:t>
      </w:r>
    </w:p>
    <w:p>
      <w:pPr>
        <w:snapToGrid w:val="0"/>
        <w:spacing w:line="600" w:lineRule="exact"/>
        <w:ind w:firstLine="643"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kern w:val="0"/>
          <w:sz w:val="32"/>
          <w:szCs w:val="32"/>
        </w:rPr>
        <w:t>2、部门整体支出管理及使用情况</w:t>
      </w:r>
    </w:p>
    <w:p>
      <w:pPr>
        <w:widowControl/>
        <w:spacing w:line="58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年全年预算数</w:t>
      </w:r>
      <w:r>
        <w:rPr>
          <w:rFonts w:hint="eastAsia" w:ascii="仿宋_GB2312" w:hAnsi="仿宋_GB2312" w:eastAsia="仿宋_GB2312" w:cs="仿宋_GB2312"/>
          <w:kern w:val="0"/>
          <w:sz w:val="32"/>
          <w:szCs w:val="32"/>
          <w:lang w:val="en-US" w:eastAsia="zh-CN"/>
        </w:rPr>
        <w:t>1057.34</w:t>
      </w:r>
      <w:r>
        <w:rPr>
          <w:rFonts w:hint="eastAsia" w:ascii="仿宋_GB2312" w:hAnsi="仿宋_GB2312" w:eastAsia="仿宋_GB2312" w:cs="仿宋_GB2312"/>
          <w:kern w:val="0"/>
          <w:sz w:val="32"/>
          <w:szCs w:val="32"/>
        </w:rPr>
        <w:t>万元，全年执行数</w:t>
      </w:r>
      <w:r>
        <w:rPr>
          <w:rFonts w:hint="eastAsia" w:ascii="仿宋_GB2312" w:hAnsi="仿宋_GB2312" w:eastAsia="仿宋_GB2312" w:cs="仿宋_GB2312"/>
          <w:kern w:val="0"/>
          <w:sz w:val="32"/>
          <w:szCs w:val="32"/>
          <w:lang w:val="en-US" w:eastAsia="zh-CN"/>
        </w:rPr>
        <w:t>1135.88</w:t>
      </w:r>
      <w:r>
        <w:rPr>
          <w:rFonts w:hint="eastAsia" w:ascii="仿宋_GB2312" w:hAnsi="仿宋_GB2312" w:eastAsia="仿宋_GB2312" w:cs="仿宋_GB2312"/>
          <w:kern w:val="0"/>
          <w:sz w:val="32"/>
          <w:szCs w:val="32"/>
        </w:rPr>
        <w:t>万元。其中，人员工资福利支出</w:t>
      </w:r>
      <w:r>
        <w:rPr>
          <w:rFonts w:hint="eastAsia" w:ascii="仿宋_GB2312" w:hAnsi="仿宋_GB2312" w:eastAsia="仿宋_GB2312" w:cs="仿宋_GB2312"/>
          <w:kern w:val="0"/>
          <w:sz w:val="32"/>
          <w:szCs w:val="32"/>
          <w:lang w:val="en-US" w:eastAsia="zh-CN"/>
        </w:rPr>
        <w:t>989.74</w:t>
      </w:r>
      <w:r>
        <w:rPr>
          <w:rFonts w:hint="eastAsia" w:ascii="仿宋_GB2312" w:hAnsi="仿宋_GB2312" w:eastAsia="仿宋_GB2312" w:cs="仿宋_GB2312"/>
          <w:kern w:val="0"/>
          <w:sz w:val="32"/>
          <w:szCs w:val="32"/>
        </w:rPr>
        <w:t>万元，包含基本工资、津贴补贴、奖金、绩效工资、社会保障缴费、住房公积金、其他工资福利支出、生活补助等；</w:t>
      </w:r>
      <w:r>
        <w:rPr>
          <w:rFonts w:hint="eastAsia" w:ascii="仿宋_GB2312" w:hAnsi="楷体_GB2312" w:eastAsia="仿宋_GB2312" w:cs="楷体_GB2312"/>
          <w:sz w:val="32"/>
          <w:szCs w:val="32"/>
        </w:rPr>
        <w:t>公用经费支出包含“三公”经费、办公费、水电费、差旅费、维护费等。</w:t>
      </w:r>
    </w:p>
    <w:p>
      <w:pPr>
        <w:widowControl/>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“三公”经费支出情况。202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年“三公”经费支出</w:t>
      </w:r>
      <w:r>
        <w:rPr>
          <w:rFonts w:hint="eastAsia" w:ascii="仿宋_GB2312" w:hAnsi="仿宋_GB2312" w:eastAsia="仿宋_GB2312" w:cs="仿宋_GB2312"/>
          <w:kern w:val="0"/>
          <w:sz w:val="32"/>
          <w:szCs w:val="32"/>
          <w:lang w:val="en-US" w:eastAsia="zh-CN"/>
        </w:rPr>
        <w:t>7.05</w:t>
      </w:r>
      <w:r>
        <w:rPr>
          <w:rFonts w:hint="eastAsia" w:ascii="仿宋_GB2312" w:hAnsi="仿宋_GB2312" w:eastAsia="仿宋_GB2312" w:cs="仿宋_GB2312"/>
          <w:kern w:val="0"/>
          <w:sz w:val="32"/>
          <w:szCs w:val="32"/>
        </w:rPr>
        <w:t>万元，其中：因公出国（境）费支出0万元；公务用车购置为0，公车运行维护费支出</w:t>
      </w:r>
      <w:r>
        <w:rPr>
          <w:rFonts w:hint="eastAsia" w:ascii="仿宋_GB2312" w:hAnsi="仿宋_GB2312" w:eastAsia="仿宋_GB2312" w:cs="仿宋_GB2312"/>
          <w:kern w:val="0"/>
          <w:sz w:val="32"/>
          <w:szCs w:val="32"/>
          <w:lang w:val="en-US" w:eastAsia="zh-CN"/>
        </w:rPr>
        <w:t>3.37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、公务接待费</w:t>
      </w:r>
      <w:r>
        <w:rPr>
          <w:rFonts w:hint="eastAsia" w:ascii="仿宋_GB2312" w:hAnsi="仿宋_GB2312" w:eastAsia="仿宋_GB2312" w:cs="仿宋_GB2312"/>
          <w:kern w:val="0"/>
          <w:sz w:val="32"/>
          <w:szCs w:val="32"/>
          <w:lang w:val="en-US" w:eastAsia="zh-CN"/>
        </w:rPr>
        <w:t>3.68万元</w:t>
      </w:r>
      <w:r>
        <w:rPr>
          <w:rFonts w:hint="eastAsia" w:ascii="仿宋_GB2312" w:hAnsi="仿宋_GB2312" w:eastAsia="仿宋_GB2312" w:cs="仿宋_GB2312"/>
          <w:kern w:val="0"/>
          <w:sz w:val="32"/>
          <w:szCs w:val="32"/>
        </w:rPr>
        <w:t>。“三公”经费支出</w:t>
      </w:r>
      <w:r>
        <w:rPr>
          <w:rFonts w:hint="eastAsia" w:ascii="仿宋_GB2312" w:hAnsi="仿宋_GB2312" w:eastAsia="仿宋_GB2312" w:cs="仿宋_GB2312"/>
          <w:kern w:val="0"/>
          <w:sz w:val="32"/>
          <w:szCs w:val="32"/>
          <w:lang w:eastAsia="zh-CN"/>
        </w:rPr>
        <w:t>有所增加的原因是严格执行只减不增的原则进行经费预算，但受油价上涨的原因，经费支出有所增加。</w:t>
      </w:r>
    </w:p>
    <w:p>
      <w:pPr>
        <w:snapToGrid w:val="0"/>
        <w:spacing w:line="600" w:lineRule="exact"/>
        <w:ind w:firstLine="643" w:firstLineChars="200"/>
        <w:rPr>
          <w:rFonts w:ascii="仿宋_GB2312" w:hAnsi="仿宋" w:eastAsia="仿宋_GB2312"/>
          <w:b/>
          <w:bCs/>
          <w:color w:val="212121"/>
          <w:sz w:val="32"/>
          <w:szCs w:val="32"/>
        </w:rPr>
      </w:pPr>
      <w:r>
        <w:rPr>
          <w:rFonts w:hint="eastAsia" w:ascii="仿宋_GB2312" w:hAnsi="仿宋" w:eastAsia="仿宋_GB2312"/>
          <w:b/>
          <w:bCs/>
          <w:color w:val="212121"/>
          <w:sz w:val="32"/>
          <w:szCs w:val="32"/>
        </w:rPr>
        <w:t>3、部门整体支出绩效情况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年县财政向我</w:t>
      </w:r>
      <w:r>
        <w:rPr>
          <w:rFonts w:hint="eastAsia" w:ascii="仿宋_GB2312" w:hAnsi="仿宋" w:eastAsia="仿宋_GB2312"/>
          <w:sz w:val="32"/>
          <w:szCs w:val="32"/>
          <w:lang w:eastAsia="zh-CN"/>
        </w:rPr>
        <w:t>镇</w:t>
      </w:r>
      <w:r>
        <w:rPr>
          <w:rFonts w:hint="eastAsia" w:ascii="仿宋_GB2312" w:hAnsi="仿宋" w:eastAsia="仿宋_GB2312"/>
          <w:sz w:val="32"/>
          <w:szCs w:val="32"/>
        </w:rPr>
        <w:t>下达</w:t>
      </w:r>
      <w:r>
        <w:rPr>
          <w:rFonts w:hint="eastAsia" w:ascii="仿宋_GB2312" w:hAnsi="仿宋" w:eastAsia="仿宋_GB2312"/>
          <w:sz w:val="32"/>
          <w:szCs w:val="32"/>
          <w:lang w:eastAsia="zh-CN"/>
        </w:rPr>
        <w:t>全年预算数为</w:t>
      </w:r>
      <w:r>
        <w:rPr>
          <w:rFonts w:hint="eastAsia" w:ascii="仿宋_GB2312" w:hAnsi="仿宋" w:eastAsia="仿宋_GB2312"/>
          <w:sz w:val="32"/>
          <w:szCs w:val="32"/>
          <w:lang w:val="en-US" w:eastAsia="zh-CN"/>
        </w:rPr>
        <w:t>1130.88万元</w:t>
      </w:r>
      <w:r>
        <w:rPr>
          <w:rFonts w:hint="eastAsia" w:ascii="仿宋_GB2312" w:hAnsi="仿宋" w:eastAsia="仿宋_GB2312"/>
          <w:sz w:val="32"/>
          <w:szCs w:val="32"/>
        </w:rPr>
        <w:t>，</w:t>
      </w:r>
      <w:r>
        <w:rPr>
          <w:rFonts w:hint="eastAsia" w:ascii="仿宋_GB2312" w:hAnsi="仿宋" w:eastAsia="仿宋_GB2312"/>
          <w:sz w:val="32"/>
          <w:szCs w:val="32"/>
          <w:lang w:eastAsia="zh-CN"/>
        </w:rPr>
        <w:t>年终决算全年资金执行数为</w:t>
      </w:r>
      <w:r>
        <w:rPr>
          <w:rFonts w:hint="eastAsia" w:ascii="仿宋_GB2312" w:hAnsi="仿宋" w:eastAsia="仿宋_GB2312"/>
          <w:sz w:val="32"/>
          <w:szCs w:val="32"/>
          <w:lang w:val="en-US" w:eastAsia="zh-CN"/>
        </w:rPr>
        <w:t>1135.088万元</w:t>
      </w:r>
      <w:r>
        <w:rPr>
          <w:rFonts w:hint="eastAsia" w:ascii="仿宋_GB2312" w:hAnsi="仿宋" w:eastAsia="仿宋_GB2312"/>
          <w:sz w:val="32"/>
          <w:szCs w:val="32"/>
        </w:rPr>
        <w:t>年底无结余结转。经费严格按照相关资金管理办法进行使用，做到了财务制度健全、管理规范、会计核算规范，专款专用，专项核算，没有列支与项目内容无关的费用。资金执行率为100%。</w:t>
      </w:r>
    </w:p>
    <w:p>
      <w:pPr>
        <w:spacing w:line="560" w:lineRule="exact"/>
        <w:ind w:firstLine="640" w:firstLineChars="200"/>
        <w:jc w:val="left"/>
        <w:rPr>
          <w:rFonts w:ascii="仿宋_GB2312" w:hAnsi="仿宋" w:eastAsia="仿宋_GB2312"/>
          <w:sz w:val="32"/>
          <w:szCs w:val="32"/>
        </w:rPr>
      </w:pPr>
      <w:r>
        <w:rPr>
          <w:rFonts w:hint="eastAsia" w:ascii="仿宋_GB2312" w:hAnsi="仿宋_GB2312" w:eastAsia="仿宋_GB2312" w:cs="仿宋_GB2312"/>
          <w:snapToGrid w:val="0"/>
          <w:kern w:val="0"/>
          <w:sz w:val="32"/>
          <w:szCs w:val="32"/>
        </w:rPr>
        <w:t>资金到位后，</w:t>
      </w:r>
      <w:r>
        <w:rPr>
          <w:rFonts w:hint="eastAsia" w:ascii="仿宋_GB2312" w:hAnsi="仿宋_GB2312" w:eastAsia="仿宋_GB2312" w:cs="仿宋_GB2312"/>
          <w:snapToGrid w:val="0"/>
          <w:kern w:val="0"/>
          <w:sz w:val="32"/>
          <w:szCs w:val="32"/>
          <w:lang w:eastAsia="zh-CN"/>
        </w:rPr>
        <w:t>我镇</w:t>
      </w:r>
      <w:r>
        <w:rPr>
          <w:rFonts w:hint="eastAsia" w:ascii="仿宋_GB2312" w:hAnsi="仿宋_GB2312" w:eastAsia="仿宋_GB2312" w:cs="仿宋_GB2312"/>
          <w:snapToGrid w:val="0"/>
          <w:kern w:val="0"/>
          <w:sz w:val="32"/>
          <w:szCs w:val="32"/>
        </w:rPr>
        <w:t>在管理、使用上严格按照相关专项资金管理办法执行，各项支出符合规定，无挤占挪用的现象，确保了专款专用、精打细算，保证了资金高效、安全运行，有力保障了此项工作的正常开展。</w:t>
      </w:r>
      <w:r>
        <w:rPr>
          <w:rFonts w:hint="eastAsia" w:ascii="仿宋_GB2312" w:hAnsi="仿宋" w:eastAsia="仿宋_GB2312"/>
          <w:sz w:val="32"/>
          <w:szCs w:val="32"/>
        </w:rPr>
        <w:t>该项目资金拨付及时、财务管理规范、项目计划合理，未有违反财经纪律的情况发生。</w:t>
      </w:r>
    </w:p>
    <w:p>
      <w:pPr>
        <w:widowControl/>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所有项目已全面完成了20</w:t>
      </w:r>
      <w:r>
        <w:rPr>
          <w:rFonts w:hint="eastAsia" w:ascii="仿宋_GB2312" w:hAnsi="仿宋_GB2312" w:eastAsia="仿宋_GB2312" w:cs="仿宋_GB2312"/>
          <w:snapToGrid w:val="0"/>
          <w:kern w:val="0"/>
          <w:sz w:val="32"/>
          <w:szCs w:val="32"/>
          <w:lang w:val="en-US" w:eastAsia="zh-CN"/>
        </w:rPr>
        <w:t>22</w:t>
      </w:r>
      <w:r>
        <w:rPr>
          <w:rFonts w:hint="eastAsia" w:ascii="仿宋_GB2312" w:hAnsi="仿宋_GB2312" w:eastAsia="仿宋_GB2312" w:cs="仿宋_GB2312"/>
          <w:snapToGrid w:val="0"/>
          <w:kern w:val="0"/>
          <w:sz w:val="32"/>
          <w:szCs w:val="32"/>
        </w:rPr>
        <w:t>年度绩效目标。进一步增强了我</w:t>
      </w:r>
      <w:r>
        <w:rPr>
          <w:rFonts w:hint="eastAsia" w:ascii="仿宋_GB2312" w:hAnsi="仿宋_GB2312" w:eastAsia="仿宋_GB2312" w:cs="仿宋_GB2312"/>
          <w:snapToGrid w:val="0"/>
          <w:kern w:val="0"/>
          <w:sz w:val="32"/>
          <w:szCs w:val="32"/>
          <w:lang w:eastAsia="zh-CN"/>
        </w:rPr>
        <w:t>镇</w:t>
      </w:r>
      <w:r>
        <w:rPr>
          <w:rFonts w:hint="eastAsia" w:ascii="仿宋_GB2312" w:eastAsia="仿宋_GB2312"/>
          <w:sz w:val="32"/>
          <w:szCs w:val="32"/>
        </w:rPr>
        <w:t>服务职能</w:t>
      </w:r>
      <w:r>
        <w:rPr>
          <w:rFonts w:hint="eastAsia" w:ascii="仿宋_GB2312" w:hAnsi="仿宋_GB2312" w:eastAsia="仿宋_GB2312" w:cs="仿宋_GB2312"/>
          <w:snapToGrid w:val="0"/>
          <w:kern w:val="0"/>
          <w:sz w:val="32"/>
          <w:szCs w:val="32"/>
        </w:rPr>
        <w:t>，群众满意度高，评价良好，</w:t>
      </w:r>
      <w:r>
        <w:rPr>
          <w:rFonts w:hint="eastAsia" w:ascii="仿宋_GB2312" w:hAnsi="仿宋_GB2312" w:eastAsia="仿宋_GB2312" w:cs="仿宋_GB2312"/>
          <w:sz w:val="32"/>
          <w:szCs w:val="32"/>
        </w:rPr>
        <w:t>绩效评价总分值100分，自评得分</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分，绩效评价结果为“优”。</w:t>
      </w:r>
    </w:p>
    <w:p>
      <w:pPr>
        <w:spacing w:line="600" w:lineRule="exact"/>
        <w:ind w:firstLine="645"/>
        <w:rPr>
          <w:rFonts w:ascii="仿宋_GB2312" w:hAnsi="黑体" w:eastAsia="仿宋_GB2312" w:cs="仿宋_GB2312"/>
          <w:b/>
          <w:bCs/>
          <w:sz w:val="32"/>
          <w:szCs w:val="32"/>
        </w:rPr>
      </w:pPr>
      <w:r>
        <w:rPr>
          <w:rFonts w:hint="eastAsia" w:ascii="仿宋_GB2312" w:hAnsi="黑体" w:eastAsia="仿宋_GB2312" w:cs="仿宋_GB2312"/>
          <w:b/>
          <w:bCs/>
          <w:sz w:val="32"/>
          <w:szCs w:val="32"/>
        </w:rPr>
        <w:t>4、存在的问题</w:t>
      </w:r>
    </w:p>
    <w:p>
      <w:pPr>
        <w:keepNext w:val="0"/>
        <w:keepLines w:val="0"/>
        <w:pageBreakBefore w:val="0"/>
        <w:widowControl w:val="0"/>
        <w:kinsoku/>
        <w:wordWrap/>
        <w:overflowPunct/>
        <w:topLinePunct w:val="0"/>
        <w:autoSpaceDE/>
        <w:autoSpaceDN/>
        <w:bidi w:val="0"/>
        <w:spacing w:line="579" w:lineRule="exact"/>
        <w:ind w:firstLine="640"/>
        <w:textAlignment w:val="auto"/>
        <w:rPr>
          <w:rFonts w:hint="eastAsia" w:ascii="仿宋_GB2312" w:hAnsi="黑体" w:eastAsia="仿宋_GB2312" w:cs="仿宋_GB2312"/>
          <w:color w:val="auto"/>
          <w:spacing w:val="6"/>
          <w:sz w:val="32"/>
          <w:szCs w:val="32"/>
          <w:lang w:val="en-US" w:eastAsia="zh-CN"/>
        </w:rPr>
      </w:pPr>
      <w:r>
        <w:rPr>
          <w:rFonts w:hint="eastAsia" w:ascii="仿宋_GB2312" w:hAnsi="黑体" w:eastAsia="仿宋_GB2312" w:cs="仿宋_GB2312"/>
          <w:color w:val="auto"/>
          <w:spacing w:val="6"/>
          <w:sz w:val="32"/>
          <w:szCs w:val="32"/>
          <w:lang w:val="en-US" w:eastAsia="zh-CN"/>
        </w:rPr>
        <w:t>一是绩效评估体系还不完善、绩效评价内容不够丰富；</w:t>
      </w:r>
    </w:p>
    <w:p>
      <w:pPr>
        <w:keepNext w:val="0"/>
        <w:keepLines w:val="0"/>
        <w:pageBreakBefore w:val="0"/>
        <w:widowControl w:val="0"/>
        <w:kinsoku/>
        <w:wordWrap/>
        <w:overflowPunct/>
        <w:topLinePunct w:val="0"/>
        <w:autoSpaceDE/>
        <w:autoSpaceDN/>
        <w:bidi w:val="0"/>
        <w:spacing w:line="579" w:lineRule="exact"/>
        <w:ind w:firstLine="640"/>
        <w:textAlignment w:val="auto"/>
        <w:rPr>
          <w:rFonts w:hint="eastAsia" w:ascii="仿宋_GB2312" w:hAnsi="黑体" w:eastAsia="仿宋_GB2312" w:cs="仿宋_GB2312"/>
          <w:color w:val="auto"/>
          <w:spacing w:val="6"/>
          <w:sz w:val="32"/>
          <w:szCs w:val="32"/>
          <w:lang w:val="en-US" w:eastAsia="zh-CN"/>
        </w:rPr>
      </w:pPr>
      <w:r>
        <w:rPr>
          <w:rFonts w:hint="eastAsia" w:ascii="仿宋_GB2312" w:hAnsi="黑体" w:eastAsia="仿宋_GB2312" w:cs="仿宋_GB2312"/>
          <w:color w:val="auto"/>
          <w:spacing w:val="6"/>
          <w:sz w:val="32"/>
          <w:szCs w:val="32"/>
          <w:lang w:val="en-US" w:eastAsia="zh-CN"/>
        </w:rPr>
        <w:t>二是镇政府基本公用经费不足，收入形式较为有限，渠道主要是县级财政安排的预算经费，支出缺口较大，历史遗留债务多，债务化解方面存在困难。</w:t>
      </w:r>
    </w:p>
    <w:p>
      <w:pPr>
        <w:pStyle w:val="15"/>
        <w:spacing w:before="0" w:beforeAutospacing="0" w:after="93" w:afterAutospacing="0"/>
        <w:ind w:firstLine="560"/>
        <w:jc w:val="both"/>
        <w:rPr>
          <w:rFonts w:ascii="仿宋_GB2312" w:hAnsi="仿宋" w:eastAsia="仿宋_GB2312" w:cs="Times New Roman"/>
          <w:b/>
          <w:bCs/>
          <w:color w:val="000000"/>
          <w:sz w:val="28"/>
          <w:szCs w:val="28"/>
        </w:rPr>
      </w:pPr>
      <w:r>
        <w:rPr>
          <w:rFonts w:hint="eastAsia" w:ascii="仿宋_GB2312" w:hAnsi="黑体" w:eastAsia="仿宋_GB2312" w:cs="黑体"/>
          <w:b/>
          <w:bCs/>
          <w:sz w:val="32"/>
          <w:szCs w:val="32"/>
        </w:rPr>
        <w:t>5、下一步工作措施</w:t>
      </w:r>
    </w:p>
    <w:p>
      <w:pPr>
        <w:pStyle w:val="15"/>
        <w:spacing w:before="0" w:beforeAutospacing="0" w:after="93" w:afterAutospacing="0" w:line="600" w:lineRule="atLeas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今后工作中，我</w:t>
      </w:r>
      <w:r>
        <w:rPr>
          <w:rFonts w:hint="eastAsia" w:ascii="Times New Roman" w:hAnsi="Times New Roman" w:eastAsia="仿宋_GB2312" w:cs="仿宋_GB2312"/>
          <w:sz w:val="32"/>
          <w:szCs w:val="32"/>
          <w:lang w:eastAsia="zh-CN"/>
        </w:rPr>
        <w:t>镇</w:t>
      </w:r>
      <w:r>
        <w:rPr>
          <w:rFonts w:hint="eastAsia" w:ascii="Times New Roman" w:hAnsi="Times New Roman" w:eastAsia="仿宋_GB2312" w:cs="仿宋_GB2312"/>
          <w:sz w:val="32"/>
          <w:szCs w:val="32"/>
        </w:rPr>
        <w:t>将以此次绩效自评工作为契机，进一步提高责任意识，提高资金使用效率。</w:t>
      </w:r>
      <w:r>
        <w:rPr>
          <w:rFonts w:hint="eastAsia" w:ascii="Times New Roman" w:hAnsi="Times New Roman" w:eastAsia="仿宋_GB2312" w:cs="仿宋_GB2312"/>
          <w:b/>
          <w:bCs/>
          <w:sz w:val="32"/>
          <w:szCs w:val="32"/>
        </w:rPr>
        <w:t>一是</w:t>
      </w:r>
      <w:r>
        <w:rPr>
          <w:rFonts w:hint="eastAsia" w:ascii="仿宋_GB2312" w:hAnsi="Times New Roman" w:eastAsia="仿宋_GB2312" w:cs="仿宋_GB2312"/>
          <w:sz w:val="32"/>
          <w:szCs w:val="32"/>
        </w:rPr>
        <w:t>强化项目管理。认真核实预算，进行公开招标，选择信誉度高、建设速度快、质量高，有资质的施工单位承包建设。在施工过程中，并制定了“谁验收、谁签字、谁负责”的验收制度，确保了项目实施的质量。</w:t>
      </w:r>
      <w:r>
        <w:rPr>
          <w:rFonts w:hint="eastAsia" w:ascii="Times New Roman" w:hAnsi="Times New Roman" w:eastAsia="仿宋_GB2312" w:cs="仿宋_GB2312"/>
          <w:b/>
          <w:bCs/>
          <w:sz w:val="32"/>
          <w:szCs w:val="32"/>
        </w:rPr>
        <w:t>二</w:t>
      </w:r>
      <w:r>
        <w:rPr>
          <w:rFonts w:hint="eastAsia" w:ascii="仿宋" w:hAnsi="仿宋" w:eastAsia="仿宋" w:cs="Calibri"/>
          <w:b/>
          <w:bCs/>
          <w:color w:val="212121"/>
          <w:sz w:val="32"/>
          <w:szCs w:val="32"/>
        </w:rPr>
        <w:t>是</w:t>
      </w:r>
      <w:r>
        <w:rPr>
          <w:rFonts w:hint="eastAsia" w:ascii="仿宋_GB2312" w:hAnsi="Times New Roman" w:eastAsia="仿宋_GB2312" w:cs="仿宋_GB2312"/>
          <w:sz w:val="32"/>
          <w:szCs w:val="32"/>
        </w:rPr>
        <w:t>加强财务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r>
        <w:rPr>
          <w:rFonts w:hint="eastAsia" w:ascii="仿宋" w:hAnsi="仿宋" w:eastAsia="仿宋" w:cs="Calibri"/>
          <w:b/>
          <w:bCs/>
          <w:color w:val="212121"/>
          <w:sz w:val="32"/>
          <w:szCs w:val="32"/>
        </w:rPr>
        <w:t>三是</w:t>
      </w:r>
      <w:r>
        <w:rPr>
          <w:rFonts w:hint="eastAsia" w:ascii="仿宋_GB2312" w:hAnsi="Times New Roman" w:eastAsia="仿宋_GB2312" w:cs="仿宋_GB2312"/>
          <w:sz w:val="32"/>
          <w:szCs w:val="32"/>
        </w:rPr>
        <w:t>加大监督力度。对项目进行集体研究决定，在资金支付上实行施工人员、分管领导、财务管理人员多层审核签字把关，最后由财政部门统一审批。克服工作中的随意性，减少管理中的漏洞，有效防止违规行为的发生。</w:t>
      </w:r>
      <w:r>
        <w:rPr>
          <w:rFonts w:hint="eastAsia" w:ascii="仿宋_GB2312" w:hAnsi="Times New Roman" w:eastAsia="仿宋_GB2312" w:cs="仿宋_GB2312"/>
          <w:b/>
          <w:bCs/>
          <w:sz w:val="32"/>
          <w:szCs w:val="32"/>
        </w:rPr>
        <w:t>四是</w:t>
      </w:r>
      <w:r>
        <w:rPr>
          <w:rFonts w:hint="eastAsia" w:ascii="Times New Roman" w:hAnsi="Times New Roman" w:eastAsia="仿宋_GB2312" w:cs="仿宋_GB2312"/>
          <w:sz w:val="32"/>
          <w:szCs w:val="32"/>
        </w:rPr>
        <w:t>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pPr>
        <w:pStyle w:val="11"/>
        <w:spacing w:after="93"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三、评价结果运用工作</w:t>
      </w:r>
    </w:p>
    <w:p>
      <w:pPr>
        <w:pStyle w:val="11"/>
        <w:spacing w:after="93" w:line="560" w:lineRule="exact"/>
        <w:ind w:firstLine="640" w:firstLineChars="200"/>
        <w:rPr>
          <w:rFonts w:ascii="仿宋_GB2312" w:eastAsia="仿宋_GB2312"/>
          <w:sz w:val="32"/>
          <w:szCs w:val="32"/>
        </w:rPr>
      </w:pPr>
      <w:r>
        <w:rPr>
          <w:rFonts w:hint="eastAsia" w:ascii="仿宋_GB2312" w:eastAsia="仿宋_GB2312"/>
          <w:sz w:val="32"/>
          <w:szCs w:val="32"/>
        </w:rPr>
        <w:t>根据评价结果进一步完善管理制度，改进管理措施。将绩效评价结果向社会公开，把绩效评价结果作为以后年度预算安排结果作为以后年度预算安排的重要参考，逐步推行绩效评价结果运用，强化绩效评价结果的约束力，提高财政资金使用效率。</w:t>
      </w:r>
    </w:p>
    <w:p>
      <w:pPr>
        <w:pStyle w:val="11"/>
        <w:spacing w:after="93" w:line="560" w:lineRule="exact"/>
        <w:ind w:firstLine="3520" w:firstLineChars="1100"/>
        <w:rPr>
          <w:rFonts w:hint="eastAsia" w:ascii="仿宋_GB2312" w:hAnsi="Times New Roman" w:eastAsia="仿宋_GB2312" w:cs="Times New Roman"/>
          <w:sz w:val="32"/>
          <w:szCs w:val="32"/>
        </w:rPr>
      </w:pPr>
    </w:p>
    <w:p>
      <w:pPr>
        <w:pStyle w:val="11"/>
        <w:spacing w:after="93" w:line="560" w:lineRule="exact"/>
        <w:ind w:firstLine="3520" w:firstLineChars="1100"/>
        <w:rPr>
          <w:rFonts w:hint="eastAsia" w:ascii="仿宋_GB2312" w:hAnsi="Times New Roman" w:eastAsia="仿宋_GB2312" w:cs="Times New Roman"/>
          <w:sz w:val="32"/>
          <w:szCs w:val="32"/>
        </w:rPr>
      </w:pPr>
    </w:p>
    <w:p>
      <w:pPr>
        <w:pStyle w:val="11"/>
        <w:spacing w:after="93" w:line="560" w:lineRule="exact"/>
        <w:ind w:firstLine="3840" w:firstLineChars="1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高台县</w:t>
      </w:r>
      <w:r>
        <w:rPr>
          <w:rFonts w:hint="eastAsia" w:ascii="仿宋_GB2312" w:hAnsi="Times New Roman" w:eastAsia="仿宋_GB2312" w:cs="Times New Roman"/>
          <w:sz w:val="32"/>
          <w:szCs w:val="32"/>
          <w:lang w:eastAsia="zh-CN"/>
        </w:rPr>
        <w:t>骆驼城镇</w:t>
      </w:r>
      <w:r>
        <w:rPr>
          <w:rFonts w:hint="eastAsia" w:ascii="仿宋_GB2312" w:hAnsi="Times New Roman" w:eastAsia="仿宋_GB2312" w:cs="Times New Roman"/>
          <w:sz w:val="32"/>
          <w:szCs w:val="32"/>
        </w:rPr>
        <w:t>人民政府</w:t>
      </w:r>
    </w:p>
    <w:p>
      <w:pPr>
        <w:pStyle w:val="11"/>
        <w:spacing w:after="93" w:line="560" w:lineRule="exact"/>
        <w:ind w:firstLine="4800" w:firstLineChars="1500"/>
        <w:rPr>
          <w:rFonts w:ascii="仿宋_GB2312" w:hAnsi="Times New Roman" w:eastAsia="仿宋_GB2312" w:cs="Times New Roman"/>
          <w:sz w:val="32"/>
          <w:szCs w:val="32"/>
        </w:rPr>
      </w:pP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17</w:t>
      </w:r>
      <w:r>
        <w:rPr>
          <w:rFonts w:hint="eastAsia" w:ascii="仿宋_GB2312" w:hAnsi="Times New Roman" w:eastAsia="仿宋_GB2312" w:cs="Times New Roman"/>
          <w:sz w:val="32"/>
          <w:szCs w:val="32"/>
        </w:rPr>
        <w:t>日</w:t>
      </w:r>
    </w:p>
    <w:p>
      <w:pPr>
        <w:tabs>
          <w:tab w:val="left" w:pos="3008"/>
        </w:tabs>
        <w:spacing w:after="93"/>
        <w:rPr>
          <w:rFonts w:hint="default" w:ascii="仿宋_GB2312" w:eastAsia="仿宋_GB2312"/>
          <w:sz w:val="28"/>
          <w:szCs w:val="28"/>
          <w:highlight w:val="yellow"/>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42A02"/>
    <w:multiLevelType w:val="multilevel"/>
    <w:tmpl w:val="62842A02"/>
    <w:lvl w:ilvl="0" w:tentative="0">
      <w:start w:val="1"/>
      <w:numFmt w:val="none"/>
      <w:pStyle w:val="2"/>
      <w:suff w:val="nothing"/>
      <w:lvlText w:val="第4章"/>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OTk2MjgyZGVlNWJkNjE2OWVhMDQ4YjA2NTQ0NjAifQ=="/>
  </w:docVars>
  <w:rsids>
    <w:rsidRoot w:val="00535683"/>
    <w:rsid w:val="000044E9"/>
    <w:rsid w:val="00217548"/>
    <w:rsid w:val="00236210"/>
    <w:rsid w:val="00267B04"/>
    <w:rsid w:val="002F7BC7"/>
    <w:rsid w:val="00321F6D"/>
    <w:rsid w:val="00372C81"/>
    <w:rsid w:val="00535683"/>
    <w:rsid w:val="00570703"/>
    <w:rsid w:val="005E557D"/>
    <w:rsid w:val="007858C9"/>
    <w:rsid w:val="009C43C5"/>
    <w:rsid w:val="00D61C4C"/>
    <w:rsid w:val="00DC71F6"/>
    <w:rsid w:val="00DE5E9D"/>
    <w:rsid w:val="00DF11F8"/>
    <w:rsid w:val="00E32B12"/>
    <w:rsid w:val="2D5B396D"/>
    <w:rsid w:val="313A435E"/>
    <w:rsid w:val="3242532A"/>
    <w:rsid w:val="32A84392"/>
    <w:rsid w:val="3B3047C6"/>
    <w:rsid w:val="40432E3B"/>
    <w:rsid w:val="41C21E9E"/>
    <w:rsid w:val="4F463EC3"/>
    <w:rsid w:val="548005E1"/>
    <w:rsid w:val="562767E7"/>
    <w:rsid w:val="63E22A0B"/>
    <w:rsid w:val="69C90C01"/>
    <w:rsid w:val="6E430DD7"/>
    <w:rsid w:val="6F3A0BCA"/>
    <w:rsid w:val="7C8C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Lines="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numPr>
        <w:ilvl w:val="0"/>
        <w:numId w:val="1"/>
      </w:numPr>
      <w:spacing w:before="340" w:afterLines="30" w:line="578" w:lineRule="auto"/>
      <w:outlineLvl w:val="0"/>
    </w:pPr>
    <w:rPr>
      <w:b/>
      <w:bCs/>
      <w:kern w:val="44"/>
      <w:sz w:val="44"/>
      <w:szCs w:val="44"/>
    </w:rPr>
  </w:style>
  <w:style w:type="paragraph" w:styleId="3">
    <w:name w:val="heading 2"/>
    <w:basedOn w:val="1"/>
    <w:next w:val="1"/>
    <w:link w:val="21"/>
    <w:qFormat/>
    <w:uiPriority w:val="0"/>
    <w:pPr>
      <w:keepNext/>
      <w:keepLines/>
      <w:numPr>
        <w:ilvl w:val="1"/>
        <w:numId w:val="1"/>
      </w:numPr>
      <w:spacing w:before="260" w:afterLines="30" w:line="416" w:lineRule="auto"/>
      <w:outlineLvl w:val="1"/>
    </w:pPr>
    <w:rPr>
      <w:rFonts w:ascii="Arial" w:hAnsi="Arial" w:eastAsia="黑体" w:cstheme="majorBidi"/>
      <w:b/>
      <w:bCs/>
      <w:sz w:val="32"/>
      <w:szCs w:val="32"/>
    </w:rPr>
  </w:style>
  <w:style w:type="paragraph" w:styleId="4">
    <w:name w:val="heading 3"/>
    <w:basedOn w:val="1"/>
    <w:next w:val="1"/>
    <w:link w:val="22"/>
    <w:qFormat/>
    <w:uiPriority w:val="0"/>
    <w:pPr>
      <w:keepNext/>
      <w:keepLines/>
      <w:numPr>
        <w:ilvl w:val="2"/>
        <w:numId w:val="1"/>
      </w:numPr>
      <w:spacing w:before="260" w:afterLines="30" w:line="416" w:lineRule="auto"/>
      <w:outlineLvl w:val="2"/>
    </w:pPr>
    <w:rPr>
      <w:b/>
      <w:bCs/>
      <w:sz w:val="32"/>
      <w:szCs w:val="32"/>
    </w:rPr>
  </w:style>
  <w:style w:type="paragraph" w:styleId="5">
    <w:name w:val="heading 4"/>
    <w:basedOn w:val="1"/>
    <w:next w:val="1"/>
    <w:link w:val="23"/>
    <w:qFormat/>
    <w:uiPriority w:val="0"/>
    <w:pPr>
      <w:keepNext/>
      <w:keepLines/>
      <w:numPr>
        <w:ilvl w:val="3"/>
        <w:numId w:val="1"/>
      </w:numPr>
      <w:spacing w:before="280" w:afterLines="30" w:line="376" w:lineRule="auto"/>
      <w:outlineLvl w:val="3"/>
    </w:pPr>
    <w:rPr>
      <w:rFonts w:ascii="Arial" w:hAnsi="Arial" w:eastAsia="黑体" w:cstheme="majorBidi"/>
      <w:b/>
      <w:bCs/>
      <w:sz w:val="28"/>
      <w:szCs w:val="28"/>
    </w:rPr>
  </w:style>
  <w:style w:type="paragraph" w:styleId="6">
    <w:name w:val="heading 5"/>
    <w:basedOn w:val="1"/>
    <w:next w:val="1"/>
    <w:link w:val="24"/>
    <w:qFormat/>
    <w:uiPriority w:val="0"/>
    <w:pPr>
      <w:keepNext/>
      <w:keepLines/>
      <w:numPr>
        <w:ilvl w:val="4"/>
        <w:numId w:val="1"/>
      </w:numPr>
      <w:spacing w:before="280" w:afterLines="30" w:line="376" w:lineRule="auto"/>
      <w:outlineLvl w:val="4"/>
    </w:pPr>
    <w:rPr>
      <w:b/>
      <w:bCs/>
      <w:sz w:val="28"/>
      <w:szCs w:val="28"/>
    </w:rPr>
  </w:style>
  <w:style w:type="paragraph" w:styleId="7">
    <w:name w:val="heading 6"/>
    <w:basedOn w:val="1"/>
    <w:next w:val="1"/>
    <w:link w:val="25"/>
    <w:qFormat/>
    <w:uiPriority w:val="0"/>
    <w:pPr>
      <w:keepNext/>
      <w:keepLines/>
      <w:numPr>
        <w:ilvl w:val="5"/>
        <w:numId w:val="1"/>
      </w:numPr>
      <w:spacing w:before="240" w:afterLines="30" w:line="320" w:lineRule="auto"/>
      <w:outlineLvl w:val="5"/>
    </w:pPr>
    <w:rPr>
      <w:rFonts w:ascii="Arial" w:hAnsi="Arial" w:eastAsia="黑体" w:cstheme="majorBidi"/>
      <w:b/>
      <w:bCs/>
      <w:sz w:val="24"/>
    </w:rPr>
  </w:style>
  <w:style w:type="paragraph" w:styleId="8">
    <w:name w:val="heading 7"/>
    <w:basedOn w:val="1"/>
    <w:next w:val="1"/>
    <w:link w:val="26"/>
    <w:qFormat/>
    <w:uiPriority w:val="0"/>
    <w:pPr>
      <w:keepNext/>
      <w:keepLines/>
      <w:numPr>
        <w:ilvl w:val="6"/>
        <w:numId w:val="1"/>
      </w:numPr>
      <w:spacing w:before="240" w:afterLines="30" w:line="320" w:lineRule="auto"/>
      <w:outlineLvl w:val="6"/>
    </w:pPr>
    <w:rPr>
      <w:b/>
      <w:bCs/>
      <w:sz w:val="24"/>
    </w:rPr>
  </w:style>
  <w:style w:type="paragraph" w:styleId="9">
    <w:name w:val="heading 8"/>
    <w:basedOn w:val="1"/>
    <w:next w:val="1"/>
    <w:link w:val="27"/>
    <w:qFormat/>
    <w:uiPriority w:val="0"/>
    <w:pPr>
      <w:keepNext/>
      <w:keepLines/>
      <w:numPr>
        <w:ilvl w:val="7"/>
        <w:numId w:val="1"/>
      </w:numPr>
      <w:spacing w:before="240" w:afterLines="30" w:line="320" w:lineRule="auto"/>
      <w:outlineLvl w:val="7"/>
    </w:pPr>
    <w:rPr>
      <w:rFonts w:ascii="Arial" w:hAnsi="Arial" w:eastAsia="黑体" w:cstheme="majorBidi"/>
      <w:sz w:val="24"/>
    </w:rPr>
  </w:style>
  <w:style w:type="paragraph" w:styleId="10">
    <w:name w:val="heading 9"/>
    <w:basedOn w:val="1"/>
    <w:next w:val="1"/>
    <w:link w:val="28"/>
    <w:qFormat/>
    <w:uiPriority w:val="0"/>
    <w:pPr>
      <w:keepNext/>
      <w:keepLines/>
      <w:numPr>
        <w:ilvl w:val="8"/>
        <w:numId w:val="1"/>
      </w:numPr>
      <w:spacing w:before="240" w:afterLines="30" w:line="320" w:lineRule="auto"/>
      <w:outlineLvl w:val="8"/>
    </w:pPr>
    <w:rPr>
      <w:rFonts w:ascii="Arial" w:hAnsi="Arial" w:eastAsia="黑体" w:cstheme="majorBidi"/>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3"/>
    <w:qFormat/>
    <w:uiPriority w:val="1"/>
    <w:pPr>
      <w:spacing w:before="30" w:afterLines="30" w:line="320" w:lineRule="exact"/>
    </w:pPr>
    <w:rPr>
      <w:rFonts w:ascii="宋体" w:hAnsi="宋体" w:cs="宋体"/>
      <w:sz w:val="24"/>
      <w:lang w:val="zh-CN" w:bidi="zh-CN"/>
    </w:rPr>
  </w:style>
  <w:style w:type="paragraph" w:styleId="12">
    <w:name w:val="Body Text Indent 2"/>
    <w:basedOn w:val="1"/>
    <w:next w:val="11"/>
    <w:qFormat/>
    <w:uiPriority w:val="99"/>
    <w:pPr>
      <w:ind w:firstLine="724" w:firstLineChars="200"/>
    </w:pPr>
  </w:style>
  <w:style w:type="paragraph" w:styleId="13">
    <w:name w:val="footer"/>
    <w:basedOn w:val="1"/>
    <w:link w:val="32"/>
    <w:qFormat/>
    <w:uiPriority w:val="0"/>
    <w:pPr>
      <w:tabs>
        <w:tab w:val="center" w:pos="4153"/>
        <w:tab w:val="right" w:pos="8306"/>
      </w:tabs>
      <w:snapToGrid w:val="0"/>
      <w:spacing w:before="30" w:afterLines="30" w:line="320" w:lineRule="exact"/>
      <w:jc w:val="left"/>
    </w:pPr>
    <w:rPr>
      <w:sz w:val="18"/>
      <w:szCs w:val="18"/>
    </w:rPr>
  </w:style>
  <w:style w:type="paragraph" w:styleId="14">
    <w:name w:val="header"/>
    <w:basedOn w:val="1"/>
    <w:link w:val="39"/>
    <w:semiHidden/>
    <w:unhideWhenUsed/>
    <w:qFormat/>
    <w:uiPriority w:val="99"/>
    <w:pPr>
      <w:pBdr>
        <w:bottom w:val="single" w:color="auto" w:sz="6" w:space="1"/>
      </w:pBdr>
      <w:tabs>
        <w:tab w:val="center" w:pos="4153"/>
        <w:tab w:val="right" w:pos="8306"/>
      </w:tabs>
      <w:snapToGrid w:val="0"/>
      <w:spacing w:before="30" w:afterLines="30" w:line="240" w:lineRule="atLeast"/>
      <w:jc w:val="center"/>
    </w:pPr>
    <w:rPr>
      <w:sz w:val="18"/>
      <w:szCs w:val="18"/>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4"/>
    <w:qFormat/>
    <w:uiPriority w:val="0"/>
    <w:pPr>
      <w:spacing w:before="240" w:afterLines="30" w:line="320" w:lineRule="exact"/>
      <w:jc w:val="center"/>
      <w:outlineLvl w:val="0"/>
    </w:pPr>
    <w:rPr>
      <w:rFonts w:ascii="Cambria" w:hAnsi="Cambria"/>
      <w:b/>
      <w:bCs/>
      <w:sz w:val="32"/>
      <w:szCs w:val="32"/>
    </w:rPr>
  </w:style>
  <w:style w:type="character" w:styleId="19">
    <w:name w:val="Strong"/>
    <w:basedOn w:val="18"/>
    <w:qFormat/>
    <w:uiPriority w:val="0"/>
    <w:rPr>
      <w:b/>
      <w:bCs/>
    </w:rPr>
  </w:style>
  <w:style w:type="character" w:customStyle="1" w:styleId="20">
    <w:name w:val="标题 1 Char"/>
    <w:link w:val="2"/>
    <w:qFormat/>
    <w:uiPriority w:val="0"/>
    <w:rPr>
      <w:b/>
      <w:bCs/>
      <w:kern w:val="44"/>
      <w:sz w:val="44"/>
      <w:szCs w:val="44"/>
    </w:rPr>
  </w:style>
  <w:style w:type="character" w:customStyle="1" w:styleId="21">
    <w:name w:val="标题 2 Char"/>
    <w:link w:val="3"/>
    <w:qFormat/>
    <w:uiPriority w:val="0"/>
    <w:rPr>
      <w:rFonts w:ascii="Arial" w:hAnsi="Arial" w:eastAsia="黑体" w:cstheme="majorBidi"/>
      <w:b/>
      <w:bCs/>
      <w:kern w:val="2"/>
      <w:sz w:val="32"/>
      <w:szCs w:val="32"/>
    </w:rPr>
  </w:style>
  <w:style w:type="character" w:customStyle="1" w:styleId="22">
    <w:name w:val="标题 3 Char"/>
    <w:link w:val="4"/>
    <w:qFormat/>
    <w:uiPriority w:val="0"/>
    <w:rPr>
      <w:b/>
      <w:bCs/>
      <w:kern w:val="2"/>
      <w:sz w:val="32"/>
      <w:szCs w:val="32"/>
    </w:rPr>
  </w:style>
  <w:style w:type="character" w:customStyle="1" w:styleId="23">
    <w:name w:val="标题 4 Char"/>
    <w:link w:val="5"/>
    <w:qFormat/>
    <w:uiPriority w:val="0"/>
    <w:rPr>
      <w:rFonts w:ascii="Arial" w:hAnsi="Arial" w:eastAsia="黑体" w:cstheme="majorBidi"/>
      <w:b/>
      <w:bCs/>
      <w:kern w:val="2"/>
      <w:sz w:val="28"/>
      <w:szCs w:val="28"/>
    </w:rPr>
  </w:style>
  <w:style w:type="character" w:customStyle="1" w:styleId="24">
    <w:name w:val="标题 5 Char"/>
    <w:link w:val="6"/>
    <w:qFormat/>
    <w:uiPriority w:val="0"/>
    <w:rPr>
      <w:b/>
      <w:bCs/>
      <w:kern w:val="2"/>
      <w:sz w:val="28"/>
      <w:szCs w:val="28"/>
    </w:rPr>
  </w:style>
  <w:style w:type="character" w:customStyle="1" w:styleId="25">
    <w:name w:val="标题 6 Char"/>
    <w:link w:val="7"/>
    <w:qFormat/>
    <w:uiPriority w:val="0"/>
    <w:rPr>
      <w:rFonts w:ascii="Arial" w:hAnsi="Arial" w:eastAsia="黑体" w:cstheme="majorBidi"/>
      <w:b/>
      <w:bCs/>
      <w:kern w:val="2"/>
      <w:sz w:val="24"/>
      <w:szCs w:val="24"/>
    </w:rPr>
  </w:style>
  <w:style w:type="character" w:customStyle="1" w:styleId="26">
    <w:name w:val="标题 7 Char"/>
    <w:link w:val="8"/>
    <w:qFormat/>
    <w:uiPriority w:val="0"/>
    <w:rPr>
      <w:b/>
      <w:bCs/>
      <w:kern w:val="2"/>
      <w:sz w:val="24"/>
      <w:szCs w:val="24"/>
    </w:rPr>
  </w:style>
  <w:style w:type="character" w:customStyle="1" w:styleId="27">
    <w:name w:val="标题 8 Char"/>
    <w:link w:val="9"/>
    <w:qFormat/>
    <w:uiPriority w:val="0"/>
    <w:rPr>
      <w:rFonts w:ascii="Arial" w:hAnsi="Arial" w:eastAsia="黑体" w:cstheme="majorBidi"/>
      <w:kern w:val="2"/>
      <w:sz w:val="24"/>
      <w:szCs w:val="24"/>
    </w:rPr>
  </w:style>
  <w:style w:type="character" w:customStyle="1" w:styleId="28">
    <w:name w:val="标题 9 Char"/>
    <w:link w:val="10"/>
    <w:qFormat/>
    <w:uiPriority w:val="0"/>
    <w:rPr>
      <w:rFonts w:ascii="Arial" w:hAnsi="Arial" w:eastAsia="黑体" w:cstheme="majorBidi"/>
      <w:kern w:val="2"/>
      <w:sz w:val="21"/>
      <w:szCs w:val="21"/>
    </w:rPr>
  </w:style>
  <w:style w:type="paragraph" w:styleId="29">
    <w:name w:val="No Spacing"/>
    <w:link w:val="30"/>
    <w:qFormat/>
    <w:uiPriority w:val="1"/>
    <w:pPr>
      <w:widowControl w:val="0"/>
      <w:spacing w:before="30" w:afterLines="30" w:line="320" w:lineRule="exact"/>
      <w:jc w:val="both"/>
    </w:pPr>
    <w:rPr>
      <w:rFonts w:ascii="Times New Roman" w:hAnsi="Times New Roman" w:eastAsia="宋体" w:cs="Times New Roman"/>
      <w:kern w:val="2"/>
      <w:sz w:val="21"/>
      <w:szCs w:val="24"/>
      <w:lang w:val="en-US" w:eastAsia="zh-CN" w:bidi="ar-SA"/>
    </w:rPr>
  </w:style>
  <w:style w:type="character" w:customStyle="1" w:styleId="30">
    <w:name w:val="无间隔 Char"/>
    <w:basedOn w:val="18"/>
    <w:link w:val="29"/>
    <w:qFormat/>
    <w:uiPriority w:val="1"/>
    <w:rPr>
      <w:kern w:val="2"/>
      <w:sz w:val="21"/>
      <w:szCs w:val="24"/>
    </w:rPr>
  </w:style>
  <w:style w:type="paragraph" w:styleId="31">
    <w:name w:val="List Paragraph"/>
    <w:basedOn w:val="1"/>
    <w:qFormat/>
    <w:uiPriority w:val="34"/>
    <w:pPr>
      <w:spacing w:before="30" w:afterLines="30" w:line="320" w:lineRule="exact"/>
      <w:ind w:firstLine="420" w:firstLineChars="200"/>
    </w:pPr>
  </w:style>
  <w:style w:type="character" w:customStyle="1" w:styleId="32">
    <w:name w:val="页脚 Char"/>
    <w:basedOn w:val="18"/>
    <w:link w:val="13"/>
    <w:qFormat/>
    <w:uiPriority w:val="0"/>
    <w:rPr>
      <w:kern w:val="2"/>
      <w:sz w:val="18"/>
      <w:szCs w:val="18"/>
    </w:rPr>
  </w:style>
  <w:style w:type="character" w:customStyle="1" w:styleId="33">
    <w:name w:val="正文文本 Char"/>
    <w:basedOn w:val="18"/>
    <w:link w:val="11"/>
    <w:qFormat/>
    <w:uiPriority w:val="1"/>
    <w:rPr>
      <w:rFonts w:ascii="宋体" w:hAnsi="宋体" w:cs="宋体"/>
      <w:kern w:val="2"/>
      <w:sz w:val="24"/>
      <w:szCs w:val="24"/>
      <w:lang w:val="zh-CN" w:bidi="zh-CN"/>
    </w:rPr>
  </w:style>
  <w:style w:type="character" w:customStyle="1" w:styleId="34">
    <w:name w:val="标题 Char"/>
    <w:link w:val="16"/>
    <w:qFormat/>
    <w:uiPriority w:val="0"/>
    <w:rPr>
      <w:rFonts w:ascii="Cambria" w:hAnsi="Cambria" w:cs="Times New Roman"/>
      <w:b/>
      <w:bCs/>
      <w:kern w:val="2"/>
      <w:sz w:val="32"/>
      <w:szCs w:val="32"/>
    </w:rPr>
  </w:style>
  <w:style w:type="paragraph" w:customStyle="1" w:styleId="35">
    <w:name w:val="正文(塘坝)齐波波"/>
    <w:link w:val="36"/>
    <w:qFormat/>
    <w:uiPriority w:val="0"/>
    <w:pPr>
      <w:widowControl w:val="0"/>
      <w:adjustRightInd w:val="0"/>
      <w:snapToGrid w:val="0"/>
      <w:spacing w:before="30" w:afterLines="30" w:line="360" w:lineRule="auto"/>
      <w:ind w:firstLine="480" w:firstLineChars="200"/>
      <w:jc w:val="both"/>
    </w:pPr>
    <w:rPr>
      <w:rFonts w:ascii="宋体" w:hAnsi="宋体" w:eastAsia="宋体" w:cs="宋体"/>
      <w:snapToGrid w:val="0"/>
      <w:color w:val="00FF00"/>
      <w:kern w:val="2"/>
      <w:sz w:val="24"/>
      <w:szCs w:val="30"/>
      <w:lang w:val="zh-CN" w:eastAsia="zh-CN" w:bidi="ar-SA"/>
    </w:rPr>
  </w:style>
  <w:style w:type="character" w:customStyle="1" w:styleId="36">
    <w:name w:val="正文(塘坝)齐波波 Char"/>
    <w:link w:val="35"/>
    <w:qFormat/>
    <w:uiPriority w:val="0"/>
    <w:rPr>
      <w:rFonts w:ascii="宋体" w:hAnsi="宋体" w:cs="宋体"/>
      <w:snapToGrid w:val="0"/>
      <w:color w:val="00FF00"/>
      <w:kern w:val="2"/>
      <w:sz w:val="24"/>
      <w:szCs w:val="30"/>
      <w:lang w:val="zh-CN"/>
    </w:rPr>
  </w:style>
  <w:style w:type="paragraph" w:customStyle="1" w:styleId="37">
    <w:name w:val="表格五号"/>
    <w:basedOn w:val="1"/>
    <w:next w:val="1"/>
    <w:link w:val="38"/>
    <w:qFormat/>
    <w:uiPriority w:val="0"/>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38">
    <w:name w:val="表格五号 Char"/>
    <w:link w:val="37"/>
    <w:qFormat/>
    <w:uiPriority w:val="0"/>
    <w:rPr>
      <w:rFonts w:ascii="宋体" w:hAnsi="宋体"/>
      <w:color w:val="800080"/>
      <w:szCs w:val="21"/>
    </w:rPr>
  </w:style>
  <w:style w:type="character" w:customStyle="1" w:styleId="39">
    <w:name w:val="页眉 Char"/>
    <w:basedOn w:val="18"/>
    <w:link w:val="14"/>
    <w:semiHidden/>
    <w:qFormat/>
    <w:uiPriority w:val="99"/>
    <w:rPr>
      <w:kern w:val="2"/>
      <w:sz w:val="18"/>
      <w:szCs w:val="18"/>
    </w:rPr>
  </w:style>
  <w:style w:type="paragraph" w:customStyle="1" w:styleId="4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42</Words>
  <Characters>244</Characters>
  <Lines>2</Lines>
  <Paragraphs>1</Paragraphs>
  <TotalTime>3</TotalTime>
  <ScaleCrop>false</ScaleCrop>
  <LinksUpToDate>false</LinksUpToDate>
  <CharactersWithSpaces>285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2020-01-09T06:51:00Z</dcterms:created>
  <dc:creator>lenovo</dc:creator>
  <cp:lastModifiedBy></cp:lastModifiedBy>
  <cp:lastPrinted>2021-07-01T07:11:00Z</cp:lastPrinted>
  <dcterms:modified xsi:type="dcterms:W3CDTF">2023-09-22T06:26:37Z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11F030FCBEA0472181C793D79396AB9C_13</vt:lpwstr>
  </property>
</Properties>
</file>