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94616" w14:textId="77777777" w:rsidR="00157CA7" w:rsidRPr="005554F3" w:rsidRDefault="00157CA7" w:rsidP="00192117">
      <w:pPr>
        <w:spacing w:line="560" w:lineRule="exact"/>
        <w:jc w:val="center"/>
        <w:rPr>
          <w:rFonts w:ascii="方正小标宋简体" w:eastAsia="方正小标宋简体" w:hAnsi="方正小标宋简体" w:cs="方正小标宋简体"/>
          <w:sz w:val="44"/>
          <w:szCs w:val="44"/>
        </w:rPr>
      </w:pPr>
      <w:r w:rsidRPr="005554F3">
        <w:rPr>
          <w:rFonts w:ascii="方正小标宋简体" w:eastAsia="方正小标宋简体" w:hAnsi="方正小标宋简体" w:cs="方正小标宋简体" w:hint="eastAsia"/>
          <w:sz w:val="44"/>
          <w:szCs w:val="44"/>
        </w:rPr>
        <w:t>20</w:t>
      </w:r>
      <w:r>
        <w:rPr>
          <w:rFonts w:ascii="方正小标宋简体" w:eastAsia="方正小标宋简体" w:hAnsi="方正小标宋简体" w:cs="方正小标宋简体"/>
          <w:sz w:val="44"/>
          <w:szCs w:val="44"/>
        </w:rPr>
        <w:t>20</w:t>
      </w:r>
      <w:r w:rsidRPr="005554F3">
        <w:rPr>
          <w:rFonts w:ascii="方正小标宋简体" w:eastAsia="方正小标宋简体" w:hAnsi="方正小标宋简体" w:cs="方正小标宋简体" w:hint="eastAsia"/>
          <w:sz w:val="44"/>
          <w:szCs w:val="44"/>
        </w:rPr>
        <w:t>年度</w:t>
      </w:r>
      <w:r>
        <w:rPr>
          <w:rFonts w:ascii="方正小标宋简体" w:eastAsia="方正小标宋简体" w:hAnsi="方正小标宋简体" w:cs="方正小标宋简体" w:hint="eastAsia"/>
          <w:sz w:val="44"/>
          <w:szCs w:val="44"/>
        </w:rPr>
        <w:t>高台县南华镇</w:t>
      </w:r>
      <w:r w:rsidRPr="005554F3">
        <w:rPr>
          <w:rFonts w:ascii="方正小标宋简体" w:eastAsia="方正小标宋简体" w:hAnsi="方正小标宋简体" w:cs="方正小标宋简体" w:hint="eastAsia"/>
          <w:sz w:val="44"/>
          <w:szCs w:val="44"/>
        </w:rPr>
        <w:t>人民政府</w:t>
      </w:r>
    </w:p>
    <w:p w14:paraId="57226CF1" w14:textId="0D4E1E03" w:rsidR="00157CA7" w:rsidRDefault="00157CA7" w:rsidP="00192117">
      <w:pPr>
        <w:spacing w:line="560" w:lineRule="exact"/>
        <w:jc w:val="center"/>
        <w:rPr>
          <w:rFonts w:ascii="方正小标宋简体" w:eastAsia="方正小标宋简体" w:hAnsi="方正小标宋简体" w:cs="方正小标宋简体"/>
          <w:sz w:val="44"/>
          <w:szCs w:val="44"/>
        </w:rPr>
      </w:pPr>
      <w:r w:rsidRPr="005554F3">
        <w:rPr>
          <w:rFonts w:ascii="方正小标宋简体" w:eastAsia="方正小标宋简体" w:hAnsi="方正小标宋简体" w:cs="方正小标宋简体" w:hint="eastAsia"/>
          <w:sz w:val="44"/>
          <w:szCs w:val="44"/>
        </w:rPr>
        <w:t>部门预算执行情况自评报告</w:t>
      </w:r>
    </w:p>
    <w:p w14:paraId="08E223DF" w14:textId="77777777" w:rsidR="004F1E8F" w:rsidRPr="004F1E8F" w:rsidRDefault="004F1E8F" w:rsidP="00192117">
      <w:pPr>
        <w:spacing w:line="560" w:lineRule="exact"/>
        <w:jc w:val="center"/>
        <w:rPr>
          <w:rFonts w:ascii="方正小标宋简体" w:eastAsia="方正小标宋简体" w:hAnsi="方正小标宋简体" w:cs="方正小标宋简体"/>
          <w:sz w:val="44"/>
          <w:szCs w:val="44"/>
        </w:rPr>
      </w:pPr>
    </w:p>
    <w:p w14:paraId="47EA253C" w14:textId="77777777" w:rsidR="00DD2789" w:rsidRPr="00807452" w:rsidRDefault="00DD2789" w:rsidP="00192117">
      <w:pPr>
        <w:spacing w:line="560" w:lineRule="exact"/>
        <w:ind w:firstLineChars="200" w:firstLine="640"/>
        <w:rPr>
          <w:rFonts w:ascii="黑体" w:eastAsia="黑体" w:hAnsi="黑体" w:cs="黑体"/>
          <w:sz w:val="32"/>
          <w:szCs w:val="32"/>
        </w:rPr>
      </w:pPr>
      <w:r w:rsidRPr="00807452">
        <w:rPr>
          <w:rFonts w:ascii="黑体" w:eastAsia="黑体" w:hAnsi="黑体" w:cs="黑体" w:hint="eastAsia"/>
          <w:sz w:val="32"/>
          <w:szCs w:val="32"/>
        </w:rPr>
        <w:t>一、基本情况</w:t>
      </w:r>
    </w:p>
    <w:p w14:paraId="7CA34988" w14:textId="77777777" w:rsidR="00DD2789" w:rsidRDefault="00DD2789" w:rsidP="00192117">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（一）部门主要职能。</w:t>
      </w:r>
    </w:p>
    <w:p w14:paraId="2352CF9A" w14:textId="23B03933" w:rsidR="00DD2789" w:rsidRPr="001B2750" w:rsidRDefault="00FE0F98" w:rsidP="00192117">
      <w:pPr>
        <w:snapToGrid w:val="0"/>
        <w:spacing w:line="560" w:lineRule="exact"/>
        <w:ind w:firstLineChars="200" w:firstLine="640"/>
        <w:rPr>
          <w:rFonts w:ascii="仿宋_GB2312" w:eastAsia="仿宋_GB2312" w:hAnsi="仿宋_GB2312" w:cs="仿宋_GB2312"/>
          <w:sz w:val="32"/>
          <w:szCs w:val="32"/>
        </w:rPr>
      </w:pPr>
      <w:r w:rsidRPr="00FE0F98">
        <w:rPr>
          <w:rFonts w:ascii="仿宋_GB2312" w:eastAsia="仿宋_GB2312" w:hAnsi="仿宋_GB2312" w:cs="仿宋_GB2312" w:hint="eastAsia"/>
          <w:sz w:val="32"/>
          <w:szCs w:val="32"/>
        </w:rPr>
        <w:t>1.促进经济发展、增加农民收入。认真贯彻落实党在农村的方针政策和强农惠农措施，</w:t>
      </w:r>
      <w:r w:rsidR="008A5BF1" w:rsidRPr="008A5BF1">
        <w:rPr>
          <w:rFonts w:ascii="仿宋_GB2312" w:eastAsia="仿宋_GB2312" w:hAnsi="仿宋_GB2312" w:cs="仿宋_GB2312" w:hint="eastAsia"/>
          <w:sz w:val="32"/>
          <w:szCs w:val="32"/>
        </w:rPr>
        <w:t>坚决落实党中央决策部署和省、市、县委工作要求</w:t>
      </w:r>
      <w:r w:rsidRPr="00FE0F98">
        <w:rPr>
          <w:rFonts w:ascii="仿宋_GB2312" w:eastAsia="仿宋_GB2312" w:hAnsi="仿宋_GB2312" w:cs="仿宋_GB2312" w:hint="eastAsia"/>
          <w:sz w:val="32"/>
          <w:szCs w:val="32"/>
        </w:rPr>
        <w:t>，积极转变经济发展方式，推动产业结构调整。结合实际制定发展规划，培育特色优势产业和特色经济，扶持壮大龙头企业，促进现代农业发展。稳定和完善农村基本经营制度，支持农民专业合作经济组织发展，健全农村市场和农业服务体系。大力推广先进科学技术，强化劳动力技能培训，做好农村劳务输转，促进农民增产增收。</w:t>
      </w:r>
      <w:r w:rsidRPr="00FE0F98">
        <w:rPr>
          <w:rFonts w:ascii="仿宋_GB2312" w:eastAsia="仿宋_GB2312" w:hAnsi="仿宋_GB2312" w:cs="仿宋_GB2312" w:hint="eastAsia"/>
          <w:sz w:val="32"/>
          <w:szCs w:val="32"/>
        </w:rPr>
        <w:br/>
        <w:t xml:space="preserve">    2.强化公共服务、着力改善民生。完善农村医疗、养老、救助等社会保障制度，加快新型农村公共服务体系建设，着力解决群众最关心、最直接、最现实的利益问题。推进新农村建设，不断完善公益设施和基础设施。加强教育、科技、卫生和精神文明建设，繁荣发展农村文化，提高农村人口素质。落实计划生育政策，稳定农村低生育水平。加强生态建设和环境保护，努力改善农村人居环境，不断提高农民生活质量。</w:t>
      </w:r>
      <w:r w:rsidRPr="00FE0F98">
        <w:rPr>
          <w:rFonts w:ascii="仿宋_GB2312" w:eastAsia="仿宋_GB2312" w:hAnsi="仿宋_GB2312" w:cs="仿宋_GB2312" w:hint="eastAsia"/>
          <w:sz w:val="32"/>
          <w:szCs w:val="32"/>
        </w:rPr>
        <w:br/>
        <w:t xml:space="preserve">    3.加强社会管理、维护农村稳定。普及农村法制教育，强化社会治安综合治理，加强信访和民事纠纷调解，维护农村公共秩序和社会稳定。加强安全生产、市场监管、动植物</w:t>
      </w:r>
      <w:r w:rsidRPr="00FE0F98">
        <w:rPr>
          <w:rFonts w:ascii="仿宋_GB2312" w:eastAsia="仿宋_GB2312" w:hAnsi="仿宋_GB2312" w:cs="仿宋_GB2312" w:hint="eastAsia"/>
          <w:sz w:val="32"/>
          <w:szCs w:val="32"/>
        </w:rPr>
        <w:lastRenderedPageBreak/>
        <w:t>疫病防控和农产品质量监控等社会管理，健全农民权益保障机制，维护农村社会公平正义。建立健全应急保障体系，加强突发事件预警和管理，做好防灾减灾工作。</w:t>
      </w:r>
      <w:r w:rsidRPr="00FE0F98">
        <w:rPr>
          <w:rFonts w:ascii="仿宋_GB2312" w:eastAsia="仿宋_GB2312" w:hAnsi="仿宋_GB2312" w:cs="仿宋_GB2312" w:hint="eastAsia"/>
          <w:sz w:val="32"/>
          <w:szCs w:val="32"/>
        </w:rPr>
        <w:br/>
        <w:t xml:space="preserve">    4.推进基层民主、促进农村和谐。加强农村党的基层组织建设，不断提高党组织领导农村经济社会发展的能力和水平。重视群团组织建设，指导村民自治，引导农民有序参与村级事务管理，推进村务公开，促进社会组织健康发展，增强农村社会自治功能。</w:t>
      </w:r>
    </w:p>
    <w:p w14:paraId="75B34E8A" w14:textId="77777777" w:rsidR="00DD2789" w:rsidRDefault="00DD2789" w:rsidP="00192117">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（二）内设机构及所属单位概况。</w:t>
      </w:r>
    </w:p>
    <w:p w14:paraId="2B4932DC" w14:textId="77777777" w:rsidR="00157CA7" w:rsidRDefault="00157CA7" w:rsidP="00192117">
      <w:pPr>
        <w:snapToGrid w:val="0"/>
        <w:spacing w:line="560" w:lineRule="exact"/>
        <w:ind w:firstLineChars="200" w:firstLine="640"/>
        <w:rPr>
          <w:rFonts w:ascii="仿宋_GB2312" w:eastAsia="仿宋_GB2312" w:hAnsi="仿宋_GB2312" w:cs="仿宋_GB2312"/>
          <w:kern w:val="0"/>
          <w:sz w:val="32"/>
          <w:szCs w:val="32"/>
        </w:rPr>
      </w:pPr>
      <w:r w:rsidRPr="005274A5">
        <w:rPr>
          <w:rFonts w:ascii="仿宋_GB2312" w:eastAsia="仿宋_GB2312" w:hAnsi="仿宋_GB2312" w:cs="仿宋_GB2312" w:hint="eastAsia"/>
          <w:kern w:val="0"/>
          <w:sz w:val="32"/>
          <w:szCs w:val="32"/>
        </w:rPr>
        <w:t>乡镇机构改革后，南华镇设行政机构5个，分别为党政综合办公室、党建工作办公室、经济发展办公室、社会事务办公室（生态环境办公室、卫生健康办公室）、社会治理和应急管理办公室；下设事业单位6个，分别为农业农村综合服务中心（农产品质量检测服务中心、农村公路管理所）、公共事务服务中心（退役军人服务站、综合文化站）、政务（便民）服务中心、社会治安综合治理中心、综合行政执法队，保留南华小城镇建设管理办公室。其他机构设人民武装部、人大办公室、财政所、工会、共青团、妇联等组织。派驻机构5个，分别为南华派出所、南华司法所、南华国土资源中心所、南华市场监管所、畜牧兽医工作站。</w:t>
      </w:r>
    </w:p>
    <w:p w14:paraId="3230ED87" w14:textId="07EA89AD" w:rsidR="00157CA7" w:rsidRPr="00807452" w:rsidRDefault="006E4323" w:rsidP="00192117">
      <w:pPr>
        <w:snapToGrid w:val="0"/>
        <w:spacing w:line="560" w:lineRule="exact"/>
        <w:ind w:firstLineChars="200" w:firstLine="640"/>
        <w:rPr>
          <w:rFonts w:ascii="黑体" w:eastAsia="黑体" w:hAnsi="黑体" w:cs="仿宋_GB2312"/>
          <w:kern w:val="0"/>
          <w:sz w:val="32"/>
          <w:szCs w:val="32"/>
        </w:rPr>
      </w:pPr>
      <w:r w:rsidRPr="00807452">
        <w:rPr>
          <w:rFonts w:ascii="黑体" w:eastAsia="黑体" w:hAnsi="黑体" w:cs="仿宋_GB2312" w:hint="eastAsia"/>
          <w:kern w:val="0"/>
          <w:sz w:val="32"/>
          <w:szCs w:val="32"/>
        </w:rPr>
        <w:t>二</w:t>
      </w:r>
      <w:r w:rsidR="00157CA7" w:rsidRPr="00807452">
        <w:rPr>
          <w:rFonts w:ascii="黑体" w:eastAsia="黑体" w:hAnsi="黑体" w:cs="仿宋_GB2312" w:hint="eastAsia"/>
          <w:kern w:val="0"/>
          <w:sz w:val="32"/>
          <w:szCs w:val="32"/>
        </w:rPr>
        <w:t>、部门整体支出管理及使用情况</w:t>
      </w:r>
    </w:p>
    <w:p w14:paraId="1A151216" w14:textId="77777777" w:rsidR="00157CA7" w:rsidRDefault="00157CA7" w:rsidP="00192117">
      <w:pPr>
        <w:snapToGrid w:val="0"/>
        <w:spacing w:line="560" w:lineRule="exact"/>
        <w:ind w:firstLineChars="200" w:firstLine="640"/>
        <w:rPr>
          <w:rFonts w:ascii="仿宋_GB2312" w:eastAsia="仿宋_GB2312" w:hAnsi="楷体_GB2312" w:cs="楷体_GB2312"/>
          <w:sz w:val="32"/>
          <w:szCs w:val="32"/>
        </w:rPr>
      </w:pPr>
      <w:r w:rsidRPr="00AC72C1">
        <w:rPr>
          <w:rFonts w:ascii="仿宋_GB2312" w:eastAsia="仿宋_GB2312" w:hAnsi="仿宋_GB2312" w:cs="仿宋_GB2312" w:hint="eastAsia"/>
          <w:kern w:val="0"/>
          <w:sz w:val="32"/>
          <w:szCs w:val="32"/>
        </w:rPr>
        <w:t>2020年全年预算数1135.13万元，全年执行数1135.13万元。其中，人员工资福利支出871.63万元，包含基本工资、津贴补贴、奖金、绩效工资、社会保障缴费、住房公积金、</w:t>
      </w:r>
      <w:r w:rsidRPr="00AC72C1">
        <w:rPr>
          <w:rFonts w:ascii="仿宋_GB2312" w:eastAsia="仿宋_GB2312" w:hAnsi="仿宋_GB2312" w:cs="仿宋_GB2312" w:hint="eastAsia"/>
          <w:kern w:val="0"/>
          <w:sz w:val="32"/>
          <w:szCs w:val="32"/>
        </w:rPr>
        <w:lastRenderedPageBreak/>
        <w:t>其他工资福利支出、生活补助等</w:t>
      </w:r>
      <w:r>
        <w:rPr>
          <w:rFonts w:ascii="仿宋_GB2312" w:eastAsia="仿宋_GB2312" w:hAnsi="仿宋_GB2312" w:cs="仿宋_GB2312" w:hint="eastAsia"/>
          <w:kern w:val="0"/>
          <w:sz w:val="32"/>
          <w:szCs w:val="32"/>
        </w:rPr>
        <w:t>；</w:t>
      </w:r>
      <w:r w:rsidRPr="00AC72C1">
        <w:rPr>
          <w:rFonts w:ascii="仿宋_GB2312" w:eastAsia="仿宋_GB2312" w:hAnsi="楷体_GB2312" w:cs="楷体_GB2312" w:hint="eastAsia"/>
          <w:sz w:val="32"/>
          <w:szCs w:val="32"/>
        </w:rPr>
        <w:t>公用经费支出包含</w:t>
      </w:r>
      <w:r>
        <w:rPr>
          <w:rFonts w:ascii="仿宋_GB2312" w:eastAsia="仿宋_GB2312" w:hAnsi="楷体_GB2312" w:cs="楷体_GB2312" w:hint="eastAsia"/>
          <w:sz w:val="32"/>
          <w:szCs w:val="32"/>
        </w:rPr>
        <w:t>“三公”经费、办公费、水电费、差旅费、维护费等。</w:t>
      </w:r>
    </w:p>
    <w:p w14:paraId="356398C1" w14:textId="77777777" w:rsidR="00157CA7" w:rsidRDefault="00157CA7" w:rsidP="00192117">
      <w:pPr>
        <w:snapToGrid w:val="0"/>
        <w:spacing w:line="560" w:lineRule="exact"/>
        <w:ind w:firstLineChars="200" w:firstLine="640"/>
        <w:rPr>
          <w:rFonts w:ascii="仿宋" w:eastAsia="仿宋" w:hAnsi="仿宋"/>
          <w:color w:val="212121"/>
          <w:sz w:val="32"/>
          <w:szCs w:val="32"/>
        </w:rPr>
      </w:pPr>
      <w:r>
        <w:rPr>
          <w:rFonts w:ascii="仿宋" w:eastAsia="仿宋" w:hAnsi="仿宋" w:hint="eastAsia"/>
          <w:color w:val="212121"/>
          <w:sz w:val="32"/>
          <w:szCs w:val="32"/>
        </w:rPr>
        <w:t>“三公”经费支出情况。20</w:t>
      </w:r>
      <w:r>
        <w:rPr>
          <w:rFonts w:ascii="仿宋" w:eastAsia="仿宋" w:hAnsi="仿宋"/>
          <w:color w:val="212121"/>
          <w:sz w:val="32"/>
          <w:szCs w:val="32"/>
        </w:rPr>
        <w:t>20</w:t>
      </w:r>
      <w:r>
        <w:rPr>
          <w:rFonts w:ascii="仿宋" w:eastAsia="仿宋" w:hAnsi="仿宋" w:hint="eastAsia"/>
          <w:color w:val="212121"/>
          <w:sz w:val="32"/>
          <w:szCs w:val="32"/>
        </w:rPr>
        <w:t>年“三公”经费支出</w:t>
      </w:r>
      <w:r>
        <w:rPr>
          <w:rFonts w:ascii="仿宋" w:eastAsia="仿宋" w:hAnsi="仿宋"/>
          <w:color w:val="212121"/>
          <w:sz w:val="32"/>
          <w:szCs w:val="32"/>
        </w:rPr>
        <w:t>3.41</w:t>
      </w:r>
      <w:r>
        <w:rPr>
          <w:rFonts w:ascii="仿宋" w:eastAsia="仿宋" w:hAnsi="仿宋" w:hint="eastAsia"/>
          <w:color w:val="212121"/>
          <w:sz w:val="32"/>
          <w:szCs w:val="32"/>
        </w:rPr>
        <w:t>万元，是年初预算</w:t>
      </w:r>
      <w:r>
        <w:rPr>
          <w:rFonts w:ascii="仿宋" w:eastAsia="仿宋" w:hAnsi="仿宋"/>
          <w:color w:val="212121"/>
          <w:sz w:val="32"/>
          <w:szCs w:val="32"/>
        </w:rPr>
        <w:t>3.8</w:t>
      </w:r>
      <w:r>
        <w:rPr>
          <w:rFonts w:ascii="仿宋" w:eastAsia="仿宋" w:hAnsi="仿宋" w:hint="eastAsia"/>
          <w:color w:val="212121"/>
          <w:sz w:val="32"/>
          <w:szCs w:val="32"/>
        </w:rPr>
        <w:t>万元的</w:t>
      </w:r>
      <w:r>
        <w:rPr>
          <w:rFonts w:ascii="仿宋" w:eastAsia="仿宋" w:hAnsi="仿宋"/>
          <w:color w:val="212121"/>
          <w:sz w:val="32"/>
          <w:szCs w:val="32"/>
        </w:rPr>
        <w:t>90</w:t>
      </w:r>
      <w:r>
        <w:rPr>
          <w:rFonts w:ascii="仿宋" w:eastAsia="仿宋" w:hAnsi="仿宋" w:hint="eastAsia"/>
          <w:color w:val="212121"/>
          <w:sz w:val="32"/>
          <w:szCs w:val="32"/>
        </w:rPr>
        <w:t>%。其中：因公出国（境）费支出0万元；公务用车购置为0，公车运行维护费支出</w:t>
      </w:r>
      <w:r>
        <w:rPr>
          <w:rFonts w:ascii="仿宋" w:eastAsia="仿宋" w:hAnsi="仿宋"/>
          <w:color w:val="212121"/>
          <w:sz w:val="32"/>
          <w:szCs w:val="32"/>
        </w:rPr>
        <w:t>2.87</w:t>
      </w:r>
      <w:r>
        <w:rPr>
          <w:rFonts w:ascii="仿宋" w:eastAsia="仿宋" w:hAnsi="仿宋" w:hint="eastAsia"/>
          <w:color w:val="212121"/>
          <w:sz w:val="32"/>
          <w:szCs w:val="32"/>
        </w:rPr>
        <w:t>万元；公务接待费（人大会、经济工作会）支出</w:t>
      </w:r>
      <w:r>
        <w:rPr>
          <w:rFonts w:ascii="仿宋" w:eastAsia="仿宋" w:hAnsi="仿宋"/>
          <w:color w:val="212121"/>
          <w:sz w:val="32"/>
          <w:szCs w:val="32"/>
        </w:rPr>
        <w:t>0.54</w:t>
      </w:r>
      <w:r>
        <w:rPr>
          <w:rFonts w:ascii="仿宋" w:eastAsia="仿宋" w:hAnsi="仿宋" w:hint="eastAsia"/>
          <w:color w:val="212121"/>
          <w:sz w:val="32"/>
          <w:szCs w:val="32"/>
        </w:rPr>
        <w:t>万元，接待</w:t>
      </w:r>
      <w:r>
        <w:rPr>
          <w:rFonts w:ascii="仿宋" w:eastAsia="仿宋" w:hAnsi="仿宋"/>
          <w:color w:val="212121"/>
          <w:sz w:val="32"/>
          <w:szCs w:val="32"/>
        </w:rPr>
        <w:t>151</w:t>
      </w:r>
      <w:r>
        <w:rPr>
          <w:rFonts w:ascii="仿宋" w:eastAsia="仿宋" w:hAnsi="仿宋" w:hint="eastAsia"/>
          <w:color w:val="212121"/>
          <w:sz w:val="32"/>
          <w:szCs w:val="32"/>
        </w:rPr>
        <w:t>人次。“三公”经费支出保持只减不增的原则主要是我镇加强“三公”经费管理，实行归口统一管理，先审批后安排，严控“三公”经费支出。</w:t>
      </w:r>
    </w:p>
    <w:p w14:paraId="48E7F7E2" w14:textId="7CE76171" w:rsidR="00157CA7" w:rsidRPr="00807452" w:rsidRDefault="006E4323" w:rsidP="00192117">
      <w:pPr>
        <w:snapToGrid w:val="0"/>
        <w:spacing w:line="560" w:lineRule="exact"/>
        <w:ind w:firstLineChars="200" w:firstLine="640"/>
        <w:rPr>
          <w:rFonts w:ascii="黑体" w:eastAsia="黑体" w:hAnsi="黑体"/>
          <w:color w:val="212121"/>
          <w:sz w:val="32"/>
          <w:szCs w:val="32"/>
        </w:rPr>
      </w:pPr>
      <w:r w:rsidRPr="00807452">
        <w:rPr>
          <w:rFonts w:ascii="黑体" w:eastAsia="黑体" w:hAnsi="黑体" w:hint="eastAsia"/>
          <w:color w:val="212121"/>
          <w:sz w:val="32"/>
          <w:szCs w:val="32"/>
        </w:rPr>
        <w:t>三</w:t>
      </w:r>
      <w:r w:rsidR="00157CA7" w:rsidRPr="00807452">
        <w:rPr>
          <w:rFonts w:ascii="黑体" w:eastAsia="黑体" w:hAnsi="黑体" w:hint="eastAsia"/>
          <w:color w:val="212121"/>
          <w:sz w:val="32"/>
          <w:szCs w:val="32"/>
        </w:rPr>
        <w:t>、部门整体支出绩效情况</w:t>
      </w:r>
    </w:p>
    <w:p w14:paraId="061D75CB" w14:textId="77777777" w:rsidR="00157CA7" w:rsidRDefault="00157CA7" w:rsidP="00192117">
      <w:pPr>
        <w:spacing w:line="560" w:lineRule="exact"/>
        <w:ind w:firstLineChars="200" w:firstLine="643"/>
        <w:rPr>
          <w:rFonts w:ascii="仿宋_GB2312" w:eastAsia="仿宋_GB2312" w:cs="仿宋_GB2312"/>
          <w:sz w:val="32"/>
          <w:szCs w:val="32"/>
        </w:rPr>
      </w:pPr>
      <w:r>
        <w:rPr>
          <w:rFonts w:ascii="仿宋_GB2312" w:eastAsia="仿宋_GB2312" w:hAnsi="仿宋_GB2312" w:cs="仿宋_GB2312" w:hint="eastAsia"/>
          <w:b/>
          <w:bCs/>
          <w:sz w:val="32"/>
          <w:szCs w:val="32"/>
        </w:rPr>
        <w:t>一是疫情防控有力有效</w:t>
      </w:r>
      <w:r>
        <w:rPr>
          <w:rFonts w:ascii="仿宋_GB2312" w:eastAsia="仿宋_GB2312" w:hAnsi="仿宋_GB2312" w:cs="仿宋_GB2312" w:hint="eastAsia"/>
          <w:sz w:val="32"/>
          <w:szCs w:val="32"/>
        </w:rPr>
        <w:t>。严格落实突发公共卫生事件一级响应工作机制，始终坚持人民至上、生命至上，把人民生命安全和身体健康放在首位，</w:t>
      </w:r>
      <w:r>
        <w:rPr>
          <w:rFonts w:ascii="仿宋_GB2312" w:eastAsia="仿宋_GB2312" w:hAnsi="仿宋_GB2312" w:cs="仿宋_GB2312" w:hint="eastAsia"/>
          <w:snapToGrid w:val="0"/>
          <w:sz w:val="32"/>
          <w:szCs w:val="32"/>
        </w:rPr>
        <w:t>紧盯重点疫区来高返高人员，把牢“两站一口”重点场所，织密村社、楼院小区防控检疫网，</w:t>
      </w:r>
      <w:r>
        <w:rPr>
          <w:rFonts w:ascii="仿宋_GB2312" w:eastAsia="仿宋_GB2312" w:hAnsi="仿宋_GB2312" w:cs="仿宋_GB2312" w:hint="eastAsia"/>
          <w:sz w:val="32"/>
          <w:szCs w:val="32"/>
        </w:rPr>
        <w:t>全面落实网格化管理责任，从严从实做好来高人员摸排，多措并举落细疫情监测工作。全镇广大党员干部率先垂范、以身作则，医护人员迎难而上、英勇奋战，公安干警、志愿者不畏辛劳、默默奉献，社会各界人士守望相助、倾力支持，广大群众顾全大局、主动配合，共同筑起疫情防控的钢铁长城，全面打赢了疫情防控阻击战，切实守护了人民群众生命安全防线。</w:t>
      </w:r>
      <w:r>
        <w:rPr>
          <w:rFonts w:ascii="仿宋_GB2312" w:eastAsia="仿宋_GB2312" w:hAnsi="仿宋_GB2312" w:cs="仿宋_GB2312" w:hint="eastAsia"/>
          <w:b/>
          <w:bCs/>
          <w:sz w:val="32"/>
          <w:szCs w:val="32"/>
        </w:rPr>
        <w:t>二是镇域经济发展基础不断夯实。</w:t>
      </w:r>
      <w:r>
        <w:rPr>
          <w:rFonts w:ascii="仿宋_GB2312" w:eastAsia="仿宋_GB2312" w:hAnsi="仿宋_GB2312" w:cs="仿宋_GB2312" w:hint="eastAsia"/>
          <w:sz w:val="32"/>
          <w:szCs w:val="32"/>
        </w:rPr>
        <w:t>充分发挥全国农业产业强镇辐射功能，引进新上和续建项目9项，项目计划总投资3.54亿元。至2020年底，完成项目投资6600万元，占计划总投资的23.08%。积极争取基础设施建设项目，</w:t>
      </w:r>
      <w:r>
        <w:rPr>
          <w:rFonts w:ascii="仿宋_GB2312" w:eastAsia="仿宋_GB2312" w:hAnsi="仿宋_GB2312" w:cs="仿宋_GB2312" w:hint="eastAsia"/>
          <w:sz w:val="32"/>
          <w:szCs w:val="32"/>
        </w:rPr>
        <w:lastRenderedPageBreak/>
        <w:t>共实施高标准农田建设项目1.12万亩，</w:t>
      </w:r>
      <w:r>
        <w:rPr>
          <w:rFonts w:ascii="仿宋_GB2312" w:eastAsia="仿宋_GB2312" w:hAnsi="仿宋_GB2312" w:cs="仿宋_GB2312" w:hint="eastAsia"/>
          <w:kern w:val="0"/>
          <w:sz w:val="32"/>
          <w:szCs w:val="32"/>
        </w:rPr>
        <w:t>铺设滴灌管道114公里，改造旧井36眼，铺垫田间道路10.17公里，</w:t>
      </w:r>
      <w:r>
        <w:rPr>
          <w:rFonts w:ascii="仿宋_GB2312" w:eastAsia="仿宋_GB2312" w:hAnsi="仿宋_GB2312" w:cs="仿宋_GB2312" w:hint="eastAsia"/>
          <w:sz w:val="32"/>
          <w:szCs w:val="32"/>
        </w:rPr>
        <w:t>农田水利设施得到进一步夯实。完成扶贫互助社退出资金建设项目17项，将更多的财力物力向人居环境提升工作倾斜，持续扮靓美丽乡村，做到“锦上添花”。</w:t>
      </w:r>
      <w:r>
        <w:rPr>
          <w:rFonts w:ascii="仿宋_GB2312" w:eastAsia="仿宋_GB2312" w:cs="宋体" w:hint="eastAsia"/>
          <w:kern w:val="0"/>
          <w:sz w:val="32"/>
          <w:szCs w:val="32"/>
        </w:rPr>
        <w:t>全镇改革创新工作深入推进，</w:t>
      </w:r>
      <w:r>
        <w:rPr>
          <w:rFonts w:ascii="仿宋_GB2312" w:eastAsia="仿宋_GB2312" w:hint="eastAsia"/>
          <w:sz w:val="32"/>
          <w:szCs w:val="32"/>
        </w:rPr>
        <w:t>全面完成农村产权制度改革任</w:t>
      </w:r>
      <w:r>
        <w:rPr>
          <w:rFonts w:ascii="仿宋_GB2312" w:eastAsia="仿宋_GB2312" w:hAnsi="仿宋_GB2312" w:cs="仿宋_GB2312" w:hint="eastAsia"/>
          <w:sz w:val="32"/>
          <w:szCs w:val="32"/>
        </w:rPr>
        <w:t>务和村级财务清理，进一步</w:t>
      </w:r>
      <w:r>
        <w:rPr>
          <w:rFonts w:ascii="仿宋_GB2312" w:eastAsia="仿宋_GB2312" w:hAnsi="仿宋_GB2312" w:cs="仿宋_GB2312" w:hint="eastAsia"/>
          <w:sz w:val="32"/>
          <w:szCs w:val="32"/>
          <w:shd w:val="clear" w:color="auto" w:fill="FFFFFF"/>
        </w:rPr>
        <w:t>激发了农村经济发展活力。</w:t>
      </w:r>
      <w:r>
        <w:rPr>
          <w:rFonts w:ascii="仿宋_GB2312" w:eastAsia="仿宋_GB2312" w:hAnsi="仿宋_GB2312" w:cs="仿宋_GB2312" w:hint="eastAsia"/>
          <w:b/>
          <w:bCs/>
          <w:sz w:val="32"/>
          <w:szCs w:val="32"/>
        </w:rPr>
        <w:t>三是产业结构层级持续优化。</w:t>
      </w:r>
      <w:r>
        <w:rPr>
          <w:rFonts w:ascii="仿宋_GB2312" w:eastAsia="仿宋_GB2312" w:hAnsi="仿宋_GB2312" w:cs="仿宋_GB2312" w:hint="eastAsia"/>
          <w:sz w:val="32"/>
          <w:szCs w:val="32"/>
        </w:rPr>
        <w:t>扎实做好“六稳”工作，全面落实“六保”任务，现代农业布局渐趋优化，四</w:t>
      </w:r>
      <w:r>
        <w:rPr>
          <w:rFonts w:ascii="仿宋_GB2312" w:eastAsia="仿宋_GB2312" w:hint="eastAsia"/>
          <w:sz w:val="32"/>
          <w:szCs w:val="32"/>
        </w:rPr>
        <w:t>大主导产业提质增效。</w:t>
      </w:r>
      <w:r>
        <w:rPr>
          <w:rFonts w:ascii="仿宋_GB2312" w:eastAsia="仿宋_GB2312" w:hAnsi="仿宋_GB2312" w:cs="仿宋_GB2312" w:hint="eastAsia"/>
          <w:sz w:val="32"/>
          <w:szCs w:val="32"/>
        </w:rPr>
        <w:t>努力做好蔬菜产业园区土地租金、流转规模、种植结构“三个调整”，不断提升承载能力，推动园区向更高质量发展。2020年，共种植制种玉米1.12万亩，高原夏菜2.27万亩，订单农业面积达到4.58万亩，新建钢架大棚204座。全力抓好明水滩肉羊养殖长廊扩栏补栏工作，新改建养殖场2个，新增规模养殖户72户。“高台胭脂鸡”被农业农村部准予登记“</w:t>
      </w:r>
      <w:r>
        <w:rPr>
          <w:rFonts w:ascii="仿宋_GB2312" w:eastAsia="仿宋_GB2312" w:hint="eastAsia"/>
          <w:sz w:val="32"/>
          <w:szCs w:val="32"/>
        </w:rPr>
        <w:t>农产品地理标志”</w:t>
      </w:r>
      <w:r>
        <w:rPr>
          <w:rFonts w:ascii="仿宋_GB2312" w:eastAsia="仿宋_GB2312" w:hAnsi="仿宋_GB2312" w:cs="仿宋_GB2312" w:hint="eastAsia"/>
          <w:sz w:val="32"/>
          <w:szCs w:val="32"/>
        </w:rPr>
        <w:t>，“耀农小蜜”哈密瓜品牌效应不断提升。举办</w:t>
      </w:r>
      <w:r>
        <w:rPr>
          <w:rFonts w:ascii="仿宋_GB2312" w:eastAsia="仿宋_GB2312" w:cs="宋体" w:hint="eastAsia"/>
          <w:kern w:val="0"/>
          <w:sz w:val="32"/>
          <w:szCs w:val="32"/>
        </w:rPr>
        <w:t>点对点技能培训班18期，创业培训班1期，集中培训</w:t>
      </w:r>
      <w:r>
        <w:rPr>
          <w:rFonts w:ascii="仿宋_GB2312" w:eastAsia="仿宋_GB2312" w:hAnsi="仿宋_GB2312" w:cs="仿宋_GB2312" w:hint="eastAsia"/>
          <w:sz w:val="32"/>
          <w:szCs w:val="32"/>
        </w:rPr>
        <w:t>劳动力</w:t>
      </w:r>
      <w:r>
        <w:rPr>
          <w:rFonts w:ascii="仿宋_GB2312" w:eastAsia="仿宋_GB2312" w:cs="宋体"/>
          <w:kern w:val="0"/>
          <w:sz w:val="32"/>
          <w:szCs w:val="32"/>
        </w:rPr>
        <w:t>1</w:t>
      </w:r>
      <w:r>
        <w:rPr>
          <w:rFonts w:ascii="仿宋_GB2312" w:eastAsia="仿宋_GB2312" w:cs="宋体" w:hint="eastAsia"/>
          <w:kern w:val="0"/>
          <w:sz w:val="32"/>
          <w:szCs w:val="32"/>
        </w:rPr>
        <w:t>690人（次），输转富余劳动力4260人</w:t>
      </w:r>
      <w:r>
        <w:rPr>
          <w:rFonts w:ascii="仿宋_GB2312" w:eastAsia="仿宋_GB2312" w:hAnsi="仿宋_GB2312" w:cs="仿宋_GB2312" w:hint="eastAsia"/>
          <w:sz w:val="32"/>
          <w:szCs w:val="32"/>
        </w:rPr>
        <w:t>（次）</w:t>
      </w:r>
      <w:r>
        <w:rPr>
          <w:rFonts w:ascii="仿宋_GB2312" w:eastAsia="仿宋_GB2312" w:cs="宋体" w:hint="eastAsia"/>
          <w:kern w:val="0"/>
          <w:sz w:val="32"/>
          <w:szCs w:val="32"/>
        </w:rPr>
        <w:t>，实现劳务收入1.36亿元。</w:t>
      </w:r>
      <w:r>
        <w:rPr>
          <w:rFonts w:ascii="仿宋_GB2312" w:eastAsia="仿宋_GB2312" w:hAnsi="仿宋_GB2312" w:cs="仿宋_GB2312" w:hint="eastAsia"/>
          <w:b/>
          <w:bCs/>
          <w:sz w:val="32"/>
          <w:szCs w:val="32"/>
        </w:rPr>
        <w:t>四是镇村环境面貌明显改观。</w:t>
      </w:r>
      <w:r>
        <w:rPr>
          <w:rFonts w:ascii="仿宋_GB2312" w:eastAsia="仿宋_GB2312" w:hAnsi="仿宋_GB2312" w:cs="仿宋_GB2312" w:hint="eastAsia"/>
          <w:sz w:val="32"/>
          <w:szCs w:val="32"/>
        </w:rPr>
        <w:t>按照“323”的工作思路，以南岔、明水、义和、南寨子等乡村振兴示范点为带动，全镇党员干部和广大群众</w:t>
      </w:r>
      <w:r>
        <w:rPr>
          <w:rFonts w:ascii="微软雅黑" w:eastAsia="微软雅黑" w:hAnsi="微软雅黑" w:cs="微软雅黑" w:hint="eastAsia"/>
          <w:sz w:val="32"/>
          <w:szCs w:val="32"/>
        </w:rPr>
        <w:t>勠</w:t>
      </w:r>
      <w:r>
        <w:rPr>
          <w:rFonts w:ascii="仿宋_GB2312" w:eastAsia="仿宋_GB2312" w:hAnsi="仿宋_GB2312" w:cs="仿宋_GB2312" w:hint="eastAsia"/>
          <w:sz w:val="32"/>
          <w:szCs w:val="32"/>
        </w:rPr>
        <w:t>力同心，攻坚克难，共打造新改建示范点21个，新建住房211户，</w:t>
      </w:r>
      <w:r>
        <w:rPr>
          <w:rFonts w:ascii="仿宋_GB2312" w:eastAsia="仿宋_GB2312" w:hAnsi="Courier New" w:cs="仿宋_GB2312" w:hint="eastAsia"/>
          <w:sz w:val="32"/>
          <w:szCs w:val="32"/>
        </w:rPr>
        <w:t>改建571户，拆除54户，</w:t>
      </w:r>
      <w:r>
        <w:rPr>
          <w:rFonts w:ascii="仿宋_GB2312" w:eastAsia="仿宋_GB2312" w:hAnsi="仿宋_GB2312" w:cs="仿宋_GB2312" w:hint="eastAsia"/>
          <w:sz w:val="32"/>
          <w:szCs w:val="32"/>
        </w:rPr>
        <w:t>人居环境改善提升工作呈现出全面开花的良好局面。扎实开展全域无垃圾治理工作，清理农村巷道384条，清运各类垃圾及杂物2414</w:t>
      </w:r>
      <w:r>
        <w:rPr>
          <w:rFonts w:ascii="仿宋_GB2312" w:eastAsia="仿宋_GB2312" w:hAnsi="仿宋_GB2312" w:cs="仿宋_GB2312" w:hint="eastAsia"/>
          <w:sz w:val="32"/>
          <w:szCs w:val="32"/>
        </w:rPr>
        <w:lastRenderedPageBreak/>
        <w:t>吨，拆除残垣断壁653宗，维修房屋166户，改厕285座，改炕863铺，新建公厕12座，创建清洁村庄6个，新完成植树造林268.4亩，栽植各类苗木26.7万余株，种植50亩花海1处</w:t>
      </w:r>
      <w:r>
        <w:rPr>
          <w:rFonts w:ascii="仿宋_GB2312" w:eastAsia="仿宋_GB2312" w:hint="eastAsia"/>
          <w:sz w:val="32"/>
          <w:szCs w:val="32"/>
        </w:rPr>
        <w:t>。</w:t>
      </w:r>
      <w:r>
        <w:rPr>
          <w:rFonts w:ascii="仿宋_GB2312" w:eastAsia="仿宋_GB2312" w:hint="eastAsia"/>
          <w:spacing w:val="-6"/>
          <w:sz w:val="32"/>
          <w:szCs w:val="34"/>
        </w:rPr>
        <w:t>深入开展“河湖清四乱”行动，</w:t>
      </w:r>
      <w:r>
        <w:rPr>
          <w:rFonts w:ascii="仿宋_GB2312" w:eastAsia="仿宋_GB2312" w:hint="eastAsia"/>
          <w:sz w:val="32"/>
          <w:szCs w:val="32"/>
        </w:rPr>
        <w:t>统筹推进</w:t>
      </w:r>
      <w:r>
        <w:rPr>
          <w:rFonts w:ascii="仿宋_GB2312" w:eastAsia="仿宋_GB2312" w:hAnsi="仿宋_GB2312" w:cs="仿宋_GB2312" w:hint="eastAsia"/>
          <w:sz w:val="32"/>
          <w:szCs w:val="32"/>
        </w:rPr>
        <w:t>农业废弃物第三方集中处理提高资源化利用率，有效维护了河湖生态安全。</w:t>
      </w:r>
      <w:r>
        <w:rPr>
          <w:rFonts w:ascii="仿宋_GB2312" w:eastAsia="仿宋_GB2312" w:hAnsi="仿宋_GB2312" w:cs="仿宋_GB2312" w:hint="eastAsia"/>
          <w:b/>
          <w:bCs/>
          <w:sz w:val="32"/>
          <w:szCs w:val="32"/>
        </w:rPr>
        <w:t>五是民生保障水平稳步提高。</w:t>
      </w:r>
      <w:r>
        <w:rPr>
          <w:rFonts w:ascii="仿宋_GB2312" w:eastAsia="仿宋_GB2312" w:hAnsi="仿宋_GB2312" w:cs="仿宋_GB2312" w:hint="eastAsia"/>
          <w:sz w:val="32"/>
          <w:szCs w:val="32"/>
        </w:rPr>
        <w:t>扎实开展脱贫攻坚“百日攻坚”行动和检视问题清零行动，聚焦“两不愁三保障”，持续深化“3+1”冲刺清零、“5+1”专项提升行动等17项重点工作</w:t>
      </w:r>
      <w:r>
        <w:rPr>
          <w:rFonts w:ascii="仿宋_GB2312" w:eastAsia="仿宋_GB2312" w:hint="eastAsia"/>
          <w:sz w:val="32"/>
          <w:szCs w:val="32"/>
        </w:rPr>
        <w:t>，</w:t>
      </w:r>
      <w:r>
        <w:rPr>
          <w:rFonts w:ascii="仿宋_GB2312" w:eastAsia="仿宋_GB2312" w:hAnsi="仿宋_GB2312" w:cs="仿宋_GB2312" w:hint="eastAsia"/>
          <w:bCs/>
          <w:sz w:val="32"/>
          <w:szCs w:val="32"/>
        </w:rPr>
        <w:t>紧盯各类巡视巡察</w:t>
      </w:r>
      <w:r>
        <w:rPr>
          <w:rFonts w:ascii="仿宋_GB2312" w:eastAsia="仿宋_GB2312" w:hAnsi="仿宋_GB2312" w:cs="仿宋_GB2312" w:hint="eastAsia"/>
          <w:sz w:val="32"/>
          <w:szCs w:val="32"/>
        </w:rPr>
        <w:t>反馈问题整改工作，脱贫攻坚成果得到进一步巩固。全面落实国家各项惠农政策，最大限度的保护农民利益，</w:t>
      </w:r>
      <w:r>
        <w:rPr>
          <w:rFonts w:ascii="仿宋_GB2312" w:eastAsia="仿宋_GB2312" w:hint="eastAsia"/>
          <w:sz w:val="32"/>
          <w:szCs w:val="32"/>
        </w:rPr>
        <w:t>全年发放各类惠农资金2053.3万元</w:t>
      </w:r>
      <w:r>
        <w:rPr>
          <w:rFonts w:ascii="仿宋_GB2312" w:eastAsia="仿宋_GB2312" w:hAnsi="仿宋_GB2312" w:cs="仿宋_GB2312" w:hint="eastAsia"/>
          <w:sz w:val="32"/>
          <w:szCs w:val="32"/>
        </w:rPr>
        <w:t>，群众获得感大幅提升。积极倡导文明新风，公筷分餐全面推行，餐饮浪费有效遏制，孝老爱亲、诚信友善的社会氛围日益浓厚。常态化开展矛盾纠纷“大排查、大化解、大调处”活动，成功调处各类矛盾纠纷274件，社会大局保持和谐稳定。严格落实安全生产责任制，开展道路交通安全劝导16530人（次），</w:t>
      </w:r>
      <w:r>
        <w:rPr>
          <w:rFonts w:ascii="仿宋_GB2312" w:eastAsia="仿宋_GB2312" w:hAnsi="仿宋_GB2312" w:cs="仿宋_GB2312" w:hint="eastAsia"/>
          <w:sz w:val="32"/>
          <w:szCs w:val="32"/>
          <w:shd w:val="clear" w:color="auto" w:fill="FFFFFF"/>
        </w:rPr>
        <w:t>消防应急演练6次，安全生产大检查12次，</w:t>
      </w:r>
      <w:r>
        <w:rPr>
          <w:rFonts w:ascii="仿宋_GB2312" w:eastAsia="仿宋_GB2312" w:hAnsi="仿宋_GB2312" w:cs="仿宋_GB2312" w:hint="eastAsia"/>
          <w:sz w:val="32"/>
          <w:szCs w:val="32"/>
        </w:rPr>
        <w:t>全镇安全生产形势平稳有序。全面完成第七次全国人口普查入户登记。成功举办高台县第三节农民丰收节，极大地</w:t>
      </w:r>
      <w:r>
        <w:rPr>
          <w:rFonts w:ascii="仿宋_GB2312" w:eastAsia="仿宋_GB2312" w:hAnsi="仿宋_GB2312" w:cs="仿宋_GB2312" w:hint="eastAsia"/>
          <w:sz w:val="32"/>
          <w:szCs w:val="32"/>
          <w:shd w:val="clear" w:color="auto" w:fill="FFFFFF"/>
        </w:rPr>
        <w:t>丰富了广大农民群众的精神文化生活。</w:t>
      </w:r>
      <w:r>
        <w:rPr>
          <w:rFonts w:ascii="仿宋_GB2312" w:eastAsia="仿宋_GB2312" w:hAnsi="仿宋_GB2312" w:cs="仿宋_GB2312" w:hint="eastAsia"/>
          <w:b/>
          <w:bCs/>
          <w:sz w:val="32"/>
          <w:szCs w:val="32"/>
        </w:rPr>
        <w:t>六是政府服务效能日益提升。</w:t>
      </w:r>
      <w:r>
        <w:rPr>
          <w:rFonts w:ascii="仿宋_GB2312" w:eastAsia="仿宋_GB2312" w:cs="仿宋_GB2312" w:hint="eastAsia"/>
          <w:sz w:val="32"/>
          <w:szCs w:val="32"/>
        </w:rPr>
        <w:t>深入贯彻落实习近平法治思想，持续推进法治政府建设，始终把法治精神、法治思维、法治方式融入政府工作全过程。认真履行全面从严治党主体责任和领导干部“一岗双责”，加大重点领域审查监督力度，通过开展集体约谈和工作约谈，政府廉政</w:t>
      </w:r>
      <w:r>
        <w:rPr>
          <w:rFonts w:ascii="仿宋_GB2312" w:eastAsia="仿宋_GB2312" w:cs="仿宋_GB2312" w:hint="eastAsia"/>
          <w:sz w:val="32"/>
          <w:szCs w:val="32"/>
        </w:rPr>
        <w:lastRenderedPageBreak/>
        <w:t>建设不断加强</w:t>
      </w:r>
      <w:r>
        <w:rPr>
          <w:rFonts w:ascii="仿宋_GB2312" w:eastAsia="仿宋_GB2312" w:hint="eastAsia"/>
          <w:sz w:val="32"/>
          <w:szCs w:val="32"/>
        </w:rPr>
        <w:t>。</w:t>
      </w:r>
      <w:r>
        <w:rPr>
          <w:rFonts w:ascii="仿宋_GB2312" w:eastAsia="仿宋_GB2312" w:cs="仿宋_GB2312" w:hint="eastAsia"/>
          <w:sz w:val="32"/>
          <w:szCs w:val="32"/>
        </w:rPr>
        <w:t>自觉接受人大工作监督、法律监督，</w:t>
      </w:r>
      <w:r>
        <w:rPr>
          <w:rFonts w:ascii="仿宋_GB2312" w:eastAsia="仿宋_GB2312" w:hAnsi="仿宋_GB2312" w:cs="仿宋_GB2312" w:hint="eastAsia"/>
          <w:sz w:val="32"/>
          <w:szCs w:val="32"/>
        </w:rPr>
        <w:t>办结人大代表意见建议10件。</w:t>
      </w:r>
      <w:r>
        <w:rPr>
          <w:rFonts w:ascii="仿宋_GB2312" w:eastAsia="仿宋_GB2312" w:cs="仿宋_GB2312" w:hint="eastAsia"/>
          <w:sz w:val="32"/>
          <w:szCs w:val="32"/>
        </w:rPr>
        <w:t>顺利通过“七五”普法验收，《民法典》学习宣传广泛深入，</w:t>
      </w:r>
      <w:r>
        <w:rPr>
          <w:rFonts w:ascii="仿宋_GB2312" w:eastAsia="仿宋_GB2312" w:hAnsi="仿宋_GB2312" w:cs="仿宋_GB2312" w:hint="eastAsia"/>
          <w:sz w:val="32"/>
          <w:szCs w:val="32"/>
        </w:rPr>
        <w:t>群众法治意识普遍增强。</w:t>
      </w:r>
      <w:r>
        <w:rPr>
          <w:rFonts w:ascii="仿宋_GB2312" w:eastAsia="仿宋_GB2312" w:cs="仿宋_GB2312" w:hint="eastAsia"/>
          <w:sz w:val="32"/>
          <w:szCs w:val="32"/>
        </w:rPr>
        <w:t>认真落实中央八项规定和省市县有关规定，扎实转变工作作风，政府服务效能进一步提升。</w:t>
      </w:r>
    </w:p>
    <w:p w14:paraId="333C944F" w14:textId="77777777" w:rsidR="00157CA7" w:rsidRDefault="00157CA7" w:rsidP="00192117">
      <w:pPr>
        <w:spacing w:line="560" w:lineRule="exact"/>
        <w:ind w:firstLine="645"/>
        <w:rPr>
          <w:rFonts w:ascii="仿宋_GB2312" w:eastAsia="仿宋_GB2312" w:hAnsi="仿宋_GB2312" w:cs="仿宋_GB2312"/>
          <w:color w:val="000000"/>
          <w:kern w:val="0"/>
          <w:sz w:val="32"/>
          <w:szCs w:val="32"/>
        </w:rPr>
      </w:pPr>
      <w:r w:rsidRPr="0062546B">
        <w:rPr>
          <w:rFonts w:ascii="仿宋_GB2312" w:eastAsia="仿宋_GB2312" w:hAnsi="仿宋_GB2312" w:cs="仿宋_GB2312" w:hint="eastAsia"/>
          <w:sz w:val="32"/>
          <w:szCs w:val="32"/>
        </w:rPr>
        <w:t>绩效评价总分值100分，自评得分</w:t>
      </w:r>
      <w:r>
        <w:rPr>
          <w:rFonts w:ascii="仿宋_GB2312" w:eastAsia="仿宋_GB2312" w:hAnsi="仿宋_GB2312" w:cs="仿宋_GB2312"/>
          <w:sz w:val="32"/>
          <w:szCs w:val="32"/>
        </w:rPr>
        <w:t>100</w:t>
      </w:r>
      <w:r w:rsidRPr="0062546B">
        <w:rPr>
          <w:rFonts w:ascii="仿宋_GB2312" w:eastAsia="仿宋_GB2312" w:hAnsi="仿宋_GB2312" w:cs="仿宋_GB2312" w:hint="eastAsia"/>
          <w:sz w:val="32"/>
          <w:szCs w:val="32"/>
        </w:rPr>
        <w:t>分，绩效评价结果为“优”。</w:t>
      </w:r>
    </w:p>
    <w:p w14:paraId="361270F1" w14:textId="08CEF755" w:rsidR="00157CA7" w:rsidRPr="00807452" w:rsidRDefault="00807452" w:rsidP="00192117">
      <w:pPr>
        <w:spacing w:line="560" w:lineRule="exact"/>
        <w:ind w:firstLine="645"/>
        <w:rPr>
          <w:rFonts w:ascii="黑体" w:eastAsia="黑体" w:hAnsi="黑体" w:cs="仿宋_GB2312"/>
          <w:sz w:val="32"/>
          <w:szCs w:val="32"/>
        </w:rPr>
      </w:pPr>
      <w:r w:rsidRPr="00807452">
        <w:rPr>
          <w:rFonts w:ascii="黑体" w:eastAsia="黑体" w:hAnsi="黑体" w:cs="仿宋_GB2312" w:hint="eastAsia"/>
          <w:sz w:val="32"/>
          <w:szCs w:val="32"/>
        </w:rPr>
        <w:t>四</w:t>
      </w:r>
      <w:r w:rsidR="00157CA7" w:rsidRPr="00807452">
        <w:rPr>
          <w:rFonts w:ascii="黑体" w:eastAsia="黑体" w:hAnsi="黑体" w:cs="仿宋_GB2312" w:hint="eastAsia"/>
          <w:sz w:val="32"/>
          <w:szCs w:val="32"/>
        </w:rPr>
        <w:t>、存在的问题</w:t>
      </w:r>
    </w:p>
    <w:p w14:paraId="7C83AA02" w14:textId="77777777" w:rsidR="00157CA7" w:rsidRDefault="00157CA7" w:rsidP="00192117">
      <w:pPr>
        <w:spacing w:line="560" w:lineRule="exact"/>
        <w:ind w:firstLine="645"/>
        <w:rPr>
          <w:rFonts w:ascii="仿宋" w:eastAsia="仿宋" w:hAnsi="仿宋"/>
          <w:color w:val="000000"/>
          <w:sz w:val="32"/>
          <w:szCs w:val="32"/>
        </w:rPr>
      </w:pPr>
      <w:r w:rsidRPr="00AA64AC">
        <w:rPr>
          <w:rFonts w:ascii="仿宋" w:eastAsia="仿宋" w:hAnsi="仿宋" w:hint="eastAsia"/>
          <w:color w:val="000000"/>
          <w:sz w:val="32"/>
          <w:szCs w:val="32"/>
        </w:rPr>
        <w:t>1、绩效评估体系还不完善</w:t>
      </w:r>
      <w:r>
        <w:rPr>
          <w:rFonts w:ascii="仿宋" w:eastAsia="仿宋" w:hAnsi="仿宋" w:hint="eastAsia"/>
          <w:color w:val="000000"/>
          <w:sz w:val="32"/>
          <w:szCs w:val="32"/>
        </w:rPr>
        <w:t>、</w:t>
      </w:r>
      <w:r w:rsidRPr="00AA64AC">
        <w:rPr>
          <w:rFonts w:ascii="仿宋" w:eastAsia="仿宋" w:hAnsi="仿宋" w:hint="eastAsia"/>
          <w:color w:val="000000"/>
          <w:sz w:val="32"/>
          <w:szCs w:val="32"/>
        </w:rPr>
        <w:t>绩效评价内容不够丰富</w:t>
      </w:r>
      <w:r>
        <w:rPr>
          <w:rFonts w:ascii="仿宋" w:eastAsia="仿宋" w:hAnsi="仿宋" w:hint="eastAsia"/>
          <w:color w:val="000000"/>
          <w:sz w:val="32"/>
          <w:szCs w:val="32"/>
        </w:rPr>
        <w:t>；</w:t>
      </w:r>
    </w:p>
    <w:p w14:paraId="621E1479" w14:textId="77777777" w:rsidR="00157CA7" w:rsidRPr="00AA64AC" w:rsidRDefault="00157CA7" w:rsidP="00192117">
      <w:pPr>
        <w:spacing w:line="560" w:lineRule="exact"/>
        <w:ind w:firstLine="645"/>
        <w:rPr>
          <w:rFonts w:ascii="仿宋" w:eastAsia="仿宋" w:hAnsi="仿宋"/>
          <w:color w:val="000000"/>
          <w:sz w:val="32"/>
          <w:szCs w:val="32"/>
        </w:rPr>
      </w:pPr>
      <w:r>
        <w:rPr>
          <w:rFonts w:ascii="仿宋" w:eastAsia="仿宋" w:hAnsi="仿宋" w:hint="eastAsia"/>
          <w:color w:val="000000"/>
          <w:sz w:val="32"/>
          <w:szCs w:val="32"/>
        </w:rPr>
        <w:t>2、镇政府基本公用经费不足，收入形式较为有限，渠道主要是县级财政安排的预算经费，支出缺口较大，存量债务多，镇政府形象受损。</w:t>
      </w:r>
    </w:p>
    <w:p w14:paraId="370448A3" w14:textId="5148EE74" w:rsidR="00157CA7" w:rsidRPr="00807452" w:rsidRDefault="00807452" w:rsidP="00192117">
      <w:pPr>
        <w:pStyle w:val="a9"/>
        <w:spacing w:before="0" w:beforeAutospacing="0" w:after="0" w:afterAutospacing="0" w:line="560" w:lineRule="exact"/>
        <w:ind w:firstLine="560"/>
        <w:jc w:val="both"/>
        <w:rPr>
          <w:rFonts w:ascii="黑体" w:eastAsia="黑体" w:hAnsi="黑体" w:cs="Times New Roman"/>
          <w:color w:val="000000"/>
          <w:sz w:val="28"/>
          <w:szCs w:val="28"/>
        </w:rPr>
      </w:pPr>
      <w:r w:rsidRPr="00807452">
        <w:rPr>
          <w:rFonts w:ascii="黑体" w:eastAsia="黑体" w:hAnsi="黑体" w:cs="黑体" w:hint="eastAsia"/>
          <w:sz w:val="32"/>
          <w:szCs w:val="32"/>
        </w:rPr>
        <w:t>五</w:t>
      </w:r>
      <w:r w:rsidR="00157CA7" w:rsidRPr="00807452">
        <w:rPr>
          <w:rFonts w:ascii="黑体" w:eastAsia="黑体" w:hAnsi="黑体" w:cs="黑体" w:hint="eastAsia"/>
          <w:sz w:val="32"/>
          <w:szCs w:val="32"/>
        </w:rPr>
        <w:t>、下一步工作措施</w:t>
      </w:r>
    </w:p>
    <w:p w14:paraId="3A637785" w14:textId="77777777" w:rsidR="00157CA7" w:rsidRPr="00B63325" w:rsidRDefault="00157CA7" w:rsidP="00192117">
      <w:pPr>
        <w:pStyle w:val="a9"/>
        <w:spacing w:before="0" w:beforeAutospacing="0" w:after="0" w:afterAutospacing="0" w:line="560" w:lineRule="exact"/>
        <w:ind w:firstLine="640"/>
        <w:rPr>
          <w:rFonts w:ascii="Times New Roman" w:eastAsia="仿宋_GB2312" w:hAnsi="Times New Roman" w:cs="仿宋_GB2312"/>
          <w:sz w:val="32"/>
          <w:szCs w:val="32"/>
        </w:rPr>
      </w:pPr>
      <w:r w:rsidRPr="00C35E3A">
        <w:rPr>
          <w:rFonts w:ascii="Times New Roman" w:eastAsia="仿宋_GB2312" w:hAnsi="Times New Roman" w:cs="仿宋_GB2312" w:hint="eastAsia"/>
          <w:sz w:val="32"/>
          <w:szCs w:val="32"/>
        </w:rPr>
        <w:t>今后工作中，我们将以此次绩效自评工作为契机，进一步提高责任意识，提高资金使用效率</w:t>
      </w:r>
      <w:r>
        <w:rPr>
          <w:rFonts w:ascii="Times New Roman" w:eastAsia="仿宋_GB2312" w:hAnsi="Times New Roman" w:cs="仿宋_GB2312" w:hint="eastAsia"/>
          <w:sz w:val="32"/>
          <w:szCs w:val="32"/>
        </w:rPr>
        <w:t>。</w:t>
      </w:r>
      <w:r w:rsidRPr="004C60CC">
        <w:rPr>
          <w:rFonts w:ascii="Times New Roman" w:eastAsia="仿宋_GB2312" w:hAnsi="Times New Roman" w:cs="仿宋_GB2312" w:hint="eastAsia"/>
          <w:b/>
          <w:bCs/>
          <w:sz w:val="32"/>
          <w:szCs w:val="32"/>
        </w:rPr>
        <w:t>一是</w:t>
      </w:r>
      <w:r w:rsidRPr="004C60CC">
        <w:rPr>
          <w:rFonts w:ascii="仿宋_GB2312" w:eastAsia="仿宋_GB2312" w:hAnsi="Times New Roman" w:cs="仿宋_GB2312" w:hint="eastAsia"/>
          <w:sz w:val="32"/>
          <w:szCs w:val="32"/>
        </w:rPr>
        <w:t>强化项目管理。</w:t>
      </w:r>
      <w:r w:rsidRPr="00C35E3A">
        <w:rPr>
          <w:rFonts w:ascii="仿宋_GB2312" w:eastAsia="仿宋_GB2312" w:hAnsi="Times New Roman" w:cs="仿宋_GB2312" w:hint="eastAsia"/>
          <w:sz w:val="32"/>
          <w:szCs w:val="32"/>
        </w:rPr>
        <w:t>认真核实预算，进行公开招标，选择信誉度高、建设速度快、质量高，有资质的施工单位承包建设。在施工过程中，并制定了“谁验收、谁签字、谁负责”的验收制度，确保了项目实施的质量。</w:t>
      </w:r>
      <w:r w:rsidRPr="004C60CC">
        <w:rPr>
          <w:rFonts w:ascii="Times New Roman" w:eastAsia="仿宋_GB2312" w:hAnsi="Times New Roman" w:cs="仿宋_GB2312" w:hint="eastAsia"/>
          <w:b/>
          <w:bCs/>
          <w:sz w:val="32"/>
          <w:szCs w:val="32"/>
        </w:rPr>
        <w:t>二</w:t>
      </w:r>
      <w:r w:rsidRPr="004C60CC">
        <w:rPr>
          <w:rFonts w:ascii="仿宋" w:eastAsia="仿宋" w:hAnsi="仿宋" w:cs="Calibri" w:hint="eastAsia"/>
          <w:b/>
          <w:bCs/>
          <w:color w:val="212121"/>
          <w:sz w:val="32"/>
          <w:szCs w:val="32"/>
        </w:rPr>
        <w:t>是</w:t>
      </w:r>
      <w:r w:rsidRPr="004C60CC">
        <w:rPr>
          <w:rFonts w:ascii="仿宋" w:eastAsia="仿宋" w:hAnsi="仿宋" w:cs="Calibri" w:hint="eastAsia"/>
          <w:color w:val="212121"/>
          <w:sz w:val="32"/>
          <w:szCs w:val="32"/>
        </w:rPr>
        <w:t>加强财务管理。</w:t>
      </w:r>
      <w:r>
        <w:rPr>
          <w:rFonts w:ascii="仿宋" w:eastAsia="仿宋" w:hAnsi="仿宋" w:cs="Calibri" w:hint="eastAsia"/>
          <w:color w:val="212121"/>
          <w:sz w:val="32"/>
          <w:szCs w:val="32"/>
        </w:rPr>
        <w:t>在费用报账支付时，按照预算规定的费用项目和用途进行资金使用的审核，在预算金额内严格控制费用的支出，控制超支现象的发生；严格按照实际的费用支出内容进行财务核算，确保财务核算的真实、及时、准确、完整。</w:t>
      </w:r>
      <w:r w:rsidRPr="004C60CC">
        <w:rPr>
          <w:rFonts w:ascii="仿宋" w:eastAsia="仿宋" w:hAnsi="仿宋" w:cs="Calibri" w:hint="eastAsia"/>
          <w:b/>
          <w:bCs/>
          <w:color w:val="212121"/>
          <w:sz w:val="32"/>
          <w:szCs w:val="32"/>
        </w:rPr>
        <w:t>三是</w:t>
      </w:r>
      <w:r w:rsidRPr="004C60CC">
        <w:rPr>
          <w:rFonts w:ascii="仿宋_GB2312" w:eastAsia="仿宋_GB2312" w:hAnsi="Times New Roman" w:cs="仿宋_GB2312" w:hint="eastAsia"/>
          <w:sz w:val="32"/>
          <w:szCs w:val="32"/>
        </w:rPr>
        <w:t>加大监督力度。</w:t>
      </w:r>
      <w:r w:rsidRPr="00C35E3A">
        <w:rPr>
          <w:rFonts w:ascii="仿宋_GB2312" w:eastAsia="仿宋_GB2312" w:hAnsi="Times New Roman" w:cs="仿宋_GB2312" w:hint="eastAsia"/>
          <w:sz w:val="32"/>
          <w:szCs w:val="32"/>
        </w:rPr>
        <w:t>对项目进行集体研究决定，在资金支付上实行</w:t>
      </w:r>
      <w:r w:rsidRPr="00C35E3A">
        <w:rPr>
          <w:rFonts w:ascii="仿宋_GB2312" w:eastAsia="仿宋_GB2312" w:hAnsi="Times New Roman" w:cs="仿宋_GB2312" w:hint="eastAsia"/>
          <w:sz w:val="32"/>
          <w:szCs w:val="32"/>
        </w:rPr>
        <w:lastRenderedPageBreak/>
        <w:t>施工人员、分管领导、财务管理人员多层审核签字把关，最后由财政部门统一审批。克服工作中的随意性，减少管理中的漏洞，有效防止违规行为的发生。</w:t>
      </w:r>
      <w:r w:rsidRPr="004C60CC">
        <w:rPr>
          <w:rFonts w:ascii="仿宋_GB2312" w:eastAsia="仿宋_GB2312" w:hAnsi="Times New Roman" w:cs="仿宋_GB2312" w:hint="eastAsia"/>
          <w:b/>
          <w:bCs/>
          <w:sz w:val="32"/>
          <w:szCs w:val="32"/>
        </w:rPr>
        <w:t>四是</w:t>
      </w:r>
      <w:r>
        <w:rPr>
          <w:rFonts w:ascii="Times New Roman" w:eastAsia="仿宋_GB2312" w:hAnsi="Times New Roman" w:cs="仿宋_GB2312" w:hint="eastAsia"/>
          <w:sz w:val="32"/>
          <w:szCs w:val="32"/>
        </w:rPr>
        <w:t>加强预算管理，提前做好项目论证，对项目执行中存在的变动提前做好预案，防止预算执行过程中出现偏差；加强专项资金制度建设，提高资金使用过程中的制度引领效果，根据绩效目标落实责任，突出专项资金结果考核。</w:t>
      </w:r>
    </w:p>
    <w:p w14:paraId="14ED0F26" w14:textId="453D0D8E" w:rsidR="00157CA7" w:rsidRPr="00807452" w:rsidRDefault="00807452" w:rsidP="00192117">
      <w:pPr>
        <w:pStyle w:val="a7"/>
        <w:spacing w:before="0" w:afterLines="0" w:line="560" w:lineRule="exact"/>
        <w:ind w:firstLineChars="200" w:firstLine="640"/>
        <w:rPr>
          <w:rFonts w:ascii="黑体" w:eastAsia="黑体" w:hAnsi="黑体" w:cs="黑体"/>
          <w:bCs/>
          <w:sz w:val="32"/>
          <w:szCs w:val="32"/>
        </w:rPr>
      </w:pPr>
      <w:r w:rsidRPr="00807452">
        <w:rPr>
          <w:rFonts w:ascii="黑体" w:eastAsia="黑体" w:hAnsi="黑体" w:cs="黑体" w:hint="eastAsia"/>
          <w:bCs/>
          <w:sz w:val="32"/>
          <w:szCs w:val="32"/>
        </w:rPr>
        <w:t>六</w:t>
      </w:r>
      <w:r w:rsidR="00157CA7" w:rsidRPr="00807452">
        <w:rPr>
          <w:rFonts w:ascii="黑体" w:eastAsia="黑体" w:hAnsi="黑体" w:cs="黑体" w:hint="eastAsia"/>
          <w:bCs/>
          <w:sz w:val="32"/>
          <w:szCs w:val="32"/>
        </w:rPr>
        <w:t>、评价结果</w:t>
      </w:r>
      <w:r w:rsidRPr="00807452">
        <w:rPr>
          <w:rFonts w:ascii="黑体" w:eastAsia="黑体" w:hAnsi="黑体" w:cs="黑体" w:hint="eastAsia"/>
          <w:bCs/>
          <w:sz w:val="32"/>
          <w:szCs w:val="32"/>
        </w:rPr>
        <w:t>拟应用和公开情况</w:t>
      </w:r>
    </w:p>
    <w:p w14:paraId="656AD282" w14:textId="523DEB48" w:rsidR="00157CA7" w:rsidRPr="00807452" w:rsidRDefault="00157CA7" w:rsidP="00192117">
      <w:pPr>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根据评价结果进一步完善管理制度，改进管理措施。将绩效评价结果向社会公开，把绩效评价结果作为以后年度预算安排结果作为以后年度预算安排的重要参考，逐步推行绩效评价结果运用，强化绩效评价结果的约束力，提高财政资金使用效率。</w:t>
      </w:r>
      <w:r w:rsidR="00807452">
        <w:rPr>
          <w:rFonts w:ascii="仿宋_GB2312" w:eastAsia="仿宋_GB2312" w:hAnsi="仿宋_GB2312" w:cs="仿宋_GB2312" w:hint="eastAsia"/>
          <w:sz w:val="32"/>
          <w:szCs w:val="32"/>
        </w:rPr>
        <w:t>绩效自评结果已在单位范围内进行了公开。</w:t>
      </w:r>
    </w:p>
    <w:p w14:paraId="340EDB89" w14:textId="16DD96DC" w:rsidR="00807452" w:rsidRDefault="00807452" w:rsidP="0019211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七、其他需要说明的问题</w:t>
      </w:r>
    </w:p>
    <w:p w14:paraId="3908F8C7" w14:textId="77777777" w:rsidR="00807452" w:rsidRDefault="00807452" w:rsidP="0019211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无其他需要说明的问题。</w:t>
      </w:r>
    </w:p>
    <w:p w14:paraId="2948B52F" w14:textId="47ED7BBF" w:rsidR="00807452" w:rsidRDefault="00807452" w:rsidP="00192117">
      <w:pPr>
        <w:pStyle w:val="a7"/>
        <w:spacing w:before="0" w:afterLines="0" w:line="560" w:lineRule="exact"/>
        <w:ind w:firstLineChars="200" w:firstLine="640"/>
        <w:rPr>
          <w:rFonts w:ascii="仿宋_GB2312" w:eastAsia="仿宋_GB2312"/>
          <w:sz w:val="32"/>
          <w:szCs w:val="32"/>
          <w:lang w:val="en-US"/>
        </w:rPr>
      </w:pPr>
    </w:p>
    <w:p w14:paraId="7CB133E9" w14:textId="35217691" w:rsidR="00192117" w:rsidRDefault="00192117" w:rsidP="00192117">
      <w:pPr>
        <w:pStyle w:val="a7"/>
        <w:spacing w:before="0" w:afterLines="0" w:line="560" w:lineRule="exact"/>
        <w:ind w:firstLineChars="200" w:firstLine="640"/>
        <w:rPr>
          <w:rFonts w:ascii="仿宋_GB2312" w:eastAsia="仿宋_GB2312"/>
          <w:sz w:val="32"/>
          <w:szCs w:val="32"/>
          <w:lang w:val="en-US"/>
        </w:rPr>
      </w:pPr>
    </w:p>
    <w:p w14:paraId="5FCE7B81" w14:textId="0F64F41C" w:rsidR="00192117" w:rsidRDefault="00192117" w:rsidP="00192117">
      <w:pPr>
        <w:pStyle w:val="a7"/>
        <w:spacing w:before="0" w:afterLines="0" w:line="560" w:lineRule="exact"/>
        <w:ind w:firstLineChars="200" w:firstLine="640"/>
        <w:rPr>
          <w:rFonts w:ascii="仿宋_GB2312" w:eastAsia="仿宋_GB2312"/>
          <w:sz w:val="32"/>
          <w:szCs w:val="32"/>
          <w:lang w:val="en-US"/>
        </w:rPr>
      </w:pPr>
    </w:p>
    <w:p w14:paraId="2EF58D65" w14:textId="1D3E3083" w:rsidR="00192117" w:rsidRDefault="00192117" w:rsidP="00192117">
      <w:pPr>
        <w:pStyle w:val="a7"/>
        <w:spacing w:before="0" w:afterLines="0" w:line="560" w:lineRule="exact"/>
        <w:ind w:firstLineChars="200" w:firstLine="640"/>
        <w:rPr>
          <w:rFonts w:ascii="仿宋_GB2312" w:eastAsia="仿宋_GB2312"/>
          <w:sz w:val="32"/>
          <w:szCs w:val="32"/>
          <w:lang w:val="en-US"/>
        </w:rPr>
      </w:pPr>
    </w:p>
    <w:p w14:paraId="75D7DCBD" w14:textId="77777777" w:rsidR="00192117" w:rsidRPr="00807452" w:rsidRDefault="00192117" w:rsidP="00192117">
      <w:pPr>
        <w:pStyle w:val="a7"/>
        <w:spacing w:before="0" w:afterLines="0" w:line="560" w:lineRule="exact"/>
        <w:ind w:firstLineChars="200" w:firstLine="640"/>
        <w:rPr>
          <w:rFonts w:ascii="仿宋_GB2312" w:eastAsia="仿宋_GB2312"/>
          <w:sz w:val="32"/>
          <w:szCs w:val="32"/>
          <w:lang w:val="en-US"/>
        </w:rPr>
      </w:pPr>
    </w:p>
    <w:p w14:paraId="1C2968AC" w14:textId="77777777" w:rsidR="00BB34E5" w:rsidRDefault="00BB34E5" w:rsidP="00192117">
      <w:pPr>
        <w:pStyle w:val="a7"/>
        <w:spacing w:before="0" w:afterLines="0" w:line="560" w:lineRule="exact"/>
        <w:rPr>
          <w:rFonts w:ascii="仿宋_GB2312" w:eastAsia="仿宋_GB2312"/>
          <w:sz w:val="32"/>
          <w:szCs w:val="32"/>
        </w:rPr>
      </w:pPr>
    </w:p>
    <w:p w14:paraId="72EFABD2" w14:textId="77777777" w:rsidR="00157CA7" w:rsidRDefault="00157CA7" w:rsidP="00192117">
      <w:pPr>
        <w:pStyle w:val="a7"/>
        <w:spacing w:before="0" w:afterLines="0" w:line="560" w:lineRule="exact"/>
        <w:ind w:firstLineChars="1200" w:firstLine="38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高台县南华镇人民政府</w:t>
      </w:r>
    </w:p>
    <w:p w14:paraId="53BA2447" w14:textId="5BFCB326" w:rsidR="000E7628" w:rsidRPr="00807452" w:rsidRDefault="00157CA7" w:rsidP="00192117">
      <w:pPr>
        <w:pStyle w:val="a7"/>
        <w:spacing w:before="0" w:afterLines="0" w:line="560" w:lineRule="exact"/>
        <w:ind w:firstLineChars="1400" w:firstLine="4480"/>
        <w:rPr>
          <w:rFonts w:ascii="仿宋_GB2312" w:eastAsia="仿宋_GB2312" w:hAnsi="Times New Roman" w:cs="Times New Roman"/>
          <w:sz w:val="32"/>
          <w:szCs w:val="32"/>
        </w:rPr>
      </w:pPr>
      <w:r>
        <w:rPr>
          <w:rFonts w:ascii="仿宋_GB2312" w:eastAsia="仿宋_GB2312" w:hAnsi="Times New Roman" w:cs="Times New Roman"/>
          <w:sz w:val="32"/>
          <w:szCs w:val="32"/>
        </w:rPr>
        <w:t>2021</w:t>
      </w:r>
      <w:r>
        <w:rPr>
          <w:rFonts w:ascii="仿宋_GB2312" w:eastAsia="仿宋_GB2312" w:hAnsi="Times New Roman" w:cs="Times New Roman" w:hint="eastAsia"/>
          <w:sz w:val="32"/>
          <w:szCs w:val="32"/>
        </w:rPr>
        <w:t>年</w:t>
      </w:r>
      <w:r w:rsidR="00807452">
        <w:rPr>
          <w:rFonts w:ascii="仿宋_GB2312" w:eastAsia="仿宋_GB2312" w:hAnsi="Times New Roman" w:cs="Times New Roman"/>
          <w:sz w:val="32"/>
          <w:szCs w:val="32"/>
        </w:rPr>
        <w:t>8</w:t>
      </w:r>
      <w:r>
        <w:rPr>
          <w:rFonts w:ascii="仿宋_GB2312" w:eastAsia="仿宋_GB2312" w:hAnsi="Times New Roman" w:cs="Times New Roman" w:hint="eastAsia"/>
          <w:sz w:val="32"/>
          <w:szCs w:val="32"/>
        </w:rPr>
        <w:t>月</w:t>
      </w:r>
      <w:r w:rsidR="00B737EF">
        <w:rPr>
          <w:rFonts w:ascii="仿宋_GB2312" w:eastAsia="仿宋_GB2312" w:hAnsi="Times New Roman" w:cs="Times New Roman"/>
          <w:sz w:val="32"/>
          <w:szCs w:val="32"/>
        </w:rPr>
        <w:t>2</w:t>
      </w:r>
      <w:r>
        <w:rPr>
          <w:rFonts w:ascii="仿宋_GB2312" w:eastAsia="仿宋_GB2312" w:hAnsi="Times New Roman" w:cs="Times New Roman"/>
          <w:sz w:val="32"/>
          <w:szCs w:val="32"/>
        </w:rPr>
        <w:t>0</w:t>
      </w:r>
      <w:r>
        <w:rPr>
          <w:rFonts w:ascii="仿宋_GB2312" w:eastAsia="仿宋_GB2312" w:hAnsi="Times New Roman" w:cs="Times New Roman" w:hint="eastAsia"/>
          <w:sz w:val="32"/>
          <w:szCs w:val="32"/>
        </w:rPr>
        <w:t>日</w:t>
      </w:r>
    </w:p>
    <w:sectPr w:rsidR="000E7628" w:rsidRPr="00807452">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4316E" w14:textId="77777777" w:rsidR="006031BF" w:rsidRDefault="006031BF" w:rsidP="00157CA7">
      <w:r>
        <w:separator/>
      </w:r>
    </w:p>
  </w:endnote>
  <w:endnote w:type="continuationSeparator" w:id="0">
    <w:p w14:paraId="7F053D2D" w14:textId="77777777" w:rsidR="006031BF" w:rsidRDefault="006031BF" w:rsidP="0015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92D7" w14:textId="77777777" w:rsidR="002B5DA7" w:rsidRDefault="006031BF">
    <w:pPr>
      <w:pStyle w:val="a5"/>
      <w:spacing w:after="7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9608" w14:textId="77777777" w:rsidR="002B5DA7" w:rsidRDefault="006031BF">
    <w:pPr>
      <w:pStyle w:val="a5"/>
      <w:spacing w:after="7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24A88" w14:textId="77777777" w:rsidR="002B5DA7" w:rsidRDefault="006031BF">
    <w:pPr>
      <w:pStyle w:val="a5"/>
      <w:spacing w:after="7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6E833" w14:textId="77777777" w:rsidR="006031BF" w:rsidRDefault="006031BF" w:rsidP="00157CA7">
      <w:r>
        <w:separator/>
      </w:r>
    </w:p>
  </w:footnote>
  <w:footnote w:type="continuationSeparator" w:id="0">
    <w:p w14:paraId="327BA506" w14:textId="77777777" w:rsidR="006031BF" w:rsidRDefault="006031BF" w:rsidP="00157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1224" w14:textId="77777777" w:rsidR="002B5DA7" w:rsidRDefault="006031BF">
    <w:pPr>
      <w:pStyle w:val="a3"/>
      <w:spacing w:after="7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2526" w14:textId="77777777" w:rsidR="002B5DA7" w:rsidRDefault="006031BF">
    <w:pPr>
      <w:spacing w:after="7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0BC81" w14:textId="77777777" w:rsidR="002B5DA7" w:rsidRDefault="006031BF">
    <w:pPr>
      <w:pStyle w:val="a3"/>
      <w:spacing w:after="7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628"/>
    <w:rsid w:val="000E7628"/>
    <w:rsid w:val="00157CA7"/>
    <w:rsid w:val="00192117"/>
    <w:rsid w:val="001B2750"/>
    <w:rsid w:val="002B44FB"/>
    <w:rsid w:val="004F1E8F"/>
    <w:rsid w:val="006031BF"/>
    <w:rsid w:val="006E4323"/>
    <w:rsid w:val="007D6A02"/>
    <w:rsid w:val="00807452"/>
    <w:rsid w:val="008A5BF1"/>
    <w:rsid w:val="00A44DA5"/>
    <w:rsid w:val="00AF49DB"/>
    <w:rsid w:val="00B737EF"/>
    <w:rsid w:val="00BB34E5"/>
    <w:rsid w:val="00C367F5"/>
    <w:rsid w:val="00DD2789"/>
    <w:rsid w:val="00FE0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3FF0D"/>
  <w15:chartTrackingRefBased/>
  <w15:docId w15:val="{69F33702-C103-46A2-BB96-1DEE20E5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C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157CA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qFormat/>
    <w:rsid w:val="00157CA7"/>
    <w:rPr>
      <w:sz w:val="18"/>
      <w:szCs w:val="18"/>
    </w:rPr>
  </w:style>
  <w:style w:type="paragraph" w:styleId="a5">
    <w:name w:val="footer"/>
    <w:basedOn w:val="a"/>
    <w:link w:val="a6"/>
    <w:unhideWhenUsed/>
    <w:qFormat/>
    <w:rsid w:val="00157CA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qFormat/>
    <w:rsid w:val="00157CA7"/>
    <w:rPr>
      <w:sz w:val="18"/>
      <w:szCs w:val="18"/>
    </w:rPr>
  </w:style>
  <w:style w:type="paragraph" w:styleId="a7">
    <w:name w:val="Body Text"/>
    <w:basedOn w:val="a"/>
    <w:link w:val="a8"/>
    <w:uiPriority w:val="1"/>
    <w:qFormat/>
    <w:rsid w:val="00157CA7"/>
    <w:pPr>
      <w:spacing w:before="30" w:afterLines="30" w:line="320" w:lineRule="exact"/>
    </w:pPr>
    <w:rPr>
      <w:rFonts w:ascii="宋体" w:hAnsi="宋体" w:cs="宋体"/>
      <w:sz w:val="24"/>
      <w:lang w:val="zh-CN" w:bidi="zh-CN"/>
    </w:rPr>
  </w:style>
  <w:style w:type="character" w:customStyle="1" w:styleId="a8">
    <w:name w:val="正文文本 字符"/>
    <w:basedOn w:val="a0"/>
    <w:link w:val="a7"/>
    <w:uiPriority w:val="1"/>
    <w:qFormat/>
    <w:rsid w:val="00157CA7"/>
    <w:rPr>
      <w:rFonts w:ascii="宋体" w:eastAsia="宋体" w:hAnsi="宋体" w:cs="宋体"/>
      <w:sz w:val="24"/>
      <w:szCs w:val="24"/>
      <w:lang w:val="zh-CN" w:bidi="zh-CN"/>
    </w:rPr>
  </w:style>
  <w:style w:type="paragraph" w:styleId="a9">
    <w:name w:val="Normal (Web)"/>
    <w:basedOn w:val="a"/>
    <w:uiPriority w:val="99"/>
    <w:unhideWhenUsed/>
    <w:rsid w:val="00157CA7"/>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586</Words>
  <Characters>3345</Characters>
  <Application>Microsoft Office Word</Application>
  <DocSecurity>0</DocSecurity>
  <Lines>27</Lines>
  <Paragraphs>7</Paragraphs>
  <ScaleCrop>false</ScaleCrop>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hhkj</dc:creator>
  <cp:keywords/>
  <dc:description/>
  <cp:lastModifiedBy>hhkj</cp:lastModifiedBy>
  <cp:revision>19</cp:revision>
  <dcterms:created xsi:type="dcterms:W3CDTF">2021-08-24T09:58:00Z</dcterms:created>
  <dcterms:modified xsi:type="dcterms:W3CDTF">2021-08-25T04:15:00Z</dcterms:modified>
</cp:coreProperties>
</file>