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BBA6A">
      <w:pPr>
        <w:pStyle w:val="2"/>
        <w:spacing w:line="560" w:lineRule="exact"/>
        <w:jc w:val="both"/>
        <w:rPr>
          <w:rFonts w:hint="eastAsia" w:ascii="黑体" w:hAnsi="黑体" w:eastAsia="黑体" w:cs="黑体"/>
          <w:lang w:eastAsia="zh-CN"/>
        </w:rPr>
      </w:pPr>
    </w:p>
    <w:p w14:paraId="168DD92B">
      <w:pPr>
        <w:pStyle w:val="2"/>
        <w:spacing w:line="560" w:lineRule="exact"/>
        <w:jc w:val="both"/>
        <w:rPr>
          <w:rFonts w:hint="eastAsia" w:ascii="黑体" w:cs="Times New Roman"/>
          <w:lang w:eastAsia="zh-CN"/>
        </w:rPr>
      </w:pPr>
    </w:p>
    <w:p w14:paraId="53AB39D1">
      <w:pPr>
        <w:spacing w:line="560" w:lineRule="exact"/>
        <w:rPr>
          <w:rFonts w:ascii="黑体" w:cs="Times New Roman"/>
          <w:sz w:val="32"/>
          <w:szCs w:val="32"/>
        </w:rPr>
      </w:pPr>
    </w:p>
    <w:p w14:paraId="6AD5E170">
      <w:pPr>
        <w:spacing w:line="560" w:lineRule="exact"/>
        <w:rPr>
          <w:rFonts w:ascii="黑体" w:cs="Times New Roman"/>
          <w:sz w:val="32"/>
          <w:szCs w:val="32"/>
        </w:rPr>
      </w:pPr>
    </w:p>
    <w:p w14:paraId="3017B1C6">
      <w:pPr>
        <w:spacing w:line="560" w:lineRule="exact"/>
        <w:jc w:val="center"/>
        <w:rPr>
          <w:rFonts w:ascii="方正小标宋简体" w:eastAsia="方正小标宋简体" w:cs="宋体"/>
          <w:b/>
          <w:bCs/>
          <w:sz w:val="44"/>
          <w:szCs w:val="44"/>
        </w:rPr>
      </w:pPr>
      <w:r>
        <w:rPr>
          <w:rFonts w:hint="eastAsia" w:ascii="方正小标宋简体" w:eastAsia="方正小标宋简体" w:cs="宋体"/>
          <w:b/>
          <w:bCs/>
          <w:sz w:val="44"/>
          <w:szCs w:val="44"/>
        </w:rPr>
        <w:t>2023年污水处理厂第三方运营费项目支出</w:t>
      </w:r>
    </w:p>
    <w:p w14:paraId="2A366FB6">
      <w:pPr>
        <w:spacing w:line="560" w:lineRule="exact"/>
        <w:jc w:val="center"/>
        <w:rPr>
          <w:rFonts w:ascii="方正小标宋简体" w:eastAsia="方正小标宋简体" w:cs="Times New Roman"/>
          <w:sz w:val="44"/>
          <w:szCs w:val="44"/>
        </w:rPr>
      </w:pPr>
      <w:r>
        <w:rPr>
          <w:rFonts w:hint="eastAsia" w:ascii="方正小标宋简体" w:eastAsia="方正小标宋简体" w:cs="宋体"/>
          <w:b/>
          <w:bCs/>
          <w:sz w:val="44"/>
          <w:szCs w:val="44"/>
        </w:rPr>
        <w:t>绩效评价报告</w:t>
      </w:r>
    </w:p>
    <w:p w14:paraId="056873DC">
      <w:pPr>
        <w:pStyle w:val="2"/>
        <w:spacing w:line="560" w:lineRule="exact"/>
        <w:jc w:val="both"/>
        <w:rPr>
          <w:rFonts w:hint="eastAsia" w:cs="Times New Roman"/>
          <w:lang w:eastAsia="zh-CN"/>
        </w:rPr>
      </w:pPr>
    </w:p>
    <w:p w14:paraId="13317120">
      <w:pPr>
        <w:pStyle w:val="2"/>
        <w:spacing w:line="560" w:lineRule="exact"/>
        <w:jc w:val="both"/>
        <w:rPr>
          <w:rFonts w:hint="eastAsia" w:cs="Times New Roman"/>
          <w:lang w:eastAsia="zh-CN"/>
        </w:rPr>
      </w:pPr>
    </w:p>
    <w:p w14:paraId="6ACDA6EC">
      <w:pPr>
        <w:spacing w:line="560" w:lineRule="exact"/>
        <w:ind w:left="1600" w:hanging="1600" w:hangingChars="500"/>
        <w:rPr>
          <w:rFonts w:hint="eastAsia" w:ascii="仿宋_GB2312" w:hAnsi="仿宋" w:eastAsia="仿宋_GB2312" w:cs="Times New Roman"/>
          <w:sz w:val="32"/>
          <w:szCs w:val="32"/>
        </w:rPr>
      </w:pPr>
    </w:p>
    <w:p w14:paraId="6E89A4D1">
      <w:pPr>
        <w:spacing w:line="560" w:lineRule="exact"/>
        <w:ind w:left="1600" w:hanging="1600" w:hangingChars="500"/>
        <w:rPr>
          <w:rFonts w:hint="eastAsia" w:ascii="仿宋_GB2312" w:hAnsi="仿宋" w:eastAsia="仿宋_GB2312" w:cs="Times New Roman"/>
          <w:sz w:val="32"/>
          <w:szCs w:val="32"/>
        </w:rPr>
      </w:pPr>
    </w:p>
    <w:p w14:paraId="3184D426">
      <w:pPr>
        <w:spacing w:line="560" w:lineRule="exact"/>
        <w:ind w:left="1600" w:hanging="1600" w:hangingChars="500"/>
        <w:rPr>
          <w:rFonts w:hint="eastAsia" w:ascii="仿宋_GB2312" w:hAnsi="仿宋" w:eastAsia="仿宋_GB2312" w:cs="Times New Roman"/>
          <w:sz w:val="32"/>
          <w:szCs w:val="32"/>
        </w:rPr>
      </w:pPr>
    </w:p>
    <w:p w14:paraId="4FCB70C6">
      <w:pPr>
        <w:spacing w:line="560" w:lineRule="exact"/>
        <w:ind w:left="1600" w:hanging="1600" w:hangingChars="500"/>
        <w:rPr>
          <w:rFonts w:hint="eastAsia" w:ascii="仿宋_GB2312" w:hAnsi="仿宋" w:eastAsia="仿宋_GB2312" w:cs="Times New Roman"/>
          <w:sz w:val="32"/>
          <w:szCs w:val="32"/>
          <w:u w:val="single"/>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项目名称：南华镇污水处理厂第三方运营费</w:t>
      </w:r>
    </w:p>
    <w:p w14:paraId="4AB233E5">
      <w:pPr>
        <w:spacing w:line="560" w:lineRule="exact"/>
        <w:ind w:left="1600" w:hanging="1600" w:hangingChars="500"/>
        <w:rPr>
          <w:rFonts w:hint="eastAsia" w:ascii="仿宋_GB2312" w:hAnsi="仿宋" w:eastAsia="仿宋_GB2312" w:cs="Times New Roman"/>
          <w:sz w:val="32"/>
          <w:szCs w:val="32"/>
          <w:u w:val="single"/>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项目主管部门：南华镇人民政府</w:t>
      </w:r>
    </w:p>
    <w:p w14:paraId="317DBB79">
      <w:pPr>
        <w:spacing w:line="560" w:lineRule="exact"/>
        <w:rPr>
          <w:rFonts w:hint="eastAsia" w:ascii="仿宋_GB2312" w:hAnsi="仿宋" w:eastAsia="仿宋_GB2312" w:cs="Times New Roman"/>
          <w:sz w:val="32"/>
          <w:szCs w:val="32"/>
          <w:u w:val="single"/>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评价实施部门：南华镇人民政府</w:t>
      </w:r>
    </w:p>
    <w:p w14:paraId="3F8DDE49">
      <w:pPr>
        <w:spacing w:line="560" w:lineRule="exact"/>
        <w:rPr>
          <w:rFonts w:hint="eastAsia" w:ascii="仿宋_GB2312" w:hAnsi="仿宋" w:eastAsia="仿宋_GB2312" w:cs="Times New Roman"/>
          <w:sz w:val="32"/>
          <w:szCs w:val="32"/>
          <w:u w:val="single"/>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评价机构名称：</w:t>
      </w:r>
    </w:p>
    <w:p w14:paraId="40955B61">
      <w:pPr>
        <w:spacing w:line="560" w:lineRule="exact"/>
        <w:rPr>
          <w:rFonts w:hint="eastAsia" w:ascii="仿宋_GB2312" w:hAnsi="仿宋" w:eastAsia="仿宋_GB2312" w:cs="Times New Roman"/>
          <w:sz w:val="32"/>
          <w:szCs w:val="32"/>
        </w:rPr>
      </w:pPr>
    </w:p>
    <w:p w14:paraId="3CDF6F4E">
      <w:pPr>
        <w:spacing w:line="560" w:lineRule="exact"/>
        <w:rPr>
          <w:rFonts w:hint="eastAsia" w:ascii="仿宋_GB2312" w:hAnsi="仿宋" w:eastAsia="仿宋_GB2312" w:cs="Times New Roman"/>
          <w:sz w:val="32"/>
          <w:szCs w:val="32"/>
        </w:rPr>
      </w:pPr>
    </w:p>
    <w:p w14:paraId="62BDDFB9">
      <w:pPr>
        <w:spacing w:line="560" w:lineRule="exact"/>
        <w:rPr>
          <w:rFonts w:hint="eastAsia" w:ascii="仿宋_GB2312" w:hAnsi="仿宋" w:eastAsia="仿宋_GB2312" w:cs="Times New Roman"/>
          <w:sz w:val="32"/>
          <w:szCs w:val="32"/>
        </w:rPr>
      </w:pPr>
    </w:p>
    <w:p w14:paraId="293C94A0">
      <w:pPr>
        <w:spacing w:line="560" w:lineRule="exact"/>
        <w:rPr>
          <w:rFonts w:cs="Times New Roman"/>
          <w:sz w:val="32"/>
          <w:szCs w:val="32"/>
        </w:rPr>
      </w:pPr>
    </w:p>
    <w:p w14:paraId="141E7E7E">
      <w:pPr>
        <w:spacing w:line="560" w:lineRule="exact"/>
        <w:rPr>
          <w:rFonts w:hint="eastAsia"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2024年8月</w:t>
      </w:r>
    </w:p>
    <w:p w14:paraId="70E75C5F">
      <w:pPr>
        <w:spacing w:line="560" w:lineRule="exact"/>
        <w:rPr>
          <w:rFonts w:hint="eastAsia" w:ascii="黑体" w:hAnsi="黑体" w:eastAsia="黑体" w:cs="Times New Roman"/>
          <w:sz w:val="32"/>
          <w:szCs w:val="32"/>
        </w:rPr>
        <w:sectPr>
          <w:pgSz w:w="11910" w:h="16840"/>
          <w:pgMar w:top="2098" w:right="1588" w:bottom="1985" w:left="1588" w:header="0" w:footer="1134" w:gutter="0"/>
          <w:cols w:space="720" w:num="1"/>
        </w:sectPr>
      </w:pPr>
    </w:p>
    <w:p w14:paraId="76CF95FB">
      <w:pPr>
        <w:spacing w:line="560" w:lineRule="exact"/>
        <w:rPr>
          <w:rFonts w:ascii="黑体" w:eastAsia="黑体" w:cs="Times New Roman"/>
          <w:sz w:val="32"/>
          <w:szCs w:val="32"/>
        </w:rPr>
      </w:pPr>
    </w:p>
    <w:p w14:paraId="14B9A690">
      <w:pPr>
        <w:spacing w:line="560" w:lineRule="exact"/>
        <w:jc w:val="center"/>
        <w:rPr>
          <w:rFonts w:ascii="黑体" w:eastAsia="黑体" w:cs="Times New Roman"/>
          <w:sz w:val="44"/>
          <w:szCs w:val="44"/>
        </w:rPr>
      </w:pPr>
      <w:r>
        <w:rPr>
          <w:rFonts w:hint="eastAsia" w:ascii="黑体" w:eastAsia="黑体" w:cs="黑体"/>
          <w:sz w:val="44"/>
          <w:szCs w:val="44"/>
        </w:rPr>
        <w:t>报告摘要</w:t>
      </w:r>
    </w:p>
    <w:p w14:paraId="313796D7">
      <w:pPr>
        <w:pStyle w:val="2"/>
        <w:spacing w:line="560" w:lineRule="exact"/>
        <w:jc w:val="both"/>
        <w:rPr>
          <w:rFonts w:hint="eastAsia" w:ascii="黑体" w:eastAsia="黑体" w:cs="Times New Roman"/>
          <w:lang w:eastAsia="zh-CN"/>
        </w:rPr>
      </w:pPr>
    </w:p>
    <w:p w14:paraId="3CA2763F">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一、</w:t>
      </w:r>
      <w:r>
        <w:rPr>
          <w:rFonts w:ascii="黑体" w:eastAsia="黑体" w:cs="黑体"/>
          <w:lang w:eastAsia="zh-CN"/>
        </w:rPr>
        <w:t xml:space="preserve"> </w:t>
      </w:r>
      <w:r>
        <w:rPr>
          <w:rFonts w:hint="eastAsia" w:ascii="黑体" w:eastAsia="黑体" w:cs="黑体"/>
          <w:lang w:eastAsia="zh-CN"/>
        </w:rPr>
        <w:t>项目基本情况</w:t>
      </w:r>
    </w:p>
    <w:p w14:paraId="3F9F14F2">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（一）项目立项背景及实施目的</w:t>
      </w:r>
    </w:p>
    <w:p w14:paraId="54F35B62">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（二）项目预算安排和支出情况</w:t>
      </w:r>
    </w:p>
    <w:p w14:paraId="1705A5C8">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（三）项目主要内容和实施情况</w:t>
      </w:r>
    </w:p>
    <w:p w14:paraId="4EB5A1B4">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二、</w:t>
      </w:r>
      <w:r>
        <w:rPr>
          <w:rFonts w:ascii="黑体" w:eastAsia="黑体" w:cs="黑体"/>
          <w:lang w:eastAsia="zh-CN"/>
        </w:rPr>
        <w:t xml:space="preserve"> </w:t>
      </w:r>
      <w:r>
        <w:rPr>
          <w:rFonts w:hint="eastAsia" w:ascii="黑体" w:eastAsia="黑体" w:cs="黑体"/>
          <w:lang w:eastAsia="zh-CN"/>
        </w:rPr>
        <w:t>项目绩效目标</w:t>
      </w:r>
    </w:p>
    <w:p w14:paraId="29094B23">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（一）总体绩效目标</w:t>
      </w:r>
    </w:p>
    <w:p w14:paraId="649441E6">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（二）阶段性绩效目标</w:t>
      </w:r>
    </w:p>
    <w:p w14:paraId="26B0F9A3">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三、</w:t>
      </w:r>
      <w:r>
        <w:rPr>
          <w:rFonts w:ascii="黑体" w:eastAsia="黑体" w:cs="黑体"/>
          <w:lang w:eastAsia="zh-CN"/>
        </w:rPr>
        <w:t xml:space="preserve"> </w:t>
      </w:r>
      <w:r>
        <w:rPr>
          <w:rFonts w:hint="eastAsia" w:ascii="黑体" w:eastAsia="黑体" w:cs="黑体"/>
          <w:lang w:eastAsia="zh-CN"/>
        </w:rPr>
        <w:t>评价基本情况</w:t>
      </w:r>
    </w:p>
    <w:p w14:paraId="6E6596F6">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（一）绩效评价目的、对象和范围。</w:t>
      </w:r>
    </w:p>
    <w:p w14:paraId="4A5D56C6">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（二）绩效评价原则、评价指标体系（简要说明）、评价方法、评价标准等。</w:t>
      </w:r>
    </w:p>
    <w:p w14:paraId="79D6CA0F">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（三）绩效评价工作过程。</w:t>
      </w:r>
    </w:p>
    <w:p w14:paraId="4012A360">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四、</w:t>
      </w:r>
      <w:r>
        <w:rPr>
          <w:rFonts w:ascii="黑体" w:eastAsia="黑体" w:cs="黑体"/>
          <w:lang w:eastAsia="zh-CN"/>
        </w:rPr>
        <w:t xml:space="preserve"> </w:t>
      </w:r>
      <w:r>
        <w:rPr>
          <w:rFonts w:hint="eastAsia" w:ascii="黑体" w:eastAsia="黑体" w:cs="黑体"/>
          <w:lang w:eastAsia="zh-CN"/>
        </w:rPr>
        <w:t>评价结论和绩效分析</w:t>
      </w:r>
    </w:p>
    <w:p w14:paraId="26127284">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（一）综合评价结论</w:t>
      </w:r>
    </w:p>
    <w:p w14:paraId="2CC00739">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（二）绩效分析</w:t>
      </w:r>
    </w:p>
    <w:p w14:paraId="5DE1E44E">
      <w:pPr>
        <w:pStyle w:val="2"/>
        <w:spacing w:line="560" w:lineRule="exact"/>
        <w:ind w:firstLine="640" w:firstLineChars="200"/>
        <w:jc w:val="both"/>
        <w:rPr>
          <w:rFonts w:hint="eastAsia" w:ascii="黑体" w:eastAsia="黑体" w:cs="黑体"/>
          <w:lang w:eastAsia="zh-CN"/>
        </w:rPr>
      </w:pPr>
      <w:r>
        <w:rPr>
          <w:rFonts w:hint="eastAsia" w:ascii="黑体" w:eastAsia="黑体" w:cs="黑体"/>
          <w:lang w:eastAsia="zh-CN"/>
        </w:rPr>
        <w:t>五、</w:t>
      </w:r>
      <w:r>
        <w:rPr>
          <w:rFonts w:ascii="黑体" w:eastAsia="黑体" w:cs="黑体"/>
          <w:lang w:eastAsia="zh-CN"/>
        </w:rPr>
        <w:t xml:space="preserve"> </w:t>
      </w:r>
      <w:r>
        <w:rPr>
          <w:rFonts w:hint="eastAsia" w:ascii="黑体" w:eastAsia="黑体" w:cs="黑体"/>
          <w:lang w:eastAsia="zh-CN"/>
        </w:rPr>
        <w:t>存在问题及原因分析</w:t>
      </w:r>
    </w:p>
    <w:p w14:paraId="3E0072EE">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六、有关建议</w:t>
      </w:r>
    </w:p>
    <w:p w14:paraId="3245F233">
      <w:pPr>
        <w:pStyle w:val="2"/>
        <w:spacing w:line="560" w:lineRule="exact"/>
        <w:ind w:firstLine="640" w:firstLineChars="200"/>
        <w:jc w:val="both"/>
        <w:rPr>
          <w:rFonts w:hint="eastAsia" w:ascii="黑体" w:eastAsia="黑体" w:cs="Times New Roman"/>
          <w:lang w:eastAsia="zh-CN"/>
        </w:rPr>
        <w:sectPr>
          <w:pgSz w:w="11910" w:h="16840"/>
          <w:pgMar w:top="2098" w:right="1588" w:bottom="1985" w:left="1588" w:header="0" w:footer="1134" w:gutter="0"/>
          <w:cols w:space="720" w:num="1"/>
        </w:sectPr>
      </w:pPr>
    </w:p>
    <w:p w14:paraId="40694AEB">
      <w:pPr>
        <w:pStyle w:val="2"/>
        <w:spacing w:line="560" w:lineRule="exact"/>
        <w:ind w:firstLine="640" w:firstLineChars="200"/>
        <w:jc w:val="both"/>
        <w:rPr>
          <w:rFonts w:hint="eastAsia" w:ascii="黑体" w:cs="Times New Roman"/>
          <w:lang w:eastAsia="zh-CN"/>
        </w:rPr>
      </w:pPr>
    </w:p>
    <w:p w14:paraId="226C02A6">
      <w:pPr>
        <w:spacing w:line="560" w:lineRule="exact"/>
        <w:ind w:firstLine="880" w:firstLineChars="200"/>
        <w:jc w:val="center"/>
        <w:rPr>
          <w:rFonts w:ascii="黑体" w:eastAsia="黑体" w:cs="Times New Roman"/>
          <w:sz w:val="44"/>
          <w:szCs w:val="44"/>
        </w:rPr>
      </w:pPr>
      <w:r>
        <w:rPr>
          <w:rFonts w:hint="eastAsia" w:ascii="黑体" w:eastAsia="黑体" w:cs="黑体"/>
          <w:sz w:val="44"/>
          <w:szCs w:val="44"/>
        </w:rPr>
        <w:t>报告正文</w:t>
      </w:r>
    </w:p>
    <w:p w14:paraId="24AE55A6">
      <w:pPr>
        <w:pStyle w:val="2"/>
        <w:spacing w:line="560" w:lineRule="exact"/>
        <w:ind w:firstLine="640" w:firstLineChars="200"/>
        <w:jc w:val="both"/>
        <w:rPr>
          <w:rFonts w:hint="eastAsia" w:cs="Times New Roman"/>
          <w:lang w:eastAsia="zh-CN"/>
        </w:rPr>
      </w:pPr>
    </w:p>
    <w:p w14:paraId="4F1895C0">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一、项目基本情况</w:t>
      </w:r>
    </w:p>
    <w:p w14:paraId="7D35B56C">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（一）项目立项背景。</w:t>
      </w:r>
    </w:p>
    <w:p w14:paraId="333438C2">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根据高台县发展和改革委员会《关于高台县南华镇污水处理厂及配套管网工程可行性研究报告的批复》（高发改〔2015〕71号）、《关于南华镇污水处理厂及配套管网工程初步设计的批复》（</w:t>
      </w:r>
      <w:bookmarkStart w:id="0" w:name="_Hlk177030614"/>
      <w:r>
        <w:rPr>
          <w:rFonts w:hint="eastAsia" w:ascii="Times New Roman" w:hAnsi="Times New Roman" w:eastAsia="仿宋_GB2312" w:cs="Times New Roman"/>
          <w:kern w:val="2"/>
          <w:lang w:eastAsia="zh-CN"/>
        </w:rPr>
        <w:t>高发改〔2016〕138号）</w:t>
      </w:r>
      <w:bookmarkEnd w:id="0"/>
      <w:r>
        <w:rPr>
          <w:rFonts w:hint="eastAsia" w:ascii="Times New Roman" w:hAnsi="Times New Roman" w:eastAsia="仿宋_GB2312" w:cs="Times New Roman"/>
          <w:kern w:val="2"/>
          <w:lang w:eastAsia="zh-CN"/>
        </w:rPr>
        <w:t>文件有关精神，建设高台县南华镇污水处理厂及配套管网工程。</w:t>
      </w:r>
    </w:p>
    <w:p w14:paraId="3E143A27">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（二）项目预算安排及使用情况。</w:t>
      </w:r>
    </w:p>
    <w:p w14:paraId="5A3929AB">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2023年污水处理厂第三方运营项目县级预算安排203万元，资金到位203万元。</w:t>
      </w:r>
    </w:p>
    <w:p w14:paraId="2BFF9AFE">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（三）项目计划内容及实施情况。</w:t>
      </w:r>
    </w:p>
    <w:p w14:paraId="68826E82">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高台县南华镇污水处理厂及配套管网工程项目于2015年4月16日取得县发改委立项批复（高发改〔2015〕71号），项目实施单位为南华镇人民政府，工程概算总投资7026.2万元，建设资金来源为：通过申请中央投资和自筹等多渠道解决。南华镇污水处理厂位于胜利村一社西侧区域，主要收集和处理南华集镇生活污水和工业园区污水，占地面积约50亩。该项目总投资6540万元，于2017年进行建设，2018年底建成并投入使用。该项目设计污水处理能力0.5万立方米/天，处理工艺采用“格栅沉砂池+改良型氧化沟+絮凝+沉淀+过滤+次氯酸钠消毒”工艺，由中国市政工程西北设计研究院有限公司采取EPC总承包方式进行建设，主要建筑有预处理间、氧化沟、深度处理间、脱泥间和化验楼等。目前采取政府购买服务的方式由第三方运营服务单位由</w:t>
      </w:r>
      <w:bookmarkStart w:id="1" w:name="_Hlk177031392"/>
      <w:bookmarkStart w:id="2" w:name="_Hlk177031303"/>
      <w:r>
        <w:rPr>
          <w:rFonts w:hint="eastAsia" w:ascii="Times New Roman" w:hAnsi="Times New Roman" w:eastAsia="仿宋_GB2312" w:cs="仿宋_GB2312"/>
          <w:kern w:val="2"/>
          <w:lang w:eastAsia="zh-CN"/>
        </w:rPr>
        <w:t>张掖嘉能环境工程有限公司</w:t>
      </w:r>
      <w:bookmarkEnd w:id="1"/>
      <w:r>
        <w:rPr>
          <w:rFonts w:hint="eastAsia" w:ascii="Times New Roman" w:hAnsi="Times New Roman" w:eastAsia="仿宋_GB2312" w:cs="仿宋_GB2312"/>
          <w:kern w:val="2"/>
          <w:lang w:eastAsia="zh-CN"/>
        </w:rPr>
        <w:t>进行运营</w:t>
      </w:r>
      <w:bookmarkEnd w:id="2"/>
      <w:r>
        <w:rPr>
          <w:rFonts w:hint="eastAsia" w:ascii="Times New Roman" w:hAnsi="Times New Roman" w:eastAsia="仿宋_GB2312" w:cs="仿宋_GB2312"/>
          <w:kern w:val="2"/>
          <w:lang w:eastAsia="zh-CN"/>
        </w:rPr>
        <w:t>。</w:t>
      </w:r>
    </w:p>
    <w:p w14:paraId="2BBD2836">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（四）项目组织管理。</w:t>
      </w:r>
    </w:p>
    <w:p w14:paraId="12BC5AE3">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南华镇污水处理厂运营项目由南华镇人民政府具体实施，目前采用托管承包运营方式。即：政府以成本价核算运营成本和合理利润，张掖嘉能环境工程有限公司进行运营以专业技术进行管理运营，保证水质的达标排放。南华镇人民政府作为管理部门，对污水处理厂的运营有指导、监督、审计等各项管理权力，也有承担政策变动风险，按时支付各项费用的责任。张掖嘉能环境工程有限公司承担技术风险和内部财物风险，若污水不能达标排放，政府方可拒绝支付当月的污水处理直接费用，同时，因违反排放标准，引发环保部门的处罚，其处罚款项也由张掖嘉能环境工程有限公司全权负责。但不可抗拒的意外因素除外。</w:t>
      </w:r>
    </w:p>
    <w:p w14:paraId="5EF783F0">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二、项目绩效目标</w:t>
      </w:r>
    </w:p>
    <w:p w14:paraId="273265BB">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（一）绩效总目标</w:t>
      </w:r>
    </w:p>
    <w:p w14:paraId="53758708">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本项目建成后将有效改善区域环境，促进城乡一体化融合发展，改善城乡供水面貌，推进城镇化建设。</w:t>
      </w:r>
    </w:p>
    <w:p w14:paraId="5ECA1E6A">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（二）阶段性目标</w:t>
      </w:r>
    </w:p>
    <w:p w14:paraId="0AFDA08D">
      <w:pPr>
        <w:pStyle w:val="2"/>
        <w:spacing w:line="560" w:lineRule="exact"/>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 xml:space="preserve">    到2020年污水处理规模为0.5万吨/日，远期2025年污水处理规模为1.0万吨/日；配套管网DN300-DN900的污水管网14.115公里。处理后的出水水质执行一级A标准。</w:t>
      </w:r>
    </w:p>
    <w:p w14:paraId="488E3028">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三、评价基本情况</w:t>
      </w:r>
    </w:p>
    <w:p w14:paraId="11DA4BAC">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（一）评价目的。</w:t>
      </w:r>
    </w:p>
    <w:p w14:paraId="572F0DD0">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为进一步加强财政预算资金和政府专项债券资金使用、管理的监督，提高使用效益，根据《中华人民共和国预算法》和《项目支出绩效评价管理办法》（财预〔2020〕10号）等国家有关绩效及财务规章制度，结合南华镇污水处理厂运营具体情况，根据地方政府专项债券资金使用规范要求开展绩效评价。</w:t>
      </w:r>
    </w:p>
    <w:p w14:paraId="7E95B07D">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（二）评价对象与范围。</w:t>
      </w:r>
    </w:p>
    <w:p w14:paraId="167823B1">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南华镇污水处理厂配套管网工程相关建设内容，包括项目可研报告和初步设计批复内容的完成情况、建安产值以及项目完成后的运营效果。</w:t>
      </w:r>
    </w:p>
    <w:p w14:paraId="4FA0B5A7">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（三）评价依据。</w:t>
      </w:r>
    </w:p>
    <w:p w14:paraId="30C3ADF5">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（1）《中华人民共和国预算法》；</w:t>
      </w:r>
    </w:p>
    <w:p w14:paraId="5DF56EF0">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（2）《中华人民共和国预算法实施条例》（国务院令第729号）；</w:t>
      </w:r>
    </w:p>
    <w:p w14:paraId="2BADCC59">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（3）《中共中央国务院关于全面实施预算绩效管理的意见》（中发</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2018</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34号）；</w:t>
      </w:r>
    </w:p>
    <w:p w14:paraId="45854008">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（4）《财政部关于印发〈项目支出绩效评价管理办法〉的通知》（财预</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2020</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10号）；</w:t>
      </w:r>
    </w:p>
    <w:p w14:paraId="23F65A9C">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（5）财政部关于印发《预算绩效评价共性指标体系框架》的通知(财预</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2013</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53号)；</w:t>
      </w:r>
    </w:p>
    <w:p w14:paraId="3CFED522">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（6）《地方政府专项债务预算管理办法》的通知》（财预</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2016</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155号）</w:t>
      </w:r>
    </w:p>
    <w:p w14:paraId="1743579D">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（7）《财政部关于印发&lt;地方政府专项债券项目资金绩效管理办法&gt;的通知》（财预</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2021</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61号）</w:t>
      </w:r>
    </w:p>
    <w:p w14:paraId="0D84E8D9">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（8）《甘肃省财政厅关于印发&lt;甘肃省政府专项债券项目资金绩效管理办法的通知》（甘财预</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2021</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54号）</w:t>
      </w:r>
    </w:p>
    <w:p w14:paraId="3EE572E5">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（9）中共甘肃省委甘肃省人民政府《关于全面实施预算绩效管理的实施意见》（甘发</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2013</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32号）；</w:t>
      </w:r>
    </w:p>
    <w:p w14:paraId="03759F86">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（10）甘肃省财政厅关于印发《甘肃省省级预算绩效管理办法》等6个办法和规程的通知（甘财绩</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2020</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5号）；</w:t>
      </w:r>
    </w:p>
    <w:p w14:paraId="52759379">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（11）《中华人民共和国政府采购法》；</w:t>
      </w:r>
    </w:p>
    <w:p w14:paraId="03A760DA">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（12）中国注册会计师协会《会计师事务所财政支出绩效评价业务指引》（会协</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2016</w:t>
      </w:r>
      <w:r>
        <w:rPr>
          <w:rFonts w:hint="eastAsia" w:ascii="微软雅黑" w:hAnsi="微软雅黑" w:eastAsia="微软雅黑" w:cs="微软雅黑"/>
          <w:kern w:val="2"/>
          <w:lang w:eastAsia="zh-CN"/>
        </w:rPr>
        <w:t>﹞</w:t>
      </w:r>
      <w:r>
        <w:rPr>
          <w:rFonts w:hint="eastAsia" w:ascii="Times New Roman" w:hAnsi="Times New Roman" w:eastAsia="仿宋_GB2312" w:cs="Times New Roman"/>
          <w:kern w:val="2"/>
          <w:lang w:eastAsia="zh-CN"/>
        </w:rPr>
        <w:t>10号）；</w:t>
      </w:r>
    </w:p>
    <w:p w14:paraId="60346730">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（13）绩效评价过程中获取的自评报告、其他文件及凭证等资料。</w:t>
      </w:r>
    </w:p>
    <w:p w14:paraId="6365A673">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（四）评价原则、评价方法。</w:t>
      </w:r>
    </w:p>
    <w:p w14:paraId="1F01FEF3">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（1）科学公正。绩效评价应当运用科学合理的方法，按照规范的程序，对政府专项债券资金绩效进行客观、公正的评价。</w:t>
      </w:r>
    </w:p>
    <w:p w14:paraId="2A9E6255">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（2）统筹兼顾。单位自评、部门评价和财政评价应职责明确，各有侧重，相互衔接。单位自评应由项目单位自主实施，即“谁支出、谁自评”。</w:t>
      </w:r>
    </w:p>
    <w:p w14:paraId="192F173F">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（3）激励约束。绩效评价结果应与预算安排、政策调整、改进管理实质性挂钩，体现奖优罚劣和激励相容导向，有效要安排、低效要压减、无效要问责。</w:t>
      </w:r>
    </w:p>
    <w:p w14:paraId="4A3F341A">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Times New Roman"/>
          <w:kern w:val="2"/>
          <w:lang w:eastAsia="zh-CN"/>
        </w:rPr>
        <w:t>（4）公开透明。绩效评价结果应依法依规公开，并自觉接受社会监督。</w:t>
      </w:r>
    </w:p>
    <w:p w14:paraId="4DAF815D">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（五）绩效评价指标体系。</w:t>
      </w:r>
    </w:p>
    <w:p w14:paraId="572A03FA">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根据财政部《预算绩效评价共性指标体系框架》确定本次绩效评价指标的整体框架。项目指标包括项目决策（项目立项、绩效目标、资金投入），项目管理（资金管理、过程管理），项目产出（产出数量、产出质量、产出时效、产出成本），项目效益（经济效益、社会效益、可持续影响、服务对象满意度）。</w:t>
      </w:r>
    </w:p>
    <w:p w14:paraId="3D29A086">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（六）评价人员组成。</w:t>
      </w:r>
    </w:p>
    <w:p w14:paraId="00FFFE30">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组建由政府镇长万占福任组长，副镇长茹建勋、王成同志等为成员的5人评价小组。</w:t>
      </w:r>
    </w:p>
    <w:p w14:paraId="77C7322E">
      <w:pPr>
        <w:pStyle w:val="2"/>
        <w:spacing w:line="560" w:lineRule="exact"/>
        <w:ind w:firstLine="640" w:firstLineChars="200"/>
        <w:jc w:val="both"/>
        <w:rPr>
          <w:rFonts w:ascii="Times New Roman" w:hAnsi="Times New Roman" w:eastAsia="仿宋_GB2312" w:cs="Times New Roman"/>
          <w:kern w:val="2"/>
          <w:lang w:eastAsia="zh-CN"/>
        </w:rPr>
      </w:pPr>
      <w:r>
        <w:rPr>
          <w:rFonts w:hint="eastAsia" w:ascii="Times New Roman" w:hAnsi="Times New Roman" w:eastAsia="仿宋_GB2312" w:cs="仿宋_GB2312"/>
          <w:kern w:val="2"/>
          <w:lang w:eastAsia="zh-CN"/>
        </w:rPr>
        <w:t>（七）绩效评价工作过程。</w:t>
      </w:r>
    </w:p>
    <w:p w14:paraId="16DDE284">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组织评价组相关人员有针对性的开展各项准备工作，组织培训、开展交流讨论，熟悉相关政策规定，领会财政部《关于印发项目支出绩效评价管理办法的通知》《地方政府专项债券项目资金绩效管理办法的通知》等精神，明确目标任务、制定工作方案及相关要求，准备绩效评价工作所需材料，编制项目满意度调查问卷、绩效评价工作基础数据表等。</w:t>
      </w:r>
    </w:p>
    <w:p w14:paraId="4B282B9C">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四、评价结论和绩效分析</w:t>
      </w:r>
    </w:p>
    <w:p w14:paraId="7D12EBA8">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（1）预算执行（分值10分，自评得分10分）</w:t>
      </w:r>
    </w:p>
    <w:p w14:paraId="59E7906E">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污水处理厂第三方运营费全年执行数201.9万元，执行率100%。</w:t>
      </w:r>
    </w:p>
    <w:p w14:paraId="239CA44E">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（2）产出指标（计40分，自评得分40分）</w:t>
      </w:r>
    </w:p>
    <w:p w14:paraId="4B57FDBB">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①数量指标（分值10分，自评得分10分）</w:t>
      </w:r>
    </w:p>
    <w:p w14:paraId="09ADCE05">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污水处理量年度指标值≥30万立方，全年实际值39万立方，完成100%。</w:t>
      </w:r>
    </w:p>
    <w:p w14:paraId="6BC55C8C">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②质量指标（分值10分，自评得分10分）</w:t>
      </w:r>
    </w:p>
    <w:p w14:paraId="0D7C52AF">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水质处理等级达到国家一级A标准，完成100%。</w:t>
      </w:r>
    </w:p>
    <w:p w14:paraId="757CC5BC">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③时效指标（分值10分，自评得分10分）</w:t>
      </w:r>
    </w:p>
    <w:p w14:paraId="4EBAA60C">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污水处理完成时效性及时，完成100%。</w:t>
      </w:r>
    </w:p>
    <w:p w14:paraId="6980F1CC">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④成本指标（分值10分，自评得分10分）</w:t>
      </w:r>
    </w:p>
    <w:p w14:paraId="12C91E57">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成本控制率在合理范围内。</w:t>
      </w:r>
    </w:p>
    <w:p w14:paraId="489DB36A">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（3）效益指标（计40分，自评得分40分）</w:t>
      </w:r>
    </w:p>
    <w:p w14:paraId="64F8D21B">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①经济效益指标（分值10分，自评得分10分）</w:t>
      </w:r>
    </w:p>
    <w:p w14:paraId="38A14587">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现有张掖嘉能环境工程有限公司进行运营，经济效益不断提升。</w:t>
      </w:r>
    </w:p>
    <w:p w14:paraId="1DF51F37">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②社会效益指标（分值10分，自评得分10分）</w:t>
      </w:r>
    </w:p>
    <w:p w14:paraId="5FBB4C48">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保障污水处理厂的正常运行，足额处理南华集镇及工业园区产生的污水，有效保护环境，保障人民群众身心健康。</w:t>
      </w:r>
    </w:p>
    <w:p w14:paraId="2F6A550D">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③生态效益指标（分值10分，自评得分10分）</w:t>
      </w:r>
    </w:p>
    <w:p w14:paraId="1D4DA6F8">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再处理后的污水达到国家一级A标准，回水再利用，可直接用于园林绿化、消防用水、市政建设、道路清洗、公共卫生间冲洗、生态景观等方面，有效保护环境，促进我县旅游事业的发展。</w:t>
      </w:r>
    </w:p>
    <w:p w14:paraId="470B4A5D">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④可持续影响指标（分值10分，自评得分10分）</w:t>
      </w:r>
    </w:p>
    <w:p w14:paraId="1730BC90">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高效利用水资源，水资源循环再利用能力可持续。</w:t>
      </w:r>
    </w:p>
    <w:p w14:paraId="43BE8D92">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（4）满意度指标（计10分，自评得分10分）</w:t>
      </w:r>
    </w:p>
    <w:p w14:paraId="1A54B94B">
      <w:pPr>
        <w:pStyle w:val="2"/>
        <w:spacing w:line="560" w:lineRule="exact"/>
        <w:ind w:firstLine="640" w:firstLineChars="200"/>
        <w:jc w:val="both"/>
        <w:rPr>
          <w:rFonts w:ascii="Times New Roman" w:hAnsi="Times New Roman" w:eastAsia="仿宋_GB2312" w:cs="仿宋_GB2312"/>
          <w:kern w:val="2"/>
          <w:lang w:eastAsia="zh-CN"/>
        </w:rPr>
      </w:pPr>
      <w:r>
        <w:rPr>
          <w:rFonts w:hint="eastAsia" w:ascii="Times New Roman" w:hAnsi="Times New Roman" w:eastAsia="仿宋_GB2312" w:cs="仿宋_GB2312"/>
          <w:kern w:val="2"/>
          <w:lang w:eastAsia="zh-CN"/>
        </w:rPr>
        <w:t>集镇群众满意度与园区企业满意度均达到95%以上。</w:t>
      </w:r>
    </w:p>
    <w:p w14:paraId="3A780AEF">
      <w:pPr>
        <w:pStyle w:val="2"/>
        <w:spacing w:line="560" w:lineRule="exact"/>
        <w:ind w:firstLine="640" w:firstLineChars="200"/>
        <w:jc w:val="both"/>
        <w:rPr>
          <w:rFonts w:hint="eastAsia" w:ascii="黑体" w:eastAsia="黑体" w:cs="黑体"/>
          <w:lang w:eastAsia="zh-CN"/>
        </w:rPr>
      </w:pPr>
      <w:r>
        <w:rPr>
          <w:rFonts w:hint="eastAsia" w:ascii="黑体" w:eastAsia="黑体" w:cs="黑体"/>
          <w:lang w:eastAsia="zh-CN"/>
        </w:rPr>
        <w:t>五、存在的问题及原因分析</w:t>
      </w:r>
    </w:p>
    <w:p w14:paraId="60B8BB8E">
      <w:pPr>
        <w:pStyle w:val="2"/>
        <w:spacing w:line="560" w:lineRule="exact"/>
        <w:ind w:firstLine="640" w:firstLineChars="200"/>
        <w:jc w:val="both"/>
        <w:rPr>
          <w:rFonts w:hint="eastAsia" w:ascii="黑体" w:eastAsia="黑体" w:cs="黑体"/>
          <w:lang w:eastAsia="zh-CN"/>
        </w:rPr>
      </w:pPr>
      <w:r>
        <w:rPr>
          <w:rFonts w:hint="eastAsia" w:ascii="仿宋_GB2312" w:eastAsia="仿宋_GB2312" w:cs="Times New Roman"/>
          <w:lang w:eastAsia="zh-CN"/>
        </w:rPr>
        <w:t>项目建设单位未将项目绩效目标细化成绩效指标，项目实施过程情况及项目运行产生的经济效益、生态效益等无法通过具体的指标进行衡量。</w:t>
      </w:r>
    </w:p>
    <w:p w14:paraId="2A48549B">
      <w:pPr>
        <w:pStyle w:val="2"/>
        <w:spacing w:line="560" w:lineRule="exact"/>
        <w:ind w:firstLine="640" w:firstLineChars="200"/>
        <w:jc w:val="both"/>
        <w:rPr>
          <w:rFonts w:hint="eastAsia" w:ascii="黑体" w:eastAsia="黑体" w:cs="Times New Roman"/>
          <w:lang w:eastAsia="zh-CN"/>
        </w:rPr>
      </w:pPr>
      <w:r>
        <w:rPr>
          <w:rFonts w:hint="eastAsia" w:ascii="黑体" w:eastAsia="黑体" w:cs="黑体"/>
          <w:lang w:eastAsia="zh-CN"/>
        </w:rPr>
        <w:t>六、有关建议</w:t>
      </w:r>
    </w:p>
    <w:p w14:paraId="3E85AF6E">
      <w:pPr>
        <w:pStyle w:val="2"/>
        <w:spacing w:line="560" w:lineRule="exact"/>
        <w:ind w:firstLine="640" w:firstLineChars="200"/>
        <w:jc w:val="both"/>
        <w:rPr>
          <w:rFonts w:ascii="仿宋_GB2312" w:hAnsi="Times New Roman" w:eastAsia="仿宋_GB2312" w:cs="仿宋_GB2312"/>
          <w:kern w:val="2"/>
          <w:lang w:eastAsia="zh-CN"/>
        </w:rPr>
      </w:pPr>
      <w:r>
        <w:rPr>
          <w:rFonts w:hint="eastAsia" w:ascii="仿宋_GB2312" w:hAnsi="Times New Roman" w:eastAsia="仿宋_GB2312" w:cs="仿宋_GB2312"/>
          <w:kern w:val="2"/>
          <w:lang w:eastAsia="zh-CN"/>
        </w:rPr>
        <w:t>（一）加强项目全过程监管</w:t>
      </w:r>
    </w:p>
    <w:p w14:paraId="29A7D41F">
      <w:pPr>
        <w:pStyle w:val="2"/>
        <w:spacing w:line="560" w:lineRule="exact"/>
        <w:ind w:firstLine="640" w:firstLineChars="200"/>
        <w:jc w:val="both"/>
        <w:rPr>
          <w:rFonts w:ascii="仿宋_GB2312" w:hAnsi="Times New Roman" w:eastAsia="仿宋_GB2312" w:cs="仿宋_GB2312"/>
          <w:kern w:val="2"/>
          <w:lang w:eastAsia="zh-CN"/>
        </w:rPr>
      </w:pPr>
      <w:r>
        <w:rPr>
          <w:rFonts w:hint="eastAsia" w:ascii="仿宋_GB2312" w:hAnsi="Times New Roman" w:eastAsia="仿宋_GB2312" w:cs="仿宋_GB2312"/>
          <w:kern w:val="2"/>
          <w:lang w:eastAsia="zh-CN"/>
        </w:rPr>
        <w:t>在今后的项目实施过程中,严格执行政府投资项目有关规范要求,一要科学论证项目的可行性,二要强化前期手续完备性的认识,三要加强专项债券资金偿付风险管控，四要加强项目全过程管理,尤其要施工过程监管,确保工程质量和建设进度。</w:t>
      </w:r>
    </w:p>
    <w:p w14:paraId="2681814E">
      <w:pPr>
        <w:pStyle w:val="2"/>
        <w:spacing w:line="560" w:lineRule="exact"/>
        <w:ind w:firstLine="640" w:firstLineChars="200"/>
        <w:jc w:val="both"/>
        <w:rPr>
          <w:rFonts w:ascii="仿宋_GB2312" w:hAnsi="Times New Roman" w:eastAsia="仿宋_GB2312" w:cs="仿宋_GB2312"/>
          <w:kern w:val="2"/>
          <w:lang w:eastAsia="zh-CN"/>
        </w:rPr>
      </w:pPr>
      <w:r>
        <w:rPr>
          <w:rFonts w:hint="eastAsia" w:ascii="仿宋_GB2312" w:hAnsi="Times New Roman" w:eastAsia="仿宋_GB2312" w:cs="仿宋_GB2312"/>
          <w:kern w:val="2"/>
          <w:lang w:eastAsia="zh-CN"/>
        </w:rPr>
        <w:t>（二）强化预算编制成效。</w:t>
      </w:r>
    </w:p>
    <w:p w14:paraId="514A5138">
      <w:pPr>
        <w:pStyle w:val="2"/>
        <w:spacing w:line="560" w:lineRule="exact"/>
        <w:ind w:firstLine="640" w:firstLineChars="200"/>
        <w:jc w:val="both"/>
        <w:rPr>
          <w:rFonts w:ascii="仿宋_GB2312" w:hAnsi="Times New Roman" w:eastAsia="仿宋_GB2312" w:cs="仿宋_GB2312"/>
          <w:kern w:val="2"/>
          <w:lang w:eastAsia="zh-CN"/>
        </w:rPr>
      </w:pPr>
      <w:r>
        <w:rPr>
          <w:rFonts w:hint="eastAsia" w:ascii="仿宋_GB2312" w:hAnsi="Times New Roman" w:eastAsia="仿宋_GB2312" w:cs="仿宋_GB2312"/>
          <w:kern w:val="2"/>
          <w:lang w:eastAsia="zh-CN"/>
        </w:rPr>
        <w:t>要加强预算编制的科学性、严谨性，提高立项前评价力度，开展预算项目绩效前评估工作。强化项目的操作规范，压实项目主体责任，合理控制项目成本。</w:t>
      </w:r>
    </w:p>
    <w:p w14:paraId="2B1AC0EA">
      <w:pPr>
        <w:pStyle w:val="2"/>
        <w:spacing w:line="560" w:lineRule="exact"/>
        <w:ind w:firstLine="640" w:firstLineChars="200"/>
        <w:jc w:val="both"/>
        <w:rPr>
          <w:rFonts w:ascii="仿宋_GB2312" w:hAnsi="Times New Roman" w:eastAsia="仿宋_GB2312" w:cs="仿宋_GB2312"/>
          <w:kern w:val="2"/>
          <w:lang w:eastAsia="zh-CN"/>
        </w:rPr>
      </w:pPr>
      <w:r>
        <w:rPr>
          <w:rFonts w:hint="eastAsia" w:ascii="仿宋_GB2312" w:hAnsi="Times New Roman" w:eastAsia="仿宋_GB2312" w:cs="仿宋_GB2312"/>
          <w:kern w:val="2"/>
          <w:lang w:eastAsia="zh-CN"/>
        </w:rPr>
        <w:t>（三）强化绩效意识。</w:t>
      </w:r>
    </w:p>
    <w:p w14:paraId="3C67963E">
      <w:pPr>
        <w:pStyle w:val="2"/>
        <w:spacing w:line="560" w:lineRule="exact"/>
        <w:ind w:firstLine="640" w:firstLineChars="200"/>
        <w:jc w:val="both"/>
        <w:rPr>
          <w:rFonts w:ascii="仿宋_GB2312" w:hAnsi="Times New Roman" w:eastAsia="仿宋_GB2312" w:cs="仿宋_GB2312"/>
          <w:kern w:val="2"/>
          <w:lang w:eastAsia="zh-CN"/>
        </w:rPr>
      </w:pPr>
      <w:r>
        <w:rPr>
          <w:rFonts w:hint="eastAsia" w:ascii="仿宋_GB2312" w:hAnsi="Times New Roman" w:eastAsia="仿宋_GB2312" w:cs="仿宋_GB2312"/>
          <w:kern w:val="2"/>
          <w:lang w:eastAsia="zh-CN"/>
        </w:rPr>
        <w:t>要充分学习消化《地方政府专项债券项目资金绩效管理办法》相关规定，强化绩效意识，为开展项目建成后运营的绩效管理工作打下基础。要设置建设及收益目标，合理分解指标，将项目绩效目标细化分解为具体绩效指标，使得绩效目标能够通过清晰、可衡量指标值予以体现，并按要求落实到位，并定期不定期地开展项目的自评价工作,确保项目建成后持续稳定地发挥效益。</w:t>
      </w:r>
    </w:p>
    <w:p w14:paraId="51CE7457">
      <w:pPr>
        <w:spacing w:line="560" w:lineRule="exact"/>
        <w:rPr>
          <w:rFonts w:cs="Times New Roman"/>
          <w:sz w:val="32"/>
          <w:szCs w:val="32"/>
        </w:rPr>
      </w:pPr>
    </w:p>
    <w:p w14:paraId="7E422598">
      <w:pPr>
        <w:spacing w:line="560" w:lineRule="exact"/>
        <w:rPr>
          <w:rFonts w:cs="Times New Roman"/>
          <w:sz w:val="32"/>
          <w:szCs w:val="32"/>
        </w:rPr>
      </w:pPr>
    </w:p>
    <w:p w14:paraId="580BE2CF">
      <w:pPr>
        <w:spacing w:line="560" w:lineRule="exact"/>
        <w:rPr>
          <w:rFonts w:cs="Times New Roman"/>
          <w:sz w:val="32"/>
          <w:szCs w:val="32"/>
        </w:rPr>
      </w:pPr>
    </w:p>
    <w:p w14:paraId="66A88C43">
      <w:pPr>
        <w:spacing w:line="560" w:lineRule="exact"/>
        <w:rPr>
          <w:rFonts w:cs="Times New Roman"/>
          <w:sz w:val="32"/>
          <w:szCs w:val="32"/>
        </w:rPr>
      </w:pPr>
    </w:p>
    <w:p w14:paraId="192FEB20">
      <w:pPr>
        <w:spacing w:line="560" w:lineRule="exact"/>
        <w:jc w:val="center"/>
        <w:rPr>
          <w:rFonts w:ascii="仿宋_GB2312" w:eastAsia="仿宋_GB2312" w:cs="Times New Roman"/>
          <w:sz w:val="32"/>
          <w:szCs w:val="32"/>
        </w:rPr>
      </w:pPr>
      <w:r>
        <w:rPr>
          <w:rFonts w:hint="eastAsia" w:cs="Times New Roman"/>
          <w:sz w:val="32"/>
          <w:szCs w:val="32"/>
        </w:rPr>
        <w:t xml:space="preserve">              </w:t>
      </w:r>
      <w:r>
        <w:rPr>
          <w:rFonts w:hint="eastAsia" w:ascii="仿宋_GB2312" w:eastAsia="仿宋_GB2312" w:cs="Times New Roman"/>
          <w:sz w:val="32"/>
          <w:szCs w:val="32"/>
        </w:rPr>
        <w:t>南华镇人民政府</w:t>
      </w:r>
    </w:p>
    <w:p w14:paraId="506B63B5">
      <w:pPr>
        <w:spacing w:line="560" w:lineRule="exact"/>
        <w:jc w:val="center"/>
        <w:rPr>
          <w:rFonts w:ascii="仿宋_GB2312" w:eastAsia="仿宋_GB2312" w:cs="Times New Roman"/>
          <w:sz w:val="32"/>
          <w:szCs w:val="32"/>
        </w:rPr>
      </w:pPr>
      <w:r>
        <w:rPr>
          <w:rFonts w:hint="eastAsia" w:ascii="仿宋_GB2312" w:eastAsia="仿宋_GB2312" w:cs="Times New Roman"/>
          <w:sz w:val="32"/>
          <w:szCs w:val="32"/>
        </w:rPr>
        <w:t xml:space="preserve">               年     月    日</w:t>
      </w:r>
    </w:p>
    <w:p w14:paraId="05D47814">
      <w:pPr>
        <w:spacing w:line="560" w:lineRule="exact"/>
        <w:jc w:val="center"/>
        <w:rPr>
          <w:rFonts w:ascii="仿宋_GB2312" w:eastAsia="仿宋_GB2312" w:cs="Times New Roman"/>
          <w:sz w:val="32"/>
          <w:szCs w:val="32"/>
        </w:rPr>
      </w:pPr>
    </w:p>
    <w:p w14:paraId="45048733">
      <w:pPr>
        <w:pStyle w:val="2"/>
        <w:rPr>
          <w:rFonts w:hint="eastAsia"/>
          <w:lang w:eastAsia="zh-CN"/>
        </w:rPr>
        <w:sectPr>
          <w:pgSz w:w="11910" w:h="16840"/>
          <w:pgMar w:top="2098" w:right="1588" w:bottom="1985" w:left="1588" w:header="0" w:footer="1134" w:gutter="0"/>
          <w:cols w:space="720" w:num="1"/>
        </w:sectPr>
      </w:pPr>
      <w:r>
        <w:rPr>
          <w:rFonts w:hint="eastAsia"/>
          <w:lang w:eastAsia="zh-CN"/>
        </w:rPr>
        <w:t xml:space="preserve">      </w:t>
      </w:r>
    </w:p>
    <w:tbl>
      <w:tblPr>
        <w:tblStyle w:val="5"/>
        <w:tblW w:w="14119" w:type="dxa"/>
        <w:tblInd w:w="-106" w:type="dxa"/>
        <w:tblLayout w:type="fixed"/>
        <w:tblCellMar>
          <w:top w:w="0" w:type="dxa"/>
          <w:left w:w="108" w:type="dxa"/>
          <w:bottom w:w="0" w:type="dxa"/>
          <w:right w:w="108" w:type="dxa"/>
        </w:tblCellMar>
      </w:tblPr>
      <w:tblGrid>
        <w:gridCol w:w="1429"/>
        <w:gridCol w:w="1333"/>
        <w:gridCol w:w="1333"/>
        <w:gridCol w:w="1333"/>
        <w:gridCol w:w="1124"/>
        <w:gridCol w:w="1638"/>
        <w:gridCol w:w="1638"/>
        <w:gridCol w:w="914"/>
        <w:gridCol w:w="1124"/>
        <w:gridCol w:w="1124"/>
        <w:gridCol w:w="1129"/>
      </w:tblGrid>
      <w:tr w14:paraId="3EC15E14">
        <w:tblPrEx>
          <w:tblCellMar>
            <w:top w:w="0" w:type="dxa"/>
            <w:left w:w="108" w:type="dxa"/>
            <w:bottom w:w="0" w:type="dxa"/>
            <w:right w:w="108" w:type="dxa"/>
          </w:tblCellMar>
        </w:tblPrEx>
        <w:trPr>
          <w:trHeight w:val="857" w:hRule="atLeast"/>
        </w:trPr>
        <w:tc>
          <w:tcPr>
            <w:tcW w:w="14119" w:type="dxa"/>
            <w:gridSpan w:val="11"/>
            <w:tcBorders>
              <w:top w:val="nil"/>
              <w:left w:val="nil"/>
              <w:bottom w:val="nil"/>
              <w:right w:val="nil"/>
            </w:tcBorders>
            <w:vAlign w:val="center"/>
          </w:tcPr>
          <w:p w14:paraId="59C391E8">
            <w:pPr>
              <w:widowControl/>
              <w:spacing w:line="560" w:lineRule="exact"/>
              <w:rPr>
                <w:rFonts w:hint="eastAsia" w:ascii="仿宋_GB2312" w:hAnsi="黑体" w:eastAsia="仿宋_GB2312" w:cs="仿宋_GB2312"/>
                <w:sz w:val="32"/>
                <w:szCs w:val="32"/>
              </w:rPr>
            </w:pPr>
            <w:r>
              <w:rPr>
                <w:rFonts w:hint="eastAsia" w:ascii="仿宋_GB2312" w:hAnsi="黑体" w:eastAsia="仿宋_GB2312" w:cs="仿宋_GB2312"/>
                <w:sz w:val="32"/>
                <w:szCs w:val="32"/>
              </w:rPr>
              <w:t>附表</w:t>
            </w:r>
            <w:r>
              <w:rPr>
                <w:rFonts w:ascii="仿宋_GB2312" w:hAnsi="黑体" w:eastAsia="仿宋_GB2312" w:cs="仿宋_GB2312"/>
                <w:sz w:val="32"/>
                <w:szCs w:val="32"/>
              </w:rPr>
              <w:t>1</w:t>
            </w:r>
          </w:p>
        </w:tc>
      </w:tr>
      <w:tr w14:paraId="72C6118C">
        <w:tblPrEx>
          <w:tblCellMar>
            <w:top w:w="0" w:type="dxa"/>
            <w:left w:w="108" w:type="dxa"/>
            <w:bottom w:w="0" w:type="dxa"/>
            <w:right w:w="108" w:type="dxa"/>
          </w:tblCellMar>
        </w:tblPrEx>
        <w:trPr>
          <w:trHeight w:val="2286" w:hRule="atLeast"/>
        </w:trPr>
        <w:tc>
          <w:tcPr>
            <w:tcW w:w="14119" w:type="dxa"/>
            <w:gridSpan w:val="11"/>
            <w:tcBorders>
              <w:top w:val="nil"/>
              <w:left w:val="nil"/>
              <w:bottom w:val="nil"/>
              <w:right w:val="nil"/>
            </w:tcBorders>
            <w:vAlign w:val="center"/>
          </w:tcPr>
          <w:p w14:paraId="1B42F537">
            <w:pPr>
              <w:widowControl/>
              <w:spacing w:line="560" w:lineRule="exact"/>
              <w:rPr>
                <w:rFonts w:ascii="方正小标宋简体" w:eastAsia="方正小标宋简体" w:cs="Times New Roman"/>
                <w:sz w:val="32"/>
                <w:szCs w:val="32"/>
              </w:rPr>
            </w:pPr>
            <w:r>
              <w:rPr>
                <w:rFonts w:hint="eastAsia" w:ascii="方正小标宋简体" w:eastAsia="方正小标宋简体" w:cs="方正小标宋简体"/>
                <w:sz w:val="32"/>
                <w:szCs w:val="32"/>
              </w:rPr>
              <w:t>县级项目支出绩效评价评分表（参考模板）</w:t>
            </w:r>
          </w:p>
        </w:tc>
      </w:tr>
      <w:tr w14:paraId="09B0F471">
        <w:tblPrEx>
          <w:tblCellMar>
            <w:top w:w="0" w:type="dxa"/>
            <w:left w:w="108" w:type="dxa"/>
            <w:bottom w:w="0" w:type="dxa"/>
            <w:right w:w="108" w:type="dxa"/>
          </w:tblCellMar>
        </w:tblPrEx>
        <w:trPr>
          <w:trHeight w:val="1143" w:hRule="atLeast"/>
        </w:trPr>
        <w:tc>
          <w:tcPr>
            <w:tcW w:w="14119" w:type="dxa"/>
            <w:gridSpan w:val="11"/>
            <w:tcBorders>
              <w:top w:val="nil"/>
              <w:left w:val="nil"/>
              <w:bottom w:val="nil"/>
              <w:right w:val="nil"/>
            </w:tcBorders>
            <w:vAlign w:val="center"/>
          </w:tcPr>
          <w:p w14:paraId="339C2E82">
            <w:pPr>
              <w:widowControl/>
              <w:spacing w:line="560" w:lineRule="exact"/>
              <w:rPr>
                <w:rFonts w:cs="Times New Roman"/>
                <w:b/>
                <w:bCs/>
                <w:sz w:val="32"/>
                <w:szCs w:val="32"/>
              </w:rPr>
            </w:pPr>
            <w:r>
              <w:rPr>
                <w:rFonts w:hint="eastAsia" w:cs="宋体"/>
                <w:b/>
                <w:bCs/>
                <w:sz w:val="32"/>
                <w:szCs w:val="32"/>
              </w:rPr>
              <w:t>项目名称：</w:t>
            </w:r>
          </w:p>
        </w:tc>
      </w:tr>
      <w:tr w14:paraId="0A0E0BF7">
        <w:tblPrEx>
          <w:tblCellMar>
            <w:top w:w="0" w:type="dxa"/>
            <w:left w:w="108" w:type="dxa"/>
            <w:bottom w:w="0" w:type="dxa"/>
            <w:right w:w="108" w:type="dxa"/>
          </w:tblCellMar>
        </w:tblPrEx>
        <w:trPr>
          <w:trHeight w:val="857" w:hRule="atLeast"/>
        </w:trPr>
        <w:tc>
          <w:tcPr>
            <w:tcW w:w="1429" w:type="dxa"/>
            <w:tcBorders>
              <w:top w:val="single" w:color="auto" w:sz="4" w:space="0"/>
              <w:left w:val="single" w:color="auto" w:sz="4" w:space="0"/>
              <w:bottom w:val="single" w:color="auto" w:sz="4" w:space="0"/>
              <w:right w:val="single" w:color="auto" w:sz="4" w:space="0"/>
            </w:tcBorders>
            <w:vAlign w:val="center"/>
          </w:tcPr>
          <w:p w14:paraId="649E43E7">
            <w:pPr>
              <w:widowControl/>
              <w:spacing w:line="560" w:lineRule="exact"/>
              <w:rPr>
                <w:rFonts w:cs="Times New Roman"/>
                <w:b/>
                <w:bCs/>
                <w:sz w:val="32"/>
                <w:szCs w:val="32"/>
              </w:rPr>
            </w:pPr>
            <w:r>
              <w:rPr>
                <w:rFonts w:hint="eastAsia" w:cs="宋体"/>
                <w:b/>
                <w:bCs/>
                <w:sz w:val="32"/>
                <w:szCs w:val="32"/>
              </w:rPr>
              <w:t>一级指标及分值</w:t>
            </w:r>
          </w:p>
        </w:tc>
        <w:tc>
          <w:tcPr>
            <w:tcW w:w="1333" w:type="dxa"/>
            <w:tcBorders>
              <w:top w:val="single" w:color="auto" w:sz="4" w:space="0"/>
              <w:left w:val="nil"/>
              <w:bottom w:val="single" w:color="auto" w:sz="4" w:space="0"/>
              <w:right w:val="single" w:color="auto" w:sz="4" w:space="0"/>
            </w:tcBorders>
            <w:vAlign w:val="center"/>
          </w:tcPr>
          <w:p w14:paraId="269FDF3E">
            <w:pPr>
              <w:widowControl/>
              <w:spacing w:line="560" w:lineRule="exact"/>
              <w:rPr>
                <w:rFonts w:cs="Times New Roman"/>
                <w:b/>
                <w:bCs/>
                <w:sz w:val="32"/>
                <w:szCs w:val="32"/>
              </w:rPr>
            </w:pPr>
            <w:r>
              <w:rPr>
                <w:rFonts w:hint="eastAsia" w:cs="宋体"/>
                <w:b/>
                <w:bCs/>
                <w:sz w:val="32"/>
                <w:szCs w:val="32"/>
              </w:rPr>
              <w:t>二级指标及分值</w:t>
            </w:r>
          </w:p>
        </w:tc>
        <w:tc>
          <w:tcPr>
            <w:tcW w:w="1333" w:type="dxa"/>
            <w:tcBorders>
              <w:top w:val="single" w:color="auto" w:sz="4" w:space="0"/>
              <w:left w:val="nil"/>
              <w:bottom w:val="single" w:color="auto" w:sz="4" w:space="0"/>
              <w:right w:val="single" w:color="auto" w:sz="4" w:space="0"/>
            </w:tcBorders>
            <w:vAlign w:val="center"/>
          </w:tcPr>
          <w:p w14:paraId="5E441DB2">
            <w:pPr>
              <w:widowControl/>
              <w:spacing w:line="560" w:lineRule="exact"/>
              <w:rPr>
                <w:rFonts w:cs="Times New Roman"/>
                <w:b/>
                <w:bCs/>
                <w:sz w:val="32"/>
                <w:szCs w:val="32"/>
              </w:rPr>
            </w:pPr>
            <w:r>
              <w:rPr>
                <w:rFonts w:hint="eastAsia" w:cs="宋体"/>
                <w:b/>
                <w:bCs/>
                <w:sz w:val="32"/>
                <w:szCs w:val="32"/>
              </w:rPr>
              <w:t>三级指标及分值</w:t>
            </w:r>
          </w:p>
        </w:tc>
        <w:tc>
          <w:tcPr>
            <w:tcW w:w="1333" w:type="dxa"/>
            <w:tcBorders>
              <w:top w:val="single" w:color="auto" w:sz="4" w:space="0"/>
              <w:left w:val="nil"/>
              <w:bottom w:val="single" w:color="auto" w:sz="4" w:space="0"/>
              <w:right w:val="single" w:color="auto" w:sz="4" w:space="0"/>
            </w:tcBorders>
            <w:vAlign w:val="center"/>
          </w:tcPr>
          <w:p w14:paraId="76341D23">
            <w:pPr>
              <w:widowControl/>
              <w:spacing w:line="560" w:lineRule="exact"/>
              <w:rPr>
                <w:rFonts w:cs="Times New Roman"/>
                <w:b/>
                <w:bCs/>
                <w:sz w:val="32"/>
                <w:szCs w:val="32"/>
              </w:rPr>
            </w:pPr>
            <w:r>
              <w:rPr>
                <w:rFonts w:hint="eastAsia" w:cs="宋体"/>
                <w:b/>
                <w:bCs/>
                <w:sz w:val="32"/>
                <w:szCs w:val="32"/>
              </w:rPr>
              <w:t>四级指标及分值</w:t>
            </w:r>
          </w:p>
        </w:tc>
        <w:tc>
          <w:tcPr>
            <w:tcW w:w="1124" w:type="dxa"/>
            <w:tcBorders>
              <w:top w:val="single" w:color="auto" w:sz="4" w:space="0"/>
              <w:left w:val="nil"/>
              <w:bottom w:val="single" w:color="auto" w:sz="4" w:space="0"/>
              <w:right w:val="single" w:color="auto" w:sz="4" w:space="0"/>
            </w:tcBorders>
            <w:vAlign w:val="center"/>
          </w:tcPr>
          <w:p w14:paraId="484EC1FF">
            <w:pPr>
              <w:widowControl/>
              <w:spacing w:line="560" w:lineRule="exact"/>
              <w:rPr>
                <w:rFonts w:cs="Times New Roman"/>
                <w:b/>
                <w:bCs/>
                <w:sz w:val="32"/>
                <w:szCs w:val="32"/>
              </w:rPr>
            </w:pPr>
            <w:r>
              <w:rPr>
                <w:rFonts w:hint="eastAsia" w:cs="宋体"/>
                <w:b/>
                <w:bCs/>
                <w:sz w:val="32"/>
                <w:szCs w:val="32"/>
              </w:rPr>
              <w:t>……</w:t>
            </w:r>
          </w:p>
        </w:tc>
        <w:tc>
          <w:tcPr>
            <w:tcW w:w="1638" w:type="dxa"/>
            <w:tcBorders>
              <w:top w:val="single" w:color="auto" w:sz="4" w:space="0"/>
              <w:left w:val="nil"/>
              <w:bottom w:val="single" w:color="auto" w:sz="4" w:space="0"/>
              <w:right w:val="single" w:color="auto" w:sz="4" w:space="0"/>
            </w:tcBorders>
            <w:vAlign w:val="center"/>
          </w:tcPr>
          <w:p w14:paraId="10753E43">
            <w:pPr>
              <w:widowControl/>
              <w:spacing w:line="560" w:lineRule="exact"/>
              <w:rPr>
                <w:rFonts w:cs="Times New Roman"/>
                <w:b/>
                <w:bCs/>
                <w:sz w:val="32"/>
                <w:szCs w:val="32"/>
              </w:rPr>
            </w:pPr>
            <w:r>
              <w:rPr>
                <w:rFonts w:hint="eastAsia" w:cs="宋体"/>
                <w:b/>
                <w:bCs/>
                <w:sz w:val="32"/>
                <w:szCs w:val="32"/>
              </w:rPr>
              <w:t>指标解释</w:t>
            </w:r>
          </w:p>
        </w:tc>
        <w:tc>
          <w:tcPr>
            <w:tcW w:w="1638" w:type="dxa"/>
            <w:tcBorders>
              <w:top w:val="single" w:color="auto" w:sz="4" w:space="0"/>
              <w:left w:val="nil"/>
              <w:bottom w:val="single" w:color="auto" w:sz="4" w:space="0"/>
              <w:right w:val="single" w:color="auto" w:sz="4" w:space="0"/>
            </w:tcBorders>
            <w:vAlign w:val="center"/>
          </w:tcPr>
          <w:p w14:paraId="7CE25605">
            <w:pPr>
              <w:widowControl/>
              <w:spacing w:line="560" w:lineRule="exact"/>
              <w:rPr>
                <w:rFonts w:cs="Times New Roman"/>
                <w:b/>
                <w:bCs/>
                <w:sz w:val="32"/>
                <w:szCs w:val="32"/>
              </w:rPr>
            </w:pPr>
            <w:r>
              <w:rPr>
                <w:rFonts w:hint="eastAsia" w:cs="宋体"/>
                <w:b/>
                <w:bCs/>
                <w:sz w:val="32"/>
                <w:szCs w:val="32"/>
              </w:rPr>
              <w:t>评价标准</w:t>
            </w:r>
          </w:p>
        </w:tc>
        <w:tc>
          <w:tcPr>
            <w:tcW w:w="914" w:type="dxa"/>
            <w:tcBorders>
              <w:top w:val="single" w:color="auto" w:sz="4" w:space="0"/>
              <w:left w:val="nil"/>
              <w:bottom w:val="single" w:color="auto" w:sz="4" w:space="0"/>
              <w:right w:val="single" w:color="auto" w:sz="4" w:space="0"/>
            </w:tcBorders>
            <w:vAlign w:val="center"/>
          </w:tcPr>
          <w:p w14:paraId="120AFB2D">
            <w:pPr>
              <w:widowControl/>
              <w:spacing w:line="560" w:lineRule="exact"/>
              <w:rPr>
                <w:rFonts w:cs="Times New Roman"/>
                <w:b/>
                <w:bCs/>
                <w:sz w:val="32"/>
                <w:szCs w:val="32"/>
              </w:rPr>
            </w:pPr>
            <w:r>
              <w:rPr>
                <w:rFonts w:hint="eastAsia" w:cs="宋体"/>
                <w:b/>
                <w:bCs/>
                <w:sz w:val="32"/>
                <w:szCs w:val="32"/>
              </w:rPr>
              <w:t>得分</w:t>
            </w:r>
          </w:p>
        </w:tc>
        <w:tc>
          <w:tcPr>
            <w:tcW w:w="1124" w:type="dxa"/>
            <w:tcBorders>
              <w:top w:val="single" w:color="auto" w:sz="4" w:space="0"/>
              <w:left w:val="nil"/>
              <w:bottom w:val="single" w:color="auto" w:sz="4" w:space="0"/>
              <w:right w:val="single" w:color="auto" w:sz="4" w:space="0"/>
            </w:tcBorders>
            <w:vAlign w:val="center"/>
          </w:tcPr>
          <w:p w14:paraId="4A529C7A">
            <w:pPr>
              <w:widowControl/>
              <w:spacing w:line="560" w:lineRule="exact"/>
              <w:rPr>
                <w:rFonts w:cs="Times New Roman"/>
                <w:b/>
                <w:bCs/>
                <w:sz w:val="32"/>
                <w:szCs w:val="32"/>
              </w:rPr>
            </w:pPr>
            <w:r>
              <w:rPr>
                <w:rFonts w:hint="eastAsia" w:cs="宋体"/>
                <w:b/>
                <w:bCs/>
                <w:sz w:val="32"/>
                <w:szCs w:val="32"/>
              </w:rPr>
              <w:t>依据</w:t>
            </w:r>
          </w:p>
        </w:tc>
        <w:tc>
          <w:tcPr>
            <w:tcW w:w="1124" w:type="dxa"/>
            <w:tcBorders>
              <w:top w:val="single" w:color="auto" w:sz="4" w:space="0"/>
              <w:left w:val="nil"/>
              <w:bottom w:val="single" w:color="auto" w:sz="4" w:space="0"/>
              <w:right w:val="single" w:color="auto" w:sz="4" w:space="0"/>
            </w:tcBorders>
            <w:vAlign w:val="center"/>
          </w:tcPr>
          <w:p w14:paraId="5E49D7D3">
            <w:pPr>
              <w:widowControl/>
              <w:spacing w:line="560" w:lineRule="exact"/>
              <w:rPr>
                <w:rFonts w:cs="Times New Roman"/>
                <w:b/>
                <w:bCs/>
                <w:sz w:val="32"/>
                <w:szCs w:val="32"/>
              </w:rPr>
            </w:pPr>
            <w:r>
              <w:rPr>
                <w:rFonts w:hint="eastAsia" w:cs="宋体"/>
                <w:b/>
                <w:bCs/>
                <w:sz w:val="32"/>
                <w:szCs w:val="32"/>
              </w:rPr>
              <w:t>依据来源</w:t>
            </w:r>
          </w:p>
        </w:tc>
        <w:tc>
          <w:tcPr>
            <w:tcW w:w="1129" w:type="dxa"/>
            <w:tcBorders>
              <w:top w:val="single" w:color="auto" w:sz="4" w:space="0"/>
              <w:left w:val="nil"/>
              <w:bottom w:val="single" w:color="auto" w:sz="4" w:space="0"/>
              <w:right w:val="single" w:color="auto" w:sz="4" w:space="0"/>
            </w:tcBorders>
            <w:vAlign w:val="center"/>
          </w:tcPr>
          <w:p w14:paraId="51E99BE2">
            <w:pPr>
              <w:widowControl/>
              <w:spacing w:line="560" w:lineRule="exact"/>
              <w:rPr>
                <w:rFonts w:cs="Times New Roman"/>
                <w:b/>
                <w:bCs/>
                <w:sz w:val="32"/>
                <w:szCs w:val="32"/>
              </w:rPr>
            </w:pPr>
            <w:r>
              <w:rPr>
                <w:rFonts w:hint="eastAsia" w:cs="宋体"/>
                <w:b/>
                <w:bCs/>
                <w:sz w:val="32"/>
                <w:szCs w:val="32"/>
              </w:rPr>
              <w:t>证据收集方式</w:t>
            </w:r>
          </w:p>
        </w:tc>
      </w:tr>
      <w:tr w14:paraId="51C84B1B">
        <w:tblPrEx>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14:paraId="57EDB48F">
            <w:pPr>
              <w:widowControl/>
              <w:spacing w:line="560" w:lineRule="exact"/>
              <w:rPr>
                <w:rFonts w:cs="Times New Roman"/>
                <w:b/>
                <w:bCs/>
                <w:sz w:val="32"/>
                <w:szCs w:val="32"/>
              </w:rPr>
            </w:pPr>
            <w:r>
              <w:rPr>
                <w:rFonts w:hint="eastAsia" w:cs="宋体"/>
                <w:b/>
                <w:bCs/>
                <w:sz w:val="32"/>
                <w:szCs w:val="32"/>
              </w:rPr>
              <w:t>　</w:t>
            </w:r>
          </w:p>
        </w:tc>
        <w:tc>
          <w:tcPr>
            <w:tcW w:w="1333" w:type="dxa"/>
            <w:tcBorders>
              <w:top w:val="nil"/>
              <w:left w:val="nil"/>
              <w:bottom w:val="single" w:color="auto" w:sz="4" w:space="0"/>
              <w:right w:val="single" w:color="auto" w:sz="4" w:space="0"/>
            </w:tcBorders>
            <w:vAlign w:val="center"/>
          </w:tcPr>
          <w:p w14:paraId="5534A3C5">
            <w:pPr>
              <w:widowControl/>
              <w:spacing w:line="560" w:lineRule="exact"/>
              <w:rPr>
                <w:rFonts w:cs="Times New Roman"/>
                <w:b/>
                <w:bCs/>
                <w:sz w:val="32"/>
                <w:szCs w:val="32"/>
              </w:rPr>
            </w:pPr>
            <w:r>
              <w:rPr>
                <w:rFonts w:hint="eastAsia" w:cs="宋体"/>
                <w:b/>
                <w:bCs/>
                <w:sz w:val="32"/>
                <w:szCs w:val="32"/>
              </w:rPr>
              <w:t>　</w:t>
            </w:r>
          </w:p>
        </w:tc>
        <w:tc>
          <w:tcPr>
            <w:tcW w:w="1333" w:type="dxa"/>
            <w:tcBorders>
              <w:top w:val="nil"/>
              <w:left w:val="nil"/>
              <w:bottom w:val="single" w:color="auto" w:sz="4" w:space="0"/>
              <w:right w:val="single" w:color="auto" w:sz="4" w:space="0"/>
            </w:tcBorders>
            <w:vAlign w:val="center"/>
          </w:tcPr>
          <w:p w14:paraId="5F7BA3E4">
            <w:pPr>
              <w:widowControl/>
              <w:spacing w:line="560" w:lineRule="exact"/>
              <w:rPr>
                <w:rFonts w:cs="Times New Roman"/>
                <w:b/>
                <w:bCs/>
                <w:sz w:val="32"/>
                <w:szCs w:val="32"/>
              </w:rPr>
            </w:pPr>
            <w:r>
              <w:rPr>
                <w:rFonts w:hint="eastAsia" w:cs="宋体"/>
                <w:b/>
                <w:bCs/>
                <w:sz w:val="32"/>
                <w:szCs w:val="32"/>
              </w:rPr>
              <w:t>　</w:t>
            </w:r>
          </w:p>
        </w:tc>
        <w:tc>
          <w:tcPr>
            <w:tcW w:w="1333" w:type="dxa"/>
            <w:tcBorders>
              <w:top w:val="nil"/>
              <w:left w:val="nil"/>
              <w:bottom w:val="single" w:color="auto" w:sz="4" w:space="0"/>
              <w:right w:val="single" w:color="auto" w:sz="4" w:space="0"/>
            </w:tcBorders>
            <w:vAlign w:val="center"/>
          </w:tcPr>
          <w:p w14:paraId="254B4E2D">
            <w:pPr>
              <w:widowControl/>
              <w:spacing w:line="560" w:lineRule="exact"/>
              <w:rPr>
                <w:rFonts w:cs="Times New Roman"/>
                <w:b/>
                <w:bCs/>
                <w:sz w:val="32"/>
                <w:szCs w:val="32"/>
              </w:rPr>
            </w:pPr>
            <w:r>
              <w:rPr>
                <w:rFonts w:hint="eastAsia" w:cs="宋体"/>
                <w:b/>
                <w:bCs/>
                <w:sz w:val="32"/>
                <w:szCs w:val="32"/>
              </w:rPr>
              <w:t>　</w:t>
            </w:r>
          </w:p>
        </w:tc>
        <w:tc>
          <w:tcPr>
            <w:tcW w:w="1124" w:type="dxa"/>
            <w:tcBorders>
              <w:top w:val="nil"/>
              <w:left w:val="nil"/>
              <w:bottom w:val="single" w:color="auto" w:sz="4" w:space="0"/>
              <w:right w:val="single" w:color="auto" w:sz="4" w:space="0"/>
            </w:tcBorders>
            <w:vAlign w:val="center"/>
          </w:tcPr>
          <w:p w14:paraId="5502E0D9">
            <w:pPr>
              <w:widowControl/>
              <w:spacing w:line="560" w:lineRule="exact"/>
              <w:rPr>
                <w:rFonts w:cs="Times New Roman"/>
                <w:b/>
                <w:bCs/>
                <w:sz w:val="32"/>
                <w:szCs w:val="32"/>
              </w:rPr>
            </w:pPr>
            <w:r>
              <w:rPr>
                <w:rFonts w:hint="eastAsia" w:cs="宋体"/>
                <w:b/>
                <w:bCs/>
                <w:sz w:val="32"/>
                <w:szCs w:val="32"/>
              </w:rPr>
              <w:t>　</w:t>
            </w:r>
          </w:p>
        </w:tc>
        <w:tc>
          <w:tcPr>
            <w:tcW w:w="1638" w:type="dxa"/>
            <w:tcBorders>
              <w:top w:val="nil"/>
              <w:left w:val="nil"/>
              <w:bottom w:val="single" w:color="auto" w:sz="4" w:space="0"/>
              <w:right w:val="single" w:color="auto" w:sz="4" w:space="0"/>
            </w:tcBorders>
            <w:vAlign w:val="center"/>
          </w:tcPr>
          <w:p w14:paraId="6A78D021">
            <w:pPr>
              <w:widowControl/>
              <w:spacing w:line="560" w:lineRule="exact"/>
              <w:rPr>
                <w:rFonts w:cs="Times New Roman"/>
                <w:b/>
                <w:bCs/>
                <w:sz w:val="32"/>
                <w:szCs w:val="32"/>
              </w:rPr>
            </w:pPr>
            <w:r>
              <w:rPr>
                <w:rFonts w:hint="eastAsia" w:cs="宋体"/>
                <w:b/>
                <w:bCs/>
                <w:sz w:val="32"/>
                <w:szCs w:val="32"/>
              </w:rPr>
              <w:t>　</w:t>
            </w:r>
          </w:p>
        </w:tc>
        <w:tc>
          <w:tcPr>
            <w:tcW w:w="1638" w:type="dxa"/>
            <w:tcBorders>
              <w:top w:val="nil"/>
              <w:left w:val="nil"/>
              <w:bottom w:val="single" w:color="auto" w:sz="4" w:space="0"/>
              <w:right w:val="single" w:color="auto" w:sz="4" w:space="0"/>
            </w:tcBorders>
            <w:vAlign w:val="center"/>
          </w:tcPr>
          <w:p w14:paraId="37D56006">
            <w:pPr>
              <w:widowControl/>
              <w:spacing w:line="560" w:lineRule="exact"/>
              <w:rPr>
                <w:rFonts w:cs="Times New Roman"/>
                <w:b/>
                <w:bCs/>
                <w:sz w:val="32"/>
                <w:szCs w:val="32"/>
              </w:rPr>
            </w:pPr>
            <w:r>
              <w:rPr>
                <w:rFonts w:hint="eastAsia" w:cs="宋体"/>
                <w:b/>
                <w:bCs/>
                <w:sz w:val="32"/>
                <w:szCs w:val="32"/>
              </w:rPr>
              <w:t>　</w:t>
            </w:r>
          </w:p>
        </w:tc>
        <w:tc>
          <w:tcPr>
            <w:tcW w:w="914" w:type="dxa"/>
            <w:tcBorders>
              <w:top w:val="nil"/>
              <w:left w:val="nil"/>
              <w:bottom w:val="single" w:color="auto" w:sz="4" w:space="0"/>
              <w:right w:val="single" w:color="auto" w:sz="4" w:space="0"/>
            </w:tcBorders>
            <w:vAlign w:val="center"/>
          </w:tcPr>
          <w:p w14:paraId="0FD19E73">
            <w:pPr>
              <w:widowControl/>
              <w:spacing w:line="560" w:lineRule="exact"/>
              <w:rPr>
                <w:rFonts w:cs="Times New Roman"/>
                <w:b/>
                <w:bCs/>
                <w:sz w:val="32"/>
                <w:szCs w:val="32"/>
              </w:rPr>
            </w:pPr>
            <w:r>
              <w:rPr>
                <w:rFonts w:hint="eastAsia" w:cs="宋体"/>
                <w:b/>
                <w:bCs/>
                <w:sz w:val="32"/>
                <w:szCs w:val="32"/>
              </w:rPr>
              <w:t>　</w:t>
            </w:r>
          </w:p>
        </w:tc>
        <w:tc>
          <w:tcPr>
            <w:tcW w:w="1124" w:type="dxa"/>
            <w:tcBorders>
              <w:top w:val="nil"/>
              <w:left w:val="nil"/>
              <w:bottom w:val="single" w:color="auto" w:sz="4" w:space="0"/>
              <w:right w:val="single" w:color="auto" w:sz="4" w:space="0"/>
            </w:tcBorders>
            <w:vAlign w:val="center"/>
          </w:tcPr>
          <w:p w14:paraId="77B85433">
            <w:pPr>
              <w:widowControl/>
              <w:spacing w:line="560" w:lineRule="exact"/>
              <w:rPr>
                <w:rFonts w:cs="Times New Roman"/>
                <w:b/>
                <w:bCs/>
                <w:sz w:val="32"/>
                <w:szCs w:val="32"/>
              </w:rPr>
            </w:pPr>
            <w:r>
              <w:rPr>
                <w:rFonts w:hint="eastAsia" w:cs="宋体"/>
                <w:b/>
                <w:bCs/>
                <w:sz w:val="32"/>
                <w:szCs w:val="32"/>
              </w:rPr>
              <w:t>　</w:t>
            </w:r>
          </w:p>
        </w:tc>
        <w:tc>
          <w:tcPr>
            <w:tcW w:w="1124" w:type="dxa"/>
            <w:tcBorders>
              <w:top w:val="nil"/>
              <w:left w:val="nil"/>
              <w:bottom w:val="single" w:color="auto" w:sz="4" w:space="0"/>
              <w:right w:val="single" w:color="auto" w:sz="4" w:space="0"/>
            </w:tcBorders>
            <w:vAlign w:val="center"/>
          </w:tcPr>
          <w:p w14:paraId="75833218">
            <w:pPr>
              <w:widowControl/>
              <w:spacing w:line="560" w:lineRule="exact"/>
              <w:rPr>
                <w:rFonts w:cs="Times New Roman"/>
                <w:b/>
                <w:bCs/>
                <w:sz w:val="32"/>
                <w:szCs w:val="32"/>
              </w:rPr>
            </w:pPr>
            <w:r>
              <w:rPr>
                <w:rFonts w:hint="eastAsia" w:cs="宋体"/>
                <w:b/>
                <w:bCs/>
                <w:sz w:val="32"/>
                <w:szCs w:val="32"/>
              </w:rPr>
              <w:t>　</w:t>
            </w:r>
          </w:p>
        </w:tc>
        <w:tc>
          <w:tcPr>
            <w:tcW w:w="1129" w:type="dxa"/>
            <w:tcBorders>
              <w:top w:val="nil"/>
              <w:left w:val="nil"/>
              <w:bottom w:val="single" w:color="auto" w:sz="4" w:space="0"/>
              <w:right w:val="single" w:color="auto" w:sz="4" w:space="0"/>
            </w:tcBorders>
            <w:vAlign w:val="center"/>
          </w:tcPr>
          <w:p w14:paraId="4525AF71">
            <w:pPr>
              <w:widowControl/>
              <w:spacing w:line="560" w:lineRule="exact"/>
              <w:rPr>
                <w:rFonts w:cs="Times New Roman"/>
                <w:b/>
                <w:bCs/>
                <w:sz w:val="32"/>
                <w:szCs w:val="32"/>
              </w:rPr>
            </w:pPr>
            <w:r>
              <w:rPr>
                <w:rFonts w:hint="eastAsia" w:cs="宋体"/>
                <w:b/>
                <w:bCs/>
                <w:sz w:val="32"/>
                <w:szCs w:val="32"/>
              </w:rPr>
              <w:t>　</w:t>
            </w:r>
          </w:p>
        </w:tc>
      </w:tr>
      <w:tr w14:paraId="07EBE523">
        <w:tblPrEx>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14:paraId="0BF62879">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7D7B5F61">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0106F9A3">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03A39D30">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36D1EC0B">
            <w:pPr>
              <w:widowControl/>
              <w:spacing w:line="560" w:lineRule="exact"/>
              <w:rPr>
                <w:rFonts w:cs="Times New Roman"/>
                <w:sz w:val="32"/>
                <w:szCs w:val="32"/>
              </w:rPr>
            </w:pPr>
            <w:r>
              <w:rPr>
                <w:rFonts w:hint="eastAsia" w:cs="宋体"/>
                <w:sz w:val="32"/>
                <w:szCs w:val="32"/>
              </w:rPr>
              <w:t>　</w:t>
            </w:r>
          </w:p>
        </w:tc>
        <w:tc>
          <w:tcPr>
            <w:tcW w:w="1638" w:type="dxa"/>
            <w:tcBorders>
              <w:top w:val="nil"/>
              <w:left w:val="nil"/>
              <w:bottom w:val="single" w:color="auto" w:sz="4" w:space="0"/>
              <w:right w:val="single" w:color="auto" w:sz="4" w:space="0"/>
            </w:tcBorders>
            <w:vAlign w:val="center"/>
          </w:tcPr>
          <w:p w14:paraId="2E592A69">
            <w:pPr>
              <w:widowControl/>
              <w:spacing w:line="560" w:lineRule="exact"/>
              <w:rPr>
                <w:rFonts w:cs="Times New Roman"/>
                <w:sz w:val="32"/>
                <w:szCs w:val="32"/>
              </w:rPr>
            </w:pPr>
            <w:r>
              <w:rPr>
                <w:rFonts w:hint="eastAsia" w:cs="宋体"/>
                <w:sz w:val="32"/>
                <w:szCs w:val="32"/>
              </w:rPr>
              <w:t>　</w:t>
            </w:r>
          </w:p>
        </w:tc>
        <w:tc>
          <w:tcPr>
            <w:tcW w:w="1638" w:type="dxa"/>
            <w:tcBorders>
              <w:top w:val="nil"/>
              <w:left w:val="nil"/>
              <w:bottom w:val="single" w:color="auto" w:sz="4" w:space="0"/>
              <w:right w:val="single" w:color="auto" w:sz="4" w:space="0"/>
            </w:tcBorders>
            <w:vAlign w:val="center"/>
          </w:tcPr>
          <w:p w14:paraId="2DBCD284">
            <w:pPr>
              <w:widowControl/>
              <w:spacing w:line="560" w:lineRule="exact"/>
              <w:rPr>
                <w:rFonts w:cs="Times New Roman"/>
                <w:sz w:val="32"/>
                <w:szCs w:val="32"/>
              </w:rPr>
            </w:pPr>
            <w:r>
              <w:rPr>
                <w:rFonts w:hint="eastAsia" w:cs="宋体"/>
                <w:sz w:val="32"/>
                <w:szCs w:val="32"/>
              </w:rPr>
              <w:t>　</w:t>
            </w:r>
          </w:p>
        </w:tc>
        <w:tc>
          <w:tcPr>
            <w:tcW w:w="914" w:type="dxa"/>
            <w:tcBorders>
              <w:top w:val="nil"/>
              <w:left w:val="nil"/>
              <w:bottom w:val="single" w:color="auto" w:sz="4" w:space="0"/>
              <w:right w:val="single" w:color="auto" w:sz="4" w:space="0"/>
            </w:tcBorders>
            <w:vAlign w:val="center"/>
          </w:tcPr>
          <w:p w14:paraId="3FE4D9A9">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497EFBB7">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278B74B9">
            <w:pPr>
              <w:widowControl/>
              <w:spacing w:line="560" w:lineRule="exact"/>
              <w:rPr>
                <w:rFonts w:cs="Times New Roman"/>
                <w:sz w:val="32"/>
                <w:szCs w:val="32"/>
              </w:rPr>
            </w:pPr>
            <w:r>
              <w:rPr>
                <w:rFonts w:hint="eastAsia" w:cs="宋体"/>
                <w:sz w:val="32"/>
                <w:szCs w:val="32"/>
              </w:rPr>
              <w:t>　</w:t>
            </w:r>
          </w:p>
        </w:tc>
        <w:tc>
          <w:tcPr>
            <w:tcW w:w="1129" w:type="dxa"/>
            <w:tcBorders>
              <w:top w:val="nil"/>
              <w:left w:val="nil"/>
              <w:bottom w:val="single" w:color="auto" w:sz="4" w:space="0"/>
              <w:right w:val="single" w:color="auto" w:sz="4" w:space="0"/>
            </w:tcBorders>
            <w:vAlign w:val="center"/>
          </w:tcPr>
          <w:p w14:paraId="2C099D7F">
            <w:pPr>
              <w:widowControl/>
              <w:spacing w:line="560" w:lineRule="exact"/>
              <w:rPr>
                <w:rFonts w:cs="Times New Roman"/>
                <w:sz w:val="32"/>
                <w:szCs w:val="32"/>
              </w:rPr>
            </w:pPr>
            <w:r>
              <w:rPr>
                <w:rFonts w:hint="eastAsia" w:cs="宋体"/>
                <w:sz w:val="32"/>
                <w:szCs w:val="32"/>
              </w:rPr>
              <w:t>　</w:t>
            </w:r>
          </w:p>
        </w:tc>
      </w:tr>
      <w:tr w14:paraId="184A2E87">
        <w:tblPrEx>
          <w:tblCellMar>
            <w:top w:w="0" w:type="dxa"/>
            <w:left w:w="108" w:type="dxa"/>
            <w:bottom w:w="0" w:type="dxa"/>
            <w:right w:w="108" w:type="dxa"/>
          </w:tblCellMar>
        </w:tblPrEx>
        <w:trPr>
          <w:trHeight w:val="714" w:hRule="atLeast"/>
        </w:trPr>
        <w:tc>
          <w:tcPr>
            <w:tcW w:w="1429" w:type="dxa"/>
            <w:tcBorders>
              <w:top w:val="nil"/>
              <w:left w:val="single" w:color="auto" w:sz="4" w:space="0"/>
              <w:bottom w:val="single" w:color="auto" w:sz="4" w:space="0"/>
              <w:right w:val="single" w:color="auto" w:sz="4" w:space="0"/>
            </w:tcBorders>
            <w:vAlign w:val="center"/>
          </w:tcPr>
          <w:p w14:paraId="7FC21493">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539C59B1">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3029B2BE">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4ABAFBE3">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025E1DA4">
            <w:pPr>
              <w:widowControl/>
              <w:spacing w:line="560" w:lineRule="exact"/>
              <w:rPr>
                <w:rFonts w:cs="Times New Roman"/>
                <w:sz w:val="32"/>
                <w:szCs w:val="32"/>
              </w:rPr>
            </w:pPr>
            <w:r>
              <w:rPr>
                <w:rFonts w:hint="eastAsia" w:cs="宋体"/>
                <w:sz w:val="32"/>
                <w:szCs w:val="32"/>
              </w:rPr>
              <w:t>　</w:t>
            </w:r>
          </w:p>
        </w:tc>
        <w:tc>
          <w:tcPr>
            <w:tcW w:w="1638" w:type="dxa"/>
            <w:tcBorders>
              <w:top w:val="nil"/>
              <w:left w:val="nil"/>
              <w:bottom w:val="single" w:color="auto" w:sz="4" w:space="0"/>
              <w:right w:val="single" w:color="auto" w:sz="4" w:space="0"/>
            </w:tcBorders>
            <w:vAlign w:val="center"/>
          </w:tcPr>
          <w:p w14:paraId="6FA3DED0">
            <w:pPr>
              <w:widowControl/>
              <w:spacing w:line="560" w:lineRule="exact"/>
              <w:rPr>
                <w:rFonts w:cs="Times New Roman"/>
                <w:sz w:val="32"/>
                <w:szCs w:val="32"/>
              </w:rPr>
            </w:pPr>
            <w:r>
              <w:rPr>
                <w:rFonts w:hint="eastAsia" w:cs="宋体"/>
                <w:sz w:val="32"/>
                <w:szCs w:val="32"/>
              </w:rPr>
              <w:t>　</w:t>
            </w:r>
          </w:p>
        </w:tc>
        <w:tc>
          <w:tcPr>
            <w:tcW w:w="1638" w:type="dxa"/>
            <w:tcBorders>
              <w:top w:val="nil"/>
              <w:left w:val="nil"/>
              <w:bottom w:val="single" w:color="auto" w:sz="4" w:space="0"/>
              <w:right w:val="single" w:color="auto" w:sz="4" w:space="0"/>
            </w:tcBorders>
            <w:vAlign w:val="center"/>
          </w:tcPr>
          <w:p w14:paraId="7CA7C148">
            <w:pPr>
              <w:widowControl/>
              <w:spacing w:line="560" w:lineRule="exact"/>
              <w:rPr>
                <w:rFonts w:cs="Times New Roman"/>
                <w:sz w:val="32"/>
                <w:szCs w:val="32"/>
              </w:rPr>
            </w:pPr>
            <w:r>
              <w:rPr>
                <w:rFonts w:hint="eastAsia" w:cs="宋体"/>
                <w:sz w:val="32"/>
                <w:szCs w:val="32"/>
              </w:rPr>
              <w:t>　</w:t>
            </w:r>
          </w:p>
        </w:tc>
        <w:tc>
          <w:tcPr>
            <w:tcW w:w="914" w:type="dxa"/>
            <w:tcBorders>
              <w:top w:val="nil"/>
              <w:left w:val="nil"/>
              <w:bottom w:val="single" w:color="auto" w:sz="4" w:space="0"/>
              <w:right w:val="single" w:color="auto" w:sz="4" w:space="0"/>
            </w:tcBorders>
            <w:vAlign w:val="center"/>
          </w:tcPr>
          <w:p w14:paraId="4AAED154">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2FA16C31">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5EC0641F">
            <w:pPr>
              <w:widowControl/>
              <w:spacing w:line="560" w:lineRule="exact"/>
              <w:rPr>
                <w:rFonts w:cs="Times New Roman"/>
                <w:sz w:val="32"/>
                <w:szCs w:val="32"/>
              </w:rPr>
            </w:pPr>
            <w:r>
              <w:rPr>
                <w:rFonts w:hint="eastAsia" w:cs="宋体"/>
                <w:sz w:val="32"/>
                <w:szCs w:val="32"/>
              </w:rPr>
              <w:t>　</w:t>
            </w:r>
          </w:p>
        </w:tc>
        <w:tc>
          <w:tcPr>
            <w:tcW w:w="1129" w:type="dxa"/>
            <w:tcBorders>
              <w:top w:val="nil"/>
              <w:left w:val="nil"/>
              <w:bottom w:val="single" w:color="auto" w:sz="4" w:space="0"/>
              <w:right w:val="single" w:color="auto" w:sz="4" w:space="0"/>
            </w:tcBorders>
            <w:vAlign w:val="center"/>
          </w:tcPr>
          <w:p w14:paraId="15CDEEAD">
            <w:pPr>
              <w:widowControl/>
              <w:spacing w:line="560" w:lineRule="exact"/>
              <w:rPr>
                <w:rFonts w:cs="Times New Roman"/>
                <w:sz w:val="32"/>
                <w:szCs w:val="32"/>
              </w:rPr>
            </w:pPr>
            <w:r>
              <w:rPr>
                <w:rFonts w:hint="eastAsia" w:cs="宋体"/>
                <w:sz w:val="32"/>
                <w:szCs w:val="32"/>
              </w:rPr>
              <w:t>　</w:t>
            </w:r>
          </w:p>
        </w:tc>
      </w:tr>
      <w:tr w14:paraId="4CE3FDD0">
        <w:tblPrEx>
          <w:tblCellMar>
            <w:top w:w="0" w:type="dxa"/>
            <w:left w:w="108" w:type="dxa"/>
            <w:bottom w:w="0" w:type="dxa"/>
            <w:right w:w="108" w:type="dxa"/>
          </w:tblCellMar>
        </w:tblPrEx>
        <w:trPr>
          <w:trHeight w:val="485" w:hRule="atLeast"/>
        </w:trPr>
        <w:tc>
          <w:tcPr>
            <w:tcW w:w="1429" w:type="dxa"/>
            <w:tcBorders>
              <w:top w:val="nil"/>
              <w:left w:val="single" w:color="auto" w:sz="4" w:space="0"/>
              <w:bottom w:val="single" w:color="auto" w:sz="4" w:space="0"/>
              <w:right w:val="single" w:color="auto" w:sz="4" w:space="0"/>
            </w:tcBorders>
            <w:vAlign w:val="center"/>
          </w:tcPr>
          <w:p w14:paraId="70E7B60D">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043FF5BB">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24C2B4B7">
            <w:pPr>
              <w:widowControl/>
              <w:spacing w:line="560" w:lineRule="exact"/>
              <w:rPr>
                <w:rFonts w:cs="Times New Roman"/>
                <w:sz w:val="32"/>
                <w:szCs w:val="32"/>
              </w:rPr>
            </w:pPr>
            <w:r>
              <w:rPr>
                <w:rFonts w:hint="eastAsia" w:cs="宋体"/>
                <w:sz w:val="32"/>
                <w:szCs w:val="32"/>
              </w:rPr>
              <w:t>　</w:t>
            </w:r>
          </w:p>
        </w:tc>
        <w:tc>
          <w:tcPr>
            <w:tcW w:w="1333" w:type="dxa"/>
            <w:tcBorders>
              <w:top w:val="nil"/>
              <w:left w:val="nil"/>
              <w:bottom w:val="single" w:color="auto" w:sz="4" w:space="0"/>
              <w:right w:val="single" w:color="auto" w:sz="4" w:space="0"/>
            </w:tcBorders>
            <w:vAlign w:val="center"/>
          </w:tcPr>
          <w:p w14:paraId="5C9BA9A5">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5AC7FEA0">
            <w:pPr>
              <w:widowControl/>
              <w:spacing w:line="560" w:lineRule="exact"/>
              <w:rPr>
                <w:rFonts w:cs="Times New Roman"/>
                <w:sz w:val="32"/>
                <w:szCs w:val="32"/>
              </w:rPr>
            </w:pPr>
            <w:r>
              <w:rPr>
                <w:rFonts w:hint="eastAsia" w:cs="宋体"/>
                <w:sz w:val="32"/>
                <w:szCs w:val="32"/>
              </w:rPr>
              <w:t>　</w:t>
            </w:r>
          </w:p>
        </w:tc>
        <w:tc>
          <w:tcPr>
            <w:tcW w:w="1638" w:type="dxa"/>
            <w:tcBorders>
              <w:top w:val="nil"/>
              <w:left w:val="nil"/>
              <w:bottom w:val="single" w:color="auto" w:sz="4" w:space="0"/>
              <w:right w:val="single" w:color="auto" w:sz="4" w:space="0"/>
            </w:tcBorders>
            <w:vAlign w:val="center"/>
          </w:tcPr>
          <w:p w14:paraId="4580183E">
            <w:pPr>
              <w:widowControl/>
              <w:spacing w:line="560" w:lineRule="exact"/>
              <w:rPr>
                <w:rFonts w:cs="Times New Roman"/>
                <w:sz w:val="32"/>
                <w:szCs w:val="32"/>
              </w:rPr>
            </w:pPr>
            <w:r>
              <w:rPr>
                <w:rFonts w:hint="eastAsia" w:cs="宋体"/>
                <w:sz w:val="32"/>
                <w:szCs w:val="32"/>
              </w:rPr>
              <w:t>　</w:t>
            </w:r>
          </w:p>
        </w:tc>
        <w:tc>
          <w:tcPr>
            <w:tcW w:w="1638" w:type="dxa"/>
            <w:tcBorders>
              <w:top w:val="nil"/>
              <w:left w:val="nil"/>
              <w:bottom w:val="single" w:color="auto" w:sz="4" w:space="0"/>
              <w:right w:val="single" w:color="auto" w:sz="4" w:space="0"/>
            </w:tcBorders>
            <w:vAlign w:val="center"/>
          </w:tcPr>
          <w:p w14:paraId="5E2ECD60">
            <w:pPr>
              <w:widowControl/>
              <w:spacing w:line="560" w:lineRule="exact"/>
              <w:rPr>
                <w:rFonts w:cs="Times New Roman"/>
                <w:sz w:val="32"/>
                <w:szCs w:val="32"/>
              </w:rPr>
            </w:pPr>
            <w:r>
              <w:rPr>
                <w:rFonts w:hint="eastAsia" w:cs="宋体"/>
                <w:sz w:val="32"/>
                <w:szCs w:val="32"/>
              </w:rPr>
              <w:t>　</w:t>
            </w:r>
          </w:p>
        </w:tc>
        <w:tc>
          <w:tcPr>
            <w:tcW w:w="914" w:type="dxa"/>
            <w:tcBorders>
              <w:top w:val="nil"/>
              <w:left w:val="nil"/>
              <w:bottom w:val="single" w:color="auto" w:sz="4" w:space="0"/>
              <w:right w:val="single" w:color="auto" w:sz="4" w:space="0"/>
            </w:tcBorders>
            <w:vAlign w:val="center"/>
          </w:tcPr>
          <w:p w14:paraId="4489C752">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74B080C2">
            <w:pPr>
              <w:widowControl/>
              <w:spacing w:line="560" w:lineRule="exact"/>
              <w:rPr>
                <w:rFonts w:cs="Times New Roman"/>
                <w:sz w:val="32"/>
                <w:szCs w:val="32"/>
              </w:rPr>
            </w:pPr>
            <w:r>
              <w:rPr>
                <w:rFonts w:hint="eastAsia" w:cs="宋体"/>
                <w:sz w:val="32"/>
                <w:szCs w:val="32"/>
              </w:rPr>
              <w:t>　</w:t>
            </w:r>
          </w:p>
        </w:tc>
        <w:tc>
          <w:tcPr>
            <w:tcW w:w="1124" w:type="dxa"/>
            <w:tcBorders>
              <w:top w:val="nil"/>
              <w:left w:val="nil"/>
              <w:bottom w:val="single" w:color="auto" w:sz="4" w:space="0"/>
              <w:right w:val="single" w:color="auto" w:sz="4" w:space="0"/>
            </w:tcBorders>
            <w:vAlign w:val="center"/>
          </w:tcPr>
          <w:p w14:paraId="324888DD">
            <w:pPr>
              <w:widowControl/>
              <w:spacing w:line="560" w:lineRule="exact"/>
              <w:rPr>
                <w:rFonts w:cs="Times New Roman"/>
                <w:sz w:val="32"/>
                <w:szCs w:val="32"/>
              </w:rPr>
            </w:pPr>
            <w:r>
              <w:rPr>
                <w:rFonts w:hint="eastAsia" w:cs="宋体"/>
                <w:sz w:val="32"/>
                <w:szCs w:val="32"/>
              </w:rPr>
              <w:t>　</w:t>
            </w:r>
          </w:p>
        </w:tc>
        <w:tc>
          <w:tcPr>
            <w:tcW w:w="1129" w:type="dxa"/>
            <w:tcBorders>
              <w:top w:val="nil"/>
              <w:left w:val="nil"/>
              <w:bottom w:val="single" w:color="auto" w:sz="4" w:space="0"/>
              <w:right w:val="single" w:color="auto" w:sz="4" w:space="0"/>
            </w:tcBorders>
            <w:vAlign w:val="center"/>
          </w:tcPr>
          <w:p w14:paraId="23B75FD4">
            <w:pPr>
              <w:widowControl/>
              <w:spacing w:line="560" w:lineRule="exact"/>
              <w:rPr>
                <w:rFonts w:cs="Times New Roman"/>
                <w:sz w:val="32"/>
                <w:szCs w:val="32"/>
              </w:rPr>
            </w:pPr>
            <w:r>
              <w:rPr>
                <w:rFonts w:hint="eastAsia" w:cs="宋体"/>
                <w:sz w:val="32"/>
                <w:szCs w:val="32"/>
              </w:rPr>
              <w:t>　</w:t>
            </w:r>
          </w:p>
        </w:tc>
      </w:tr>
    </w:tbl>
    <w:p w14:paraId="618CFE6F">
      <w:pPr>
        <w:spacing w:line="560" w:lineRule="exact"/>
        <w:rPr>
          <w:rFonts w:cs="Times New Roman"/>
          <w:sz w:val="32"/>
          <w:szCs w:val="32"/>
        </w:rPr>
        <w:sectPr>
          <w:pgSz w:w="16840" w:h="11910" w:orient="landscape"/>
          <w:pgMar w:top="1701" w:right="1588" w:bottom="1701" w:left="1588" w:header="0" w:footer="1134" w:gutter="0"/>
          <w:cols w:space="720" w:num="1"/>
          <w:docGrid w:linePitch="299" w:charSpace="0"/>
        </w:sectPr>
      </w:pPr>
    </w:p>
    <w:tbl>
      <w:tblPr>
        <w:tblStyle w:val="5"/>
        <w:tblW w:w="10092" w:type="dxa"/>
        <w:jc w:val="center"/>
        <w:tblLayout w:type="fixed"/>
        <w:tblCellMar>
          <w:top w:w="0" w:type="dxa"/>
          <w:left w:w="108" w:type="dxa"/>
          <w:bottom w:w="0" w:type="dxa"/>
          <w:right w:w="108" w:type="dxa"/>
        </w:tblCellMar>
      </w:tblPr>
      <w:tblGrid>
        <w:gridCol w:w="2084"/>
        <w:gridCol w:w="995"/>
        <w:gridCol w:w="3506"/>
        <w:gridCol w:w="3507"/>
      </w:tblGrid>
      <w:tr w14:paraId="50ACA661">
        <w:tblPrEx>
          <w:tblCellMar>
            <w:top w:w="0" w:type="dxa"/>
            <w:left w:w="108" w:type="dxa"/>
            <w:bottom w:w="0" w:type="dxa"/>
            <w:right w:w="108" w:type="dxa"/>
          </w:tblCellMar>
        </w:tblPrEx>
        <w:trPr>
          <w:trHeight w:val="284" w:hRule="atLeast"/>
          <w:jc w:val="center"/>
        </w:trPr>
        <w:tc>
          <w:tcPr>
            <w:tcW w:w="2084" w:type="dxa"/>
            <w:tcBorders>
              <w:top w:val="nil"/>
              <w:left w:val="nil"/>
              <w:bottom w:val="nil"/>
              <w:right w:val="nil"/>
            </w:tcBorders>
            <w:noWrap/>
            <w:vAlign w:val="center"/>
          </w:tcPr>
          <w:p w14:paraId="7909DB69">
            <w:pPr>
              <w:widowControl/>
              <w:spacing w:line="560" w:lineRule="exact"/>
              <w:ind w:firstLine="627" w:firstLineChars="196"/>
              <w:rPr>
                <w:rFonts w:hint="eastAsia" w:ascii="仿宋_GB2312" w:hAnsi="黑体" w:eastAsia="仿宋_GB2312" w:cs="仿宋_GB2312"/>
                <w:sz w:val="32"/>
                <w:szCs w:val="32"/>
              </w:rPr>
            </w:pPr>
            <w:r>
              <w:rPr>
                <w:rFonts w:hint="eastAsia" w:ascii="仿宋_GB2312" w:hAnsi="黑体" w:eastAsia="仿宋_GB2312" w:cs="仿宋_GB2312"/>
                <w:sz w:val="32"/>
                <w:szCs w:val="32"/>
              </w:rPr>
              <w:t>附表</w:t>
            </w:r>
            <w:r>
              <w:rPr>
                <w:rFonts w:ascii="仿宋_GB2312" w:hAnsi="黑体" w:eastAsia="仿宋_GB2312" w:cs="仿宋_GB2312"/>
                <w:sz w:val="32"/>
                <w:szCs w:val="32"/>
              </w:rPr>
              <w:t>2</w:t>
            </w:r>
          </w:p>
        </w:tc>
        <w:tc>
          <w:tcPr>
            <w:tcW w:w="995" w:type="dxa"/>
            <w:tcBorders>
              <w:top w:val="nil"/>
              <w:left w:val="nil"/>
              <w:bottom w:val="nil"/>
              <w:right w:val="nil"/>
            </w:tcBorders>
            <w:noWrap/>
            <w:vAlign w:val="center"/>
          </w:tcPr>
          <w:p w14:paraId="0A334B5A">
            <w:pPr>
              <w:widowControl/>
              <w:spacing w:line="560" w:lineRule="exact"/>
              <w:rPr>
                <w:rFonts w:hint="eastAsia" w:ascii="仿宋_GB2312" w:hAnsi="黑体" w:eastAsia="仿宋_GB2312" w:cs="Times New Roman"/>
                <w:sz w:val="32"/>
                <w:szCs w:val="32"/>
              </w:rPr>
            </w:pPr>
          </w:p>
        </w:tc>
        <w:tc>
          <w:tcPr>
            <w:tcW w:w="3506" w:type="dxa"/>
            <w:tcBorders>
              <w:top w:val="nil"/>
              <w:left w:val="nil"/>
              <w:bottom w:val="nil"/>
              <w:right w:val="nil"/>
            </w:tcBorders>
            <w:noWrap/>
            <w:vAlign w:val="center"/>
          </w:tcPr>
          <w:p w14:paraId="6CDE6714">
            <w:pPr>
              <w:widowControl/>
              <w:spacing w:line="560" w:lineRule="exact"/>
              <w:rPr>
                <w:rFonts w:hint="eastAsia" w:ascii="仿宋_GB2312" w:hAnsi="黑体" w:eastAsia="仿宋_GB2312" w:cs="Times New Roman"/>
                <w:sz w:val="32"/>
                <w:szCs w:val="32"/>
              </w:rPr>
            </w:pPr>
          </w:p>
        </w:tc>
        <w:tc>
          <w:tcPr>
            <w:tcW w:w="3507" w:type="dxa"/>
            <w:tcBorders>
              <w:top w:val="nil"/>
              <w:left w:val="nil"/>
              <w:bottom w:val="nil"/>
              <w:right w:val="nil"/>
            </w:tcBorders>
            <w:noWrap/>
            <w:vAlign w:val="center"/>
          </w:tcPr>
          <w:p w14:paraId="2B254AA0">
            <w:pPr>
              <w:widowControl/>
              <w:spacing w:line="560" w:lineRule="exact"/>
              <w:rPr>
                <w:rFonts w:hint="eastAsia" w:ascii="仿宋_GB2312" w:hAnsi="黑体" w:eastAsia="仿宋_GB2312" w:cs="Times New Roman"/>
                <w:sz w:val="32"/>
                <w:szCs w:val="32"/>
              </w:rPr>
            </w:pPr>
          </w:p>
        </w:tc>
      </w:tr>
      <w:tr w14:paraId="2CD9BD8D">
        <w:tblPrEx>
          <w:tblCellMar>
            <w:top w:w="0" w:type="dxa"/>
            <w:left w:w="108" w:type="dxa"/>
            <w:bottom w:w="0" w:type="dxa"/>
            <w:right w:w="108" w:type="dxa"/>
          </w:tblCellMar>
        </w:tblPrEx>
        <w:trPr>
          <w:trHeight w:val="284" w:hRule="atLeast"/>
          <w:jc w:val="center"/>
        </w:trPr>
        <w:tc>
          <w:tcPr>
            <w:tcW w:w="10092" w:type="dxa"/>
            <w:gridSpan w:val="4"/>
            <w:tcBorders>
              <w:top w:val="nil"/>
              <w:left w:val="nil"/>
              <w:bottom w:val="nil"/>
              <w:right w:val="nil"/>
            </w:tcBorders>
            <w:noWrap/>
            <w:vAlign w:val="center"/>
          </w:tcPr>
          <w:p w14:paraId="0A77B14E">
            <w:pPr>
              <w:widowControl/>
              <w:spacing w:line="560" w:lineRule="exact"/>
              <w:ind w:firstLine="2249" w:firstLineChars="700"/>
              <w:rPr>
                <w:rFonts w:ascii="宋体" w:cs="Times New Roman"/>
                <w:b/>
                <w:bCs/>
                <w:sz w:val="32"/>
                <w:szCs w:val="32"/>
              </w:rPr>
            </w:pPr>
            <w:r>
              <w:rPr>
                <w:rFonts w:hint="eastAsia" w:ascii="宋体" w:hAnsi="宋体" w:cs="宋体"/>
                <w:b/>
                <w:bCs/>
                <w:sz w:val="32"/>
                <w:szCs w:val="32"/>
              </w:rPr>
              <w:t>南华镇污水处理厂运营项目问题清单</w:t>
            </w:r>
          </w:p>
        </w:tc>
      </w:tr>
      <w:tr w14:paraId="520B937A">
        <w:tblPrEx>
          <w:tblCellMar>
            <w:top w:w="0" w:type="dxa"/>
            <w:left w:w="108" w:type="dxa"/>
            <w:bottom w:w="0" w:type="dxa"/>
            <w:right w:w="108" w:type="dxa"/>
          </w:tblCellMar>
        </w:tblPrEx>
        <w:trPr>
          <w:trHeight w:val="284" w:hRule="atLeast"/>
          <w:jc w:val="center"/>
        </w:trPr>
        <w:tc>
          <w:tcPr>
            <w:tcW w:w="2084" w:type="dxa"/>
            <w:tcBorders>
              <w:top w:val="single" w:color="auto" w:sz="4" w:space="0"/>
              <w:left w:val="single" w:color="auto" w:sz="4" w:space="0"/>
              <w:bottom w:val="single" w:color="auto" w:sz="4" w:space="0"/>
              <w:right w:val="single" w:color="auto" w:sz="4" w:space="0"/>
            </w:tcBorders>
            <w:noWrap/>
            <w:vAlign w:val="center"/>
          </w:tcPr>
          <w:p w14:paraId="38499740">
            <w:pPr>
              <w:widowControl/>
              <w:spacing w:line="560" w:lineRule="exact"/>
              <w:rPr>
                <w:rFonts w:cs="Times New Roman"/>
                <w:b/>
                <w:bCs/>
                <w:sz w:val="32"/>
                <w:szCs w:val="32"/>
              </w:rPr>
            </w:pPr>
            <w:r>
              <w:rPr>
                <w:rFonts w:hint="eastAsia" w:cs="宋体"/>
                <w:b/>
                <w:bCs/>
                <w:sz w:val="32"/>
                <w:szCs w:val="32"/>
              </w:rPr>
              <w:t>问题分类</w:t>
            </w:r>
          </w:p>
        </w:tc>
        <w:tc>
          <w:tcPr>
            <w:tcW w:w="995" w:type="dxa"/>
            <w:tcBorders>
              <w:top w:val="single" w:color="auto" w:sz="4" w:space="0"/>
              <w:left w:val="nil"/>
              <w:bottom w:val="single" w:color="auto" w:sz="4" w:space="0"/>
              <w:right w:val="single" w:color="auto" w:sz="4" w:space="0"/>
            </w:tcBorders>
            <w:noWrap/>
            <w:vAlign w:val="center"/>
          </w:tcPr>
          <w:p w14:paraId="7A3C4199">
            <w:pPr>
              <w:widowControl/>
              <w:spacing w:line="560" w:lineRule="exact"/>
              <w:rPr>
                <w:rFonts w:cs="Times New Roman"/>
                <w:b/>
                <w:bCs/>
                <w:sz w:val="32"/>
                <w:szCs w:val="32"/>
              </w:rPr>
            </w:pPr>
            <w:r>
              <w:rPr>
                <w:rFonts w:hint="eastAsia" w:cs="宋体"/>
                <w:b/>
                <w:bCs/>
                <w:sz w:val="32"/>
                <w:szCs w:val="32"/>
              </w:rPr>
              <w:t>序号</w:t>
            </w:r>
          </w:p>
        </w:tc>
        <w:tc>
          <w:tcPr>
            <w:tcW w:w="3506" w:type="dxa"/>
            <w:tcBorders>
              <w:top w:val="single" w:color="auto" w:sz="4" w:space="0"/>
              <w:left w:val="nil"/>
              <w:bottom w:val="single" w:color="auto" w:sz="4" w:space="0"/>
              <w:right w:val="single" w:color="auto" w:sz="4" w:space="0"/>
            </w:tcBorders>
            <w:noWrap/>
            <w:vAlign w:val="center"/>
          </w:tcPr>
          <w:p w14:paraId="74AD7221">
            <w:pPr>
              <w:widowControl/>
              <w:spacing w:line="560" w:lineRule="exact"/>
              <w:rPr>
                <w:rFonts w:cs="Times New Roman"/>
                <w:b/>
                <w:bCs/>
                <w:sz w:val="32"/>
                <w:szCs w:val="32"/>
              </w:rPr>
            </w:pPr>
            <w:r>
              <w:rPr>
                <w:rFonts w:hint="eastAsia" w:cs="宋体"/>
                <w:b/>
                <w:bCs/>
                <w:sz w:val="32"/>
                <w:szCs w:val="32"/>
              </w:rPr>
              <w:t>项目责任单位</w:t>
            </w:r>
          </w:p>
        </w:tc>
        <w:tc>
          <w:tcPr>
            <w:tcW w:w="3507" w:type="dxa"/>
            <w:tcBorders>
              <w:top w:val="single" w:color="auto" w:sz="4" w:space="0"/>
              <w:left w:val="nil"/>
              <w:bottom w:val="single" w:color="auto" w:sz="4" w:space="0"/>
              <w:right w:val="single" w:color="auto" w:sz="4" w:space="0"/>
            </w:tcBorders>
            <w:noWrap/>
            <w:vAlign w:val="center"/>
          </w:tcPr>
          <w:p w14:paraId="3D005D64">
            <w:pPr>
              <w:widowControl/>
              <w:spacing w:line="560" w:lineRule="exact"/>
              <w:rPr>
                <w:rFonts w:cs="Times New Roman"/>
                <w:b/>
                <w:bCs/>
                <w:sz w:val="32"/>
                <w:szCs w:val="32"/>
              </w:rPr>
            </w:pPr>
            <w:r>
              <w:rPr>
                <w:rFonts w:hint="eastAsia" w:cs="宋体"/>
                <w:b/>
                <w:bCs/>
                <w:sz w:val="32"/>
                <w:szCs w:val="32"/>
              </w:rPr>
              <w:t>问题描述</w:t>
            </w:r>
          </w:p>
        </w:tc>
      </w:tr>
      <w:tr w14:paraId="56EB1E68">
        <w:tblPrEx>
          <w:tblCellMar>
            <w:top w:w="0" w:type="dxa"/>
            <w:left w:w="108" w:type="dxa"/>
            <w:bottom w:w="0" w:type="dxa"/>
            <w:right w:w="108" w:type="dxa"/>
          </w:tblCellMar>
        </w:tblPrEx>
        <w:trPr>
          <w:trHeight w:val="284" w:hRule="atLeast"/>
          <w:jc w:val="center"/>
        </w:trPr>
        <w:tc>
          <w:tcPr>
            <w:tcW w:w="2084" w:type="dxa"/>
            <w:vMerge w:val="restart"/>
            <w:tcBorders>
              <w:top w:val="nil"/>
              <w:left w:val="single" w:color="auto" w:sz="4" w:space="0"/>
              <w:bottom w:val="single" w:color="auto" w:sz="4" w:space="0"/>
              <w:right w:val="single" w:color="auto" w:sz="4" w:space="0"/>
            </w:tcBorders>
            <w:vAlign w:val="center"/>
          </w:tcPr>
          <w:p w14:paraId="21259A78">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项目决策方面存在的问题</w:t>
            </w:r>
          </w:p>
        </w:tc>
        <w:tc>
          <w:tcPr>
            <w:tcW w:w="995" w:type="dxa"/>
            <w:tcBorders>
              <w:top w:val="nil"/>
              <w:left w:val="nil"/>
              <w:bottom w:val="single" w:color="auto" w:sz="4" w:space="0"/>
              <w:right w:val="single" w:color="auto" w:sz="4" w:space="0"/>
            </w:tcBorders>
            <w:noWrap/>
            <w:vAlign w:val="center"/>
          </w:tcPr>
          <w:p w14:paraId="3AA3BDB1">
            <w:pPr>
              <w:widowControl/>
              <w:spacing w:line="560" w:lineRule="exact"/>
              <w:rPr>
                <w:rFonts w:hint="eastAsia" w:ascii="仿宋" w:hAnsi="仿宋" w:eastAsia="仿宋" w:cs="仿宋"/>
                <w:sz w:val="32"/>
                <w:szCs w:val="32"/>
              </w:rPr>
            </w:pPr>
            <w:r>
              <w:rPr>
                <w:rFonts w:ascii="仿宋" w:hAnsi="仿宋" w:eastAsia="仿宋" w:cs="仿宋"/>
                <w:sz w:val="32"/>
                <w:szCs w:val="32"/>
              </w:rPr>
              <w:t>1</w:t>
            </w:r>
          </w:p>
        </w:tc>
        <w:tc>
          <w:tcPr>
            <w:tcW w:w="3506" w:type="dxa"/>
            <w:tcBorders>
              <w:top w:val="nil"/>
              <w:left w:val="nil"/>
              <w:bottom w:val="single" w:color="auto" w:sz="4" w:space="0"/>
              <w:right w:val="single" w:color="auto" w:sz="4" w:space="0"/>
            </w:tcBorders>
            <w:noWrap/>
            <w:vAlign w:val="center"/>
          </w:tcPr>
          <w:p w14:paraId="36B10FCF">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南华镇人民政府</w:t>
            </w:r>
          </w:p>
        </w:tc>
        <w:tc>
          <w:tcPr>
            <w:tcW w:w="3507" w:type="dxa"/>
            <w:tcBorders>
              <w:top w:val="nil"/>
              <w:left w:val="nil"/>
              <w:bottom w:val="single" w:color="auto" w:sz="4" w:space="0"/>
              <w:right w:val="single" w:color="auto" w:sz="4" w:space="0"/>
            </w:tcBorders>
            <w:noWrap/>
            <w:vAlign w:val="center"/>
          </w:tcPr>
          <w:p w14:paraId="41B8503D">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无</w:t>
            </w:r>
          </w:p>
        </w:tc>
      </w:tr>
      <w:tr w14:paraId="66BB2783">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14FA6B5A">
            <w:pPr>
              <w:widowControl/>
              <w:spacing w:line="560" w:lineRule="exact"/>
              <w:rPr>
                <w:rFonts w:hint="eastAsia" w:ascii="仿宋" w:hAnsi="仿宋" w:eastAsia="仿宋" w:cs="Times New Roman"/>
                <w:sz w:val="32"/>
                <w:szCs w:val="32"/>
              </w:rPr>
            </w:pPr>
          </w:p>
        </w:tc>
        <w:tc>
          <w:tcPr>
            <w:tcW w:w="995" w:type="dxa"/>
            <w:tcBorders>
              <w:top w:val="nil"/>
              <w:left w:val="nil"/>
              <w:bottom w:val="single" w:color="auto" w:sz="4" w:space="0"/>
              <w:right w:val="single" w:color="auto" w:sz="4" w:space="0"/>
            </w:tcBorders>
            <w:noWrap/>
            <w:vAlign w:val="center"/>
          </w:tcPr>
          <w:p w14:paraId="65F520ED">
            <w:pPr>
              <w:widowControl/>
              <w:spacing w:line="560" w:lineRule="exact"/>
              <w:rPr>
                <w:rFonts w:hint="eastAsia" w:ascii="仿宋" w:hAnsi="仿宋" w:eastAsia="仿宋" w:cs="仿宋"/>
                <w:sz w:val="32"/>
                <w:szCs w:val="32"/>
              </w:rPr>
            </w:pPr>
            <w:r>
              <w:rPr>
                <w:rFonts w:ascii="仿宋" w:hAnsi="仿宋" w:eastAsia="仿宋" w:cs="仿宋"/>
                <w:sz w:val="32"/>
                <w:szCs w:val="32"/>
              </w:rPr>
              <w:t>2</w:t>
            </w:r>
          </w:p>
        </w:tc>
        <w:tc>
          <w:tcPr>
            <w:tcW w:w="3506" w:type="dxa"/>
            <w:tcBorders>
              <w:top w:val="nil"/>
              <w:left w:val="nil"/>
              <w:bottom w:val="single" w:color="auto" w:sz="4" w:space="0"/>
              <w:right w:val="single" w:color="auto" w:sz="4" w:space="0"/>
            </w:tcBorders>
            <w:noWrap/>
            <w:vAlign w:val="center"/>
          </w:tcPr>
          <w:p w14:paraId="07FD1E02">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1474FA83">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7A432D2E">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34E7C813">
            <w:pPr>
              <w:widowControl/>
              <w:spacing w:line="560" w:lineRule="exact"/>
              <w:rPr>
                <w:rFonts w:hint="eastAsia" w:ascii="仿宋" w:hAnsi="仿宋" w:eastAsia="仿宋" w:cs="Times New Roman"/>
                <w:sz w:val="32"/>
                <w:szCs w:val="32"/>
              </w:rPr>
            </w:pPr>
          </w:p>
        </w:tc>
        <w:tc>
          <w:tcPr>
            <w:tcW w:w="995" w:type="dxa"/>
            <w:tcBorders>
              <w:top w:val="nil"/>
              <w:left w:val="nil"/>
              <w:bottom w:val="nil"/>
              <w:right w:val="nil"/>
            </w:tcBorders>
            <w:noWrap/>
            <w:vAlign w:val="center"/>
          </w:tcPr>
          <w:p w14:paraId="3AF34191">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w:t>
            </w:r>
          </w:p>
        </w:tc>
        <w:tc>
          <w:tcPr>
            <w:tcW w:w="3506" w:type="dxa"/>
            <w:tcBorders>
              <w:top w:val="nil"/>
              <w:left w:val="single" w:color="auto" w:sz="4" w:space="0"/>
              <w:bottom w:val="single" w:color="auto" w:sz="4" w:space="0"/>
              <w:right w:val="single" w:color="auto" w:sz="4" w:space="0"/>
            </w:tcBorders>
            <w:noWrap/>
            <w:vAlign w:val="center"/>
          </w:tcPr>
          <w:p w14:paraId="21272827">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763C16CA">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5B5A43F0">
        <w:tblPrEx>
          <w:tblCellMar>
            <w:top w:w="0" w:type="dxa"/>
            <w:left w:w="108" w:type="dxa"/>
            <w:bottom w:w="0" w:type="dxa"/>
            <w:right w:w="108" w:type="dxa"/>
          </w:tblCellMar>
        </w:tblPrEx>
        <w:trPr>
          <w:trHeight w:val="284" w:hRule="atLeast"/>
          <w:jc w:val="center"/>
        </w:trPr>
        <w:tc>
          <w:tcPr>
            <w:tcW w:w="2084" w:type="dxa"/>
            <w:vMerge w:val="restart"/>
            <w:tcBorders>
              <w:top w:val="nil"/>
              <w:left w:val="single" w:color="auto" w:sz="4" w:space="0"/>
              <w:bottom w:val="single" w:color="auto" w:sz="4" w:space="0"/>
              <w:right w:val="single" w:color="auto" w:sz="4" w:space="0"/>
            </w:tcBorders>
            <w:noWrap/>
            <w:vAlign w:val="center"/>
          </w:tcPr>
          <w:p w14:paraId="7E2929D4">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资金管理方面存在的问题</w:t>
            </w:r>
          </w:p>
        </w:tc>
        <w:tc>
          <w:tcPr>
            <w:tcW w:w="995" w:type="dxa"/>
            <w:tcBorders>
              <w:top w:val="single" w:color="auto" w:sz="4" w:space="0"/>
              <w:left w:val="nil"/>
              <w:bottom w:val="single" w:color="auto" w:sz="4" w:space="0"/>
              <w:right w:val="single" w:color="auto" w:sz="4" w:space="0"/>
            </w:tcBorders>
            <w:noWrap/>
            <w:vAlign w:val="center"/>
          </w:tcPr>
          <w:p w14:paraId="0C36AE6B">
            <w:pPr>
              <w:widowControl/>
              <w:spacing w:line="560" w:lineRule="exact"/>
              <w:rPr>
                <w:rFonts w:hint="eastAsia" w:ascii="仿宋" w:hAnsi="仿宋" w:eastAsia="仿宋" w:cs="仿宋"/>
                <w:sz w:val="32"/>
                <w:szCs w:val="32"/>
              </w:rPr>
            </w:pPr>
            <w:r>
              <w:rPr>
                <w:rFonts w:ascii="仿宋" w:hAnsi="仿宋" w:eastAsia="仿宋" w:cs="仿宋"/>
                <w:sz w:val="32"/>
                <w:szCs w:val="32"/>
              </w:rPr>
              <w:t>1</w:t>
            </w:r>
          </w:p>
        </w:tc>
        <w:tc>
          <w:tcPr>
            <w:tcW w:w="3506" w:type="dxa"/>
            <w:tcBorders>
              <w:top w:val="nil"/>
              <w:left w:val="nil"/>
              <w:bottom w:val="single" w:color="auto" w:sz="4" w:space="0"/>
              <w:right w:val="single" w:color="auto" w:sz="4" w:space="0"/>
            </w:tcBorders>
            <w:noWrap/>
            <w:vAlign w:val="center"/>
          </w:tcPr>
          <w:p w14:paraId="28CDF0DA">
            <w:pPr>
              <w:widowControl/>
              <w:spacing w:line="560" w:lineRule="exact"/>
              <w:rPr>
                <w:rFonts w:hint="eastAsia" w:ascii="仿宋" w:hAnsi="仿宋" w:eastAsia="仿宋" w:cs="Times New Roman"/>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南华镇人民政府</w:t>
            </w:r>
          </w:p>
        </w:tc>
        <w:tc>
          <w:tcPr>
            <w:tcW w:w="3507" w:type="dxa"/>
            <w:tcBorders>
              <w:top w:val="nil"/>
              <w:left w:val="nil"/>
              <w:bottom w:val="single" w:color="auto" w:sz="4" w:space="0"/>
              <w:right w:val="single" w:color="auto" w:sz="4" w:space="0"/>
            </w:tcBorders>
            <w:noWrap/>
            <w:vAlign w:val="center"/>
          </w:tcPr>
          <w:p w14:paraId="7F9D9496">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无</w:t>
            </w:r>
          </w:p>
        </w:tc>
      </w:tr>
      <w:tr w14:paraId="5785DAC3">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30ED3B5C">
            <w:pPr>
              <w:widowControl/>
              <w:spacing w:line="560" w:lineRule="exact"/>
              <w:rPr>
                <w:rFonts w:hint="eastAsia" w:ascii="仿宋" w:hAnsi="仿宋" w:eastAsia="仿宋" w:cs="Times New Roman"/>
                <w:sz w:val="32"/>
                <w:szCs w:val="32"/>
              </w:rPr>
            </w:pPr>
          </w:p>
        </w:tc>
        <w:tc>
          <w:tcPr>
            <w:tcW w:w="995" w:type="dxa"/>
            <w:tcBorders>
              <w:top w:val="nil"/>
              <w:left w:val="nil"/>
              <w:bottom w:val="single" w:color="auto" w:sz="4" w:space="0"/>
              <w:right w:val="single" w:color="auto" w:sz="4" w:space="0"/>
            </w:tcBorders>
            <w:noWrap/>
            <w:vAlign w:val="center"/>
          </w:tcPr>
          <w:p w14:paraId="180B04DA">
            <w:pPr>
              <w:widowControl/>
              <w:spacing w:line="560" w:lineRule="exact"/>
              <w:rPr>
                <w:rFonts w:hint="eastAsia" w:ascii="仿宋" w:hAnsi="仿宋" w:eastAsia="仿宋" w:cs="仿宋"/>
                <w:sz w:val="32"/>
                <w:szCs w:val="32"/>
              </w:rPr>
            </w:pPr>
            <w:r>
              <w:rPr>
                <w:rFonts w:ascii="仿宋" w:hAnsi="仿宋" w:eastAsia="仿宋" w:cs="仿宋"/>
                <w:sz w:val="32"/>
                <w:szCs w:val="32"/>
              </w:rPr>
              <w:t>2</w:t>
            </w:r>
          </w:p>
        </w:tc>
        <w:tc>
          <w:tcPr>
            <w:tcW w:w="3506" w:type="dxa"/>
            <w:tcBorders>
              <w:top w:val="nil"/>
              <w:left w:val="nil"/>
              <w:bottom w:val="single" w:color="auto" w:sz="4" w:space="0"/>
              <w:right w:val="single" w:color="auto" w:sz="4" w:space="0"/>
            </w:tcBorders>
            <w:noWrap/>
            <w:vAlign w:val="center"/>
          </w:tcPr>
          <w:p w14:paraId="79C5DD28">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36C2500D">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628CA090">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45265517">
            <w:pPr>
              <w:widowControl/>
              <w:spacing w:line="560" w:lineRule="exact"/>
              <w:rPr>
                <w:rFonts w:hint="eastAsia" w:ascii="仿宋" w:hAnsi="仿宋" w:eastAsia="仿宋" w:cs="Times New Roman"/>
                <w:sz w:val="32"/>
                <w:szCs w:val="32"/>
              </w:rPr>
            </w:pPr>
          </w:p>
        </w:tc>
        <w:tc>
          <w:tcPr>
            <w:tcW w:w="995" w:type="dxa"/>
            <w:tcBorders>
              <w:top w:val="nil"/>
              <w:left w:val="nil"/>
              <w:bottom w:val="nil"/>
              <w:right w:val="nil"/>
            </w:tcBorders>
            <w:noWrap/>
            <w:vAlign w:val="center"/>
          </w:tcPr>
          <w:p w14:paraId="6A9B1C8F">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w:t>
            </w:r>
          </w:p>
        </w:tc>
        <w:tc>
          <w:tcPr>
            <w:tcW w:w="3506" w:type="dxa"/>
            <w:tcBorders>
              <w:top w:val="nil"/>
              <w:left w:val="single" w:color="auto" w:sz="4" w:space="0"/>
              <w:bottom w:val="single" w:color="auto" w:sz="4" w:space="0"/>
              <w:right w:val="single" w:color="auto" w:sz="4" w:space="0"/>
            </w:tcBorders>
            <w:noWrap/>
            <w:vAlign w:val="center"/>
          </w:tcPr>
          <w:p w14:paraId="5BA3858B">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2B471F68">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0B9719C1">
        <w:tblPrEx>
          <w:tblCellMar>
            <w:top w:w="0" w:type="dxa"/>
            <w:left w:w="108" w:type="dxa"/>
            <w:bottom w:w="0" w:type="dxa"/>
            <w:right w:w="108" w:type="dxa"/>
          </w:tblCellMar>
        </w:tblPrEx>
        <w:trPr>
          <w:trHeight w:val="284" w:hRule="atLeast"/>
          <w:jc w:val="center"/>
        </w:trPr>
        <w:tc>
          <w:tcPr>
            <w:tcW w:w="2084" w:type="dxa"/>
            <w:vMerge w:val="restart"/>
            <w:tcBorders>
              <w:top w:val="nil"/>
              <w:left w:val="single" w:color="auto" w:sz="4" w:space="0"/>
              <w:bottom w:val="single" w:color="auto" w:sz="4" w:space="0"/>
              <w:right w:val="single" w:color="auto" w:sz="4" w:space="0"/>
            </w:tcBorders>
            <w:noWrap/>
            <w:vAlign w:val="center"/>
          </w:tcPr>
          <w:p w14:paraId="47F88E9A">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项目实施方面存在的问题</w:t>
            </w:r>
          </w:p>
        </w:tc>
        <w:tc>
          <w:tcPr>
            <w:tcW w:w="995" w:type="dxa"/>
            <w:tcBorders>
              <w:top w:val="single" w:color="auto" w:sz="4" w:space="0"/>
              <w:left w:val="nil"/>
              <w:bottom w:val="single" w:color="auto" w:sz="4" w:space="0"/>
              <w:right w:val="single" w:color="auto" w:sz="4" w:space="0"/>
            </w:tcBorders>
            <w:noWrap/>
            <w:vAlign w:val="center"/>
          </w:tcPr>
          <w:p w14:paraId="25837F11">
            <w:pPr>
              <w:widowControl/>
              <w:spacing w:line="560" w:lineRule="exact"/>
              <w:rPr>
                <w:rFonts w:hint="eastAsia" w:ascii="仿宋" w:hAnsi="仿宋" w:eastAsia="仿宋" w:cs="仿宋"/>
                <w:sz w:val="32"/>
                <w:szCs w:val="32"/>
              </w:rPr>
            </w:pPr>
            <w:r>
              <w:rPr>
                <w:rFonts w:ascii="仿宋" w:hAnsi="仿宋" w:eastAsia="仿宋" w:cs="仿宋"/>
                <w:sz w:val="32"/>
                <w:szCs w:val="32"/>
              </w:rPr>
              <w:t>1</w:t>
            </w:r>
          </w:p>
        </w:tc>
        <w:tc>
          <w:tcPr>
            <w:tcW w:w="3506" w:type="dxa"/>
            <w:tcBorders>
              <w:top w:val="nil"/>
              <w:left w:val="nil"/>
              <w:bottom w:val="single" w:color="auto" w:sz="4" w:space="0"/>
              <w:right w:val="single" w:color="auto" w:sz="4" w:space="0"/>
            </w:tcBorders>
            <w:noWrap/>
            <w:vAlign w:val="center"/>
          </w:tcPr>
          <w:p w14:paraId="40AE6FD7">
            <w:pPr>
              <w:widowControl/>
              <w:spacing w:line="560" w:lineRule="exact"/>
              <w:rPr>
                <w:rFonts w:hint="eastAsia" w:ascii="仿宋" w:hAnsi="仿宋" w:eastAsia="仿宋" w:cs="Times New Roman"/>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南华镇人民政府</w:t>
            </w:r>
          </w:p>
        </w:tc>
        <w:tc>
          <w:tcPr>
            <w:tcW w:w="3507" w:type="dxa"/>
            <w:tcBorders>
              <w:top w:val="nil"/>
              <w:left w:val="nil"/>
              <w:bottom w:val="single" w:color="auto" w:sz="4" w:space="0"/>
              <w:right w:val="single" w:color="auto" w:sz="4" w:space="0"/>
            </w:tcBorders>
            <w:noWrap/>
            <w:vAlign w:val="center"/>
          </w:tcPr>
          <w:p w14:paraId="7F055B93">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无</w:t>
            </w:r>
          </w:p>
        </w:tc>
      </w:tr>
      <w:tr w14:paraId="2C9A67E3">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3EC3C4A0">
            <w:pPr>
              <w:widowControl/>
              <w:spacing w:line="560" w:lineRule="exact"/>
              <w:rPr>
                <w:rFonts w:hint="eastAsia" w:ascii="仿宋" w:hAnsi="仿宋" w:eastAsia="仿宋" w:cs="Times New Roman"/>
                <w:sz w:val="32"/>
                <w:szCs w:val="32"/>
              </w:rPr>
            </w:pPr>
          </w:p>
        </w:tc>
        <w:tc>
          <w:tcPr>
            <w:tcW w:w="995" w:type="dxa"/>
            <w:tcBorders>
              <w:top w:val="nil"/>
              <w:left w:val="nil"/>
              <w:bottom w:val="single" w:color="auto" w:sz="4" w:space="0"/>
              <w:right w:val="single" w:color="auto" w:sz="4" w:space="0"/>
            </w:tcBorders>
            <w:noWrap/>
            <w:vAlign w:val="center"/>
          </w:tcPr>
          <w:p w14:paraId="775AFAD9">
            <w:pPr>
              <w:widowControl/>
              <w:spacing w:line="560" w:lineRule="exact"/>
              <w:rPr>
                <w:rFonts w:hint="eastAsia" w:ascii="仿宋" w:hAnsi="仿宋" w:eastAsia="仿宋" w:cs="仿宋"/>
                <w:sz w:val="32"/>
                <w:szCs w:val="32"/>
              </w:rPr>
            </w:pPr>
            <w:r>
              <w:rPr>
                <w:rFonts w:ascii="仿宋" w:hAnsi="仿宋" w:eastAsia="仿宋" w:cs="仿宋"/>
                <w:sz w:val="32"/>
                <w:szCs w:val="32"/>
              </w:rPr>
              <w:t>2</w:t>
            </w:r>
          </w:p>
        </w:tc>
        <w:tc>
          <w:tcPr>
            <w:tcW w:w="3506" w:type="dxa"/>
            <w:tcBorders>
              <w:top w:val="nil"/>
              <w:left w:val="nil"/>
              <w:bottom w:val="single" w:color="auto" w:sz="4" w:space="0"/>
              <w:right w:val="single" w:color="auto" w:sz="4" w:space="0"/>
            </w:tcBorders>
            <w:noWrap/>
            <w:vAlign w:val="center"/>
          </w:tcPr>
          <w:p w14:paraId="78565708">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2355C605">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16DC1B35">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3A90408A">
            <w:pPr>
              <w:widowControl/>
              <w:spacing w:line="560" w:lineRule="exact"/>
              <w:rPr>
                <w:rFonts w:hint="eastAsia" w:ascii="仿宋" w:hAnsi="仿宋" w:eastAsia="仿宋" w:cs="Times New Roman"/>
                <w:sz w:val="32"/>
                <w:szCs w:val="32"/>
              </w:rPr>
            </w:pPr>
          </w:p>
        </w:tc>
        <w:tc>
          <w:tcPr>
            <w:tcW w:w="995" w:type="dxa"/>
            <w:tcBorders>
              <w:top w:val="nil"/>
              <w:left w:val="nil"/>
              <w:bottom w:val="nil"/>
              <w:right w:val="nil"/>
            </w:tcBorders>
            <w:noWrap/>
            <w:vAlign w:val="center"/>
          </w:tcPr>
          <w:p w14:paraId="4B08B623">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w:t>
            </w:r>
          </w:p>
        </w:tc>
        <w:tc>
          <w:tcPr>
            <w:tcW w:w="3506" w:type="dxa"/>
            <w:tcBorders>
              <w:top w:val="nil"/>
              <w:left w:val="single" w:color="auto" w:sz="4" w:space="0"/>
              <w:bottom w:val="single" w:color="auto" w:sz="4" w:space="0"/>
              <w:right w:val="single" w:color="auto" w:sz="4" w:space="0"/>
            </w:tcBorders>
            <w:noWrap/>
            <w:vAlign w:val="center"/>
          </w:tcPr>
          <w:p w14:paraId="28404BE9">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45ACF266">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0D7DFC24">
        <w:tblPrEx>
          <w:tblCellMar>
            <w:top w:w="0" w:type="dxa"/>
            <w:left w:w="108" w:type="dxa"/>
            <w:bottom w:w="0" w:type="dxa"/>
            <w:right w:w="108" w:type="dxa"/>
          </w:tblCellMar>
        </w:tblPrEx>
        <w:trPr>
          <w:trHeight w:val="284" w:hRule="atLeast"/>
          <w:jc w:val="center"/>
        </w:trPr>
        <w:tc>
          <w:tcPr>
            <w:tcW w:w="2084" w:type="dxa"/>
            <w:vMerge w:val="restart"/>
            <w:tcBorders>
              <w:top w:val="nil"/>
              <w:left w:val="single" w:color="auto" w:sz="4" w:space="0"/>
              <w:bottom w:val="single" w:color="auto" w:sz="4" w:space="0"/>
              <w:right w:val="single" w:color="auto" w:sz="4" w:space="0"/>
            </w:tcBorders>
            <w:noWrap/>
            <w:vAlign w:val="center"/>
          </w:tcPr>
          <w:p w14:paraId="150C862A">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项目产出方面存在的问题</w:t>
            </w:r>
          </w:p>
        </w:tc>
        <w:tc>
          <w:tcPr>
            <w:tcW w:w="995" w:type="dxa"/>
            <w:tcBorders>
              <w:top w:val="single" w:color="auto" w:sz="4" w:space="0"/>
              <w:left w:val="nil"/>
              <w:bottom w:val="single" w:color="auto" w:sz="4" w:space="0"/>
              <w:right w:val="single" w:color="auto" w:sz="4" w:space="0"/>
            </w:tcBorders>
            <w:noWrap/>
            <w:vAlign w:val="center"/>
          </w:tcPr>
          <w:p w14:paraId="1C83BECB">
            <w:pPr>
              <w:widowControl/>
              <w:spacing w:line="560" w:lineRule="exact"/>
              <w:rPr>
                <w:rFonts w:hint="eastAsia" w:ascii="仿宋" w:hAnsi="仿宋" w:eastAsia="仿宋" w:cs="仿宋"/>
                <w:sz w:val="32"/>
                <w:szCs w:val="32"/>
              </w:rPr>
            </w:pPr>
            <w:r>
              <w:rPr>
                <w:rFonts w:ascii="仿宋" w:hAnsi="仿宋" w:eastAsia="仿宋" w:cs="仿宋"/>
                <w:sz w:val="32"/>
                <w:szCs w:val="32"/>
              </w:rPr>
              <w:t>1</w:t>
            </w:r>
          </w:p>
        </w:tc>
        <w:tc>
          <w:tcPr>
            <w:tcW w:w="3506" w:type="dxa"/>
            <w:tcBorders>
              <w:top w:val="nil"/>
              <w:left w:val="nil"/>
              <w:bottom w:val="single" w:color="auto" w:sz="4" w:space="0"/>
              <w:right w:val="single" w:color="auto" w:sz="4" w:space="0"/>
            </w:tcBorders>
            <w:noWrap/>
            <w:vAlign w:val="center"/>
          </w:tcPr>
          <w:p w14:paraId="053B3ACE">
            <w:pPr>
              <w:widowControl/>
              <w:spacing w:line="560" w:lineRule="exact"/>
              <w:rPr>
                <w:rFonts w:hint="eastAsia" w:ascii="仿宋" w:hAnsi="仿宋" w:eastAsia="仿宋" w:cs="Times New Roman"/>
                <w:sz w:val="32"/>
                <w:szCs w:val="32"/>
                <w:lang w:eastAsia="zh-CN"/>
              </w:rPr>
            </w:pPr>
            <w:r>
              <w:rPr>
                <w:rFonts w:hint="eastAsia" w:ascii="仿宋" w:hAnsi="仿宋" w:eastAsia="仿宋" w:cs="仿宋"/>
                <w:sz w:val="32"/>
                <w:szCs w:val="32"/>
              </w:rPr>
              <w:t>　</w:t>
            </w:r>
            <w:bookmarkStart w:id="3" w:name="_GoBack"/>
            <w:bookmarkEnd w:id="3"/>
            <w:r>
              <w:rPr>
                <w:rFonts w:hint="eastAsia" w:ascii="仿宋" w:hAnsi="仿宋" w:eastAsia="仿宋" w:cs="仿宋"/>
                <w:sz w:val="32"/>
                <w:szCs w:val="32"/>
                <w:lang w:eastAsia="zh-CN"/>
              </w:rPr>
              <w:t>南华镇人民政府</w:t>
            </w:r>
          </w:p>
        </w:tc>
        <w:tc>
          <w:tcPr>
            <w:tcW w:w="3507" w:type="dxa"/>
            <w:tcBorders>
              <w:top w:val="nil"/>
              <w:left w:val="nil"/>
              <w:bottom w:val="single" w:color="auto" w:sz="4" w:space="0"/>
              <w:right w:val="single" w:color="auto" w:sz="4" w:space="0"/>
            </w:tcBorders>
            <w:noWrap/>
            <w:vAlign w:val="center"/>
          </w:tcPr>
          <w:p w14:paraId="4C4BA822">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无</w:t>
            </w:r>
          </w:p>
        </w:tc>
      </w:tr>
      <w:tr w14:paraId="37695BF0">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353EB81C">
            <w:pPr>
              <w:widowControl/>
              <w:spacing w:line="560" w:lineRule="exact"/>
              <w:rPr>
                <w:rFonts w:hint="eastAsia" w:ascii="仿宋" w:hAnsi="仿宋" w:eastAsia="仿宋" w:cs="Times New Roman"/>
                <w:sz w:val="32"/>
                <w:szCs w:val="32"/>
              </w:rPr>
            </w:pPr>
          </w:p>
        </w:tc>
        <w:tc>
          <w:tcPr>
            <w:tcW w:w="995" w:type="dxa"/>
            <w:tcBorders>
              <w:top w:val="nil"/>
              <w:left w:val="nil"/>
              <w:bottom w:val="single" w:color="auto" w:sz="4" w:space="0"/>
              <w:right w:val="single" w:color="auto" w:sz="4" w:space="0"/>
            </w:tcBorders>
            <w:noWrap/>
            <w:vAlign w:val="center"/>
          </w:tcPr>
          <w:p w14:paraId="4229EB81">
            <w:pPr>
              <w:widowControl/>
              <w:spacing w:line="560" w:lineRule="exact"/>
              <w:rPr>
                <w:rFonts w:hint="eastAsia" w:ascii="仿宋" w:hAnsi="仿宋" w:eastAsia="仿宋" w:cs="仿宋"/>
                <w:sz w:val="32"/>
                <w:szCs w:val="32"/>
              </w:rPr>
            </w:pPr>
            <w:r>
              <w:rPr>
                <w:rFonts w:ascii="仿宋" w:hAnsi="仿宋" w:eastAsia="仿宋" w:cs="仿宋"/>
                <w:sz w:val="32"/>
                <w:szCs w:val="32"/>
              </w:rPr>
              <w:t>2</w:t>
            </w:r>
          </w:p>
        </w:tc>
        <w:tc>
          <w:tcPr>
            <w:tcW w:w="3506" w:type="dxa"/>
            <w:tcBorders>
              <w:top w:val="nil"/>
              <w:left w:val="nil"/>
              <w:bottom w:val="single" w:color="auto" w:sz="4" w:space="0"/>
              <w:right w:val="single" w:color="auto" w:sz="4" w:space="0"/>
            </w:tcBorders>
            <w:noWrap/>
            <w:vAlign w:val="center"/>
          </w:tcPr>
          <w:p w14:paraId="5D3C8BD4">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76CD274B">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091A7619">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5FF8CB0C">
            <w:pPr>
              <w:widowControl/>
              <w:spacing w:line="560" w:lineRule="exact"/>
              <w:rPr>
                <w:rFonts w:hint="eastAsia" w:ascii="仿宋" w:hAnsi="仿宋" w:eastAsia="仿宋" w:cs="Times New Roman"/>
                <w:sz w:val="32"/>
                <w:szCs w:val="32"/>
              </w:rPr>
            </w:pPr>
          </w:p>
        </w:tc>
        <w:tc>
          <w:tcPr>
            <w:tcW w:w="995" w:type="dxa"/>
            <w:tcBorders>
              <w:top w:val="nil"/>
              <w:left w:val="nil"/>
              <w:bottom w:val="nil"/>
              <w:right w:val="nil"/>
            </w:tcBorders>
            <w:noWrap/>
            <w:vAlign w:val="center"/>
          </w:tcPr>
          <w:p w14:paraId="6692626D">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w:t>
            </w:r>
          </w:p>
        </w:tc>
        <w:tc>
          <w:tcPr>
            <w:tcW w:w="3506" w:type="dxa"/>
            <w:tcBorders>
              <w:top w:val="nil"/>
              <w:left w:val="single" w:color="auto" w:sz="4" w:space="0"/>
              <w:bottom w:val="single" w:color="auto" w:sz="4" w:space="0"/>
              <w:right w:val="single" w:color="auto" w:sz="4" w:space="0"/>
            </w:tcBorders>
            <w:noWrap/>
            <w:vAlign w:val="center"/>
          </w:tcPr>
          <w:p w14:paraId="18D6CBFD">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035C5AF7">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4BCD3AFA">
        <w:tblPrEx>
          <w:tblCellMar>
            <w:top w:w="0" w:type="dxa"/>
            <w:left w:w="108" w:type="dxa"/>
            <w:bottom w:w="0" w:type="dxa"/>
            <w:right w:w="108" w:type="dxa"/>
          </w:tblCellMar>
        </w:tblPrEx>
        <w:trPr>
          <w:trHeight w:val="284" w:hRule="atLeast"/>
          <w:jc w:val="center"/>
        </w:trPr>
        <w:tc>
          <w:tcPr>
            <w:tcW w:w="2084" w:type="dxa"/>
            <w:vMerge w:val="restart"/>
            <w:tcBorders>
              <w:top w:val="nil"/>
              <w:left w:val="single" w:color="auto" w:sz="4" w:space="0"/>
              <w:bottom w:val="single" w:color="auto" w:sz="4" w:space="0"/>
              <w:right w:val="single" w:color="auto" w:sz="4" w:space="0"/>
            </w:tcBorders>
            <w:noWrap/>
            <w:vAlign w:val="center"/>
          </w:tcPr>
          <w:p w14:paraId="573151AE">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项目效益方面存在的问题</w:t>
            </w:r>
          </w:p>
        </w:tc>
        <w:tc>
          <w:tcPr>
            <w:tcW w:w="995" w:type="dxa"/>
            <w:tcBorders>
              <w:top w:val="single" w:color="auto" w:sz="4" w:space="0"/>
              <w:left w:val="nil"/>
              <w:bottom w:val="single" w:color="auto" w:sz="4" w:space="0"/>
              <w:right w:val="single" w:color="auto" w:sz="4" w:space="0"/>
            </w:tcBorders>
            <w:noWrap/>
            <w:vAlign w:val="center"/>
          </w:tcPr>
          <w:p w14:paraId="1A176DAF">
            <w:pPr>
              <w:widowControl/>
              <w:spacing w:line="560" w:lineRule="exact"/>
              <w:rPr>
                <w:rFonts w:hint="eastAsia" w:ascii="仿宋" w:hAnsi="仿宋" w:eastAsia="仿宋" w:cs="仿宋"/>
                <w:sz w:val="32"/>
                <w:szCs w:val="32"/>
              </w:rPr>
            </w:pPr>
            <w:r>
              <w:rPr>
                <w:rFonts w:ascii="仿宋" w:hAnsi="仿宋" w:eastAsia="仿宋" w:cs="仿宋"/>
                <w:sz w:val="32"/>
                <w:szCs w:val="32"/>
              </w:rPr>
              <w:t>1</w:t>
            </w:r>
          </w:p>
        </w:tc>
        <w:tc>
          <w:tcPr>
            <w:tcW w:w="3506" w:type="dxa"/>
            <w:tcBorders>
              <w:top w:val="nil"/>
              <w:left w:val="nil"/>
              <w:bottom w:val="single" w:color="auto" w:sz="4" w:space="0"/>
              <w:right w:val="single" w:color="auto" w:sz="4" w:space="0"/>
            </w:tcBorders>
            <w:noWrap/>
            <w:vAlign w:val="center"/>
          </w:tcPr>
          <w:p w14:paraId="0FD79484">
            <w:pPr>
              <w:widowControl/>
              <w:spacing w:line="560" w:lineRule="exact"/>
              <w:rPr>
                <w:rFonts w:hint="eastAsia" w:ascii="仿宋" w:hAnsi="仿宋" w:eastAsia="仿宋" w:cs="Times New Roman"/>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南华镇人民政府</w:t>
            </w:r>
          </w:p>
        </w:tc>
        <w:tc>
          <w:tcPr>
            <w:tcW w:w="3507" w:type="dxa"/>
            <w:tcBorders>
              <w:top w:val="nil"/>
              <w:left w:val="nil"/>
              <w:bottom w:val="single" w:color="auto" w:sz="4" w:space="0"/>
              <w:right w:val="single" w:color="auto" w:sz="4" w:space="0"/>
            </w:tcBorders>
            <w:noWrap/>
            <w:vAlign w:val="center"/>
          </w:tcPr>
          <w:p w14:paraId="5C69396F">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无</w:t>
            </w:r>
          </w:p>
        </w:tc>
      </w:tr>
      <w:tr w14:paraId="5B4D8DA1">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1B5C78FE">
            <w:pPr>
              <w:widowControl/>
              <w:spacing w:line="560" w:lineRule="exact"/>
              <w:rPr>
                <w:rFonts w:hint="eastAsia" w:ascii="仿宋" w:hAnsi="仿宋" w:eastAsia="仿宋" w:cs="Times New Roman"/>
                <w:sz w:val="32"/>
                <w:szCs w:val="32"/>
              </w:rPr>
            </w:pPr>
          </w:p>
        </w:tc>
        <w:tc>
          <w:tcPr>
            <w:tcW w:w="995" w:type="dxa"/>
            <w:tcBorders>
              <w:top w:val="nil"/>
              <w:left w:val="nil"/>
              <w:bottom w:val="single" w:color="auto" w:sz="4" w:space="0"/>
              <w:right w:val="single" w:color="auto" w:sz="4" w:space="0"/>
            </w:tcBorders>
            <w:noWrap/>
            <w:vAlign w:val="center"/>
          </w:tcPr>
          <w:p w14:paraId="459A5887">
            <w:pPr>
              <w:widowControl/>
              <w:spacing w:line="560" w:lineRule="exact"/>
              <w:rPr>
                <w:rFonts w:hint="eastAsia" w:ascii="仿宋" w:hAnsi="仿宋" w:eastAsia="仿宋" w:cs="仿宋"/>
                <w:sz w:val="32"/>
                <w:szCs w:val="32"/>
              </w:rPr>
            </w:pPr>
            <w:r>
              <w:rPr>
                <w:rFonts w:ascii="仿宋" w:hAnsi="仿宋" w:eastAsia="仿宋" w:cs="仿宋"/>
                <w:sz w:val="32"/>
                <w:szCs w:val="32"/>
              </w:rPr>
              <w:t>2</w:t>
            </w:r>
          </w:p>
        </w:tc>
        <w:tc>
          <w:tcPr>
            <w:tcW w:w="3506" w:type="dxa"/>
            <w:tcBorders>
              <w:top w:val="nil"/>
              <w:left w:val="nil"/>
              <w:bottom w:val="single" w:color="auto" w:sz="4" w:space="0"/>
              <w:right w:val="single" w:color="auto" w:sz="4" w:space="0"/>
            </w:tcBorders>
            <w:noWrap/>
            <w:vAlign w:val="center"/>
          </w:tcPr>
          <w:p w14:paraId="4D430BFB">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202F8D54">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7FADDEDD">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493F4995">
            <w:pPr>
              <w:widowControl/>
              <w:spacing w:line="560" w:lineRule="exact"/>
              <w:rPr>
                <w:rFonts w:hint="eastAsia" w:ascii="仿宋" w:hAnsi="仿宋" w:eastAsia="仿宋" w:cs="Times New Roman"/>
                <w:sz w:val="32"/>
                <w:szCs w:val="32"/>
              </w:rPr>
            </w:pPr>
          </w:p>
        </w:tc>
        <w:tc>
          <w:tcPr>
            <w:tcW w:w="995" w:type="dxa"/>
            <w:tcBorders>
              <w:top w:val="nil"/>
              <w:left w:val="nil"/>
              <w:bottom w:val="nil"/>
              <w:right w:val="nil"/>
            </w:tcBorders>
            <w:noWrap/>
            <w:vAlign w:val="center"/>
          </w:tcPr>
          <w:p w14:paraId="1BF6A8C8">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w:t>
            </w:r>
          </w:p>
        </w:tc>
        <w:tc>
          <w:tcPr>
            <w:tcW w:w="3506" w:type="dxa"/>
            <w:tcBorders>
              <w:top w:val="nil"/>
              <w:left w:val="single" w:color="auto" w:sz="4" w:space="0"/>
              <w:bottom w:val="single" w:color="auto" w:sz="4" w:space="0"/>
              <w:right w:val="single" w:color="auto" w:sz="4" w:space="0"/>
            </w:tcBorders>
            <w:noWrap/>
            <w:vAlign w:val="center"/>
          </w:tcPr>
          <w:p w14:paraId="60B5B75A">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3647E877">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7D5CCE16">
        <w:tblPrEx>
          <w:tblCellMar>
            <w:top w:w="0" w:type="dxa"/>
            <w:left w:w="108" w:type="dxa"/>
            <w:bottom w:w="0" w:type="dxa"/>
            <w:right w:w="108" w:type="dxa"/>
          </w:tblCellMar>
        </w:tblPrEx>
        <w:trPr>
          <w:trHeight w:val="284" w:hRule="atLeast"/>
          <w:jc w:val="center"/>
        </w:trPr>
        <w:tc>
          <w:tcPr>
            <w:tcW w:w="2084" w:type="dxa"/>
            <w:vMerge w:val="restart"/>
            <w:tcBorders>
              <w:top w:val="nil"/>
              <w:left w:val="single" w:color="auto" w:sz="4" w:space="0"/>
              <w:bottom w:val="single" w:color="auto" w:sz="4" w:space="0"/>
              <w:right w:val="single" w:color="auto" w:sz="4" w:space="0"/>
            </w:tcBorders>
            <w:noWrap/>
            <w:vAlign w:val="center"/>
          </w:tcPr>
          <w:p w14:paraId="4C4BC8FC">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其他问题</w:t>
            </w:r>
          </w:p>
        </w:tc>
        <w:tc>
          <w:tcPr>
            <w:tcW w:w="995" w:type="dxa"/>
            <w:tcBorders>
              <w:top w:val="single" w:color="auto" w:sz="4" w:space="0"/>
              <w:left w:val="nil"/>
              <w:bottom w:val="single" w:color="auto" w:sz="4" w:space="0"/>
              <w:right w:val="single" w:color="auto" w:sz="4" w:space="0"/>
            </w:tcBorders>
            <w:noWrap/>
            <w:vAlign w:val="center"/>
          </w:tcPr>
          <w:p w14:paraId="126A3967">
            <w:pPr>
              <w:widowControl/>
              <w:spacing w:line="560" w:lineRule="exact"/>
              <w:rPr>
                <w:rFonts w:hint="eastAsia" w:ascii="仿宋" w:hAnsi="仿宋" w:eastAsia="仿宋" w:cs="仿宋"/>
                <w:sz w:val="32"/>
                <w:szCs w:val="32"/>
              </w:rPr>
            </w:pPr>
            <w:r>
              <w:rPr>
                <w:rFonts w:ascii="仿宋" w:hAnsi="仿宋" w:eastAsia="仿宋" w:cs="仿宋"/>
                <w:sz w:val="32"/>
                <w:szCs w:val="32"/>
              </w:rPr>
              <w:t>1</w:t>
            </w:r>
          </w:p>
        </w:tc>
        <w:tc>
          <w:tcPr>
            <w:tcW w:w="3506" w:type="dxa"/>
            <w:tcBorders>
              <w:top w:val="nil"/>
              <w:left w:val="nil"/>
              <w:bottom w:val="single" w:color="auto" w:sz="4" w:space="0"/>
              <w:right w:val="single" w:color="auto" w:sz="4" w:space="0"/>
            </w:tcBorders>
            <w:noWrap/>
            <w:vAlign w:val="center"/>
          </w:tcPr>
          <w:p w14:paraId="1028CD55">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0859F01A">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015A1598">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6C5B2E7B">
            <w:pPr>
              <w:widowControl/>
              <w:spacing w:line="560" w:lineRule="exact"/>
              <w:rPr>
                <w:rFonts w:hint="eastAsia" w:ascii="仿宋" w:hAnsi="仿宋" w:eastAsia="仿宋" w:cs="Times New Roman"/>
                <w:sz w:val="32"/>
                <w:szCs w:val="32"/>
              </w:rPr>
            </w:pPr>
          </w:p>
        </w:tc>
        <w:tc>
          <w:tcPr>
            <w:tcW w:w="995" w:type="dxa"/>
            <w:tcBorders>
              <w:top w:val="nil"/>
              <w:left w:val="nil"/>
              <w:bottom w:val="single" w:color="auto" w:sz="4" w:space="0"/>
              <w:right w:val="single" w:color="auto" w:sz="4" w:space="0"/>
            </w:tcBorders>
            <w:noWrap/>
            <w:vAlign w:val="center"/>
          </w:tcPr>
          <w:p w14:paraId="011314B5">
            <w:pPr>
              <w:widowControl/>
              <w:spacing w:line="560" w:lineRule="exact"/>
              <w:rPr>
                <w:rFonts w:hint="eastAsia" w:ascii="仿宋" w:hAnsi="仿宋" w:eastAsia="仿宋" w:cs="仿宋"/>
                <w:sz w:val="32"/>
                <w:szCs w:val="32"/>
              </w:rPr>
            </w:pPr>
            <w:r>
              <w:rPr>
                <w:rFonts w:ascii="仿宋" w:hAnsi="仿宋" w:eastAsia="仿宋" w:cs="仿宋"/>
                <w:sz w:val="32"/>
                <w:szCs w:val="32"/>
              </w:rPr>
              <w:t>2</w:t>
            </w:r>
          </w:p>
        </w:tc>
        <w:tc>
          <w:tcPr>
            <w:tcW w:w="3506" w:type="dxa"/>
            <w:tcBorders>
              <w:top w:val="nil"/>
              <w:left w:val="nil"/>
              <w:bottom w:val="single" w:color="auto" w:sz="4" w:space="0"/>
              <w:right w:val="single" w:color="auto" w:sz="4" w:space="0"/>
            </w:tcBorders>
            <w:noWrap/>
            <w:vAlign w:val="center"/>
          </w:tcPr>
          <w:p w14:paraId="540E0625">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390EA198">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6A49D77E">
        <w:tblPrEx>
          <w:tblCellMar>
            <w:top w:w="0" w:type="dxa"/>
            <w:left w:w="108" w:type="dxa"/>
            <w:bottom w:w="0" w:type="dxa"/>
            <w:right w:w="108" w:type="dxa"/>
          </w:tblCellMar>
        </w:tblPrEx>
        <w:trPr>
          <w:trHeight w:val="284" w:hRule="atLeast"/>
          <w:jc w:val="center"/>
        </w:trPr>
        <w:tc>
          <w:tcPr>
            <w:tcW w:w="2084" w:type="dxa"/>
            <w:vMerge w:val="continue"/>
            <w:tcBorders>
              <w:top w:val="nil"/>
              <w:left w:val="single" w:color="auto" w:sz="4" w:space="0"/>
              <w:bottom w:val="single" w:color="auto" w:sz="4" w:space="0"/>
              <w:right w:val="single" w:color="auto" w:sz="4" w:space="0"/>
            </w:tcBorders>
            <w:vAlign w:val="center"/>
          </w:tcPr>
          <w:p w14:paraId="77FB25BB">
            <w:pPr>
              <w:widowControl/>
              <w:spacing w:line="560" w:lineRule="exact"/>
              <w:rPr>
                <w:rFonts w:hint="eastAsia" w:ascii="仿宋" w:hAnsi="仿宋" w:eastAsia="仿宋" w:cs="Times New Roman"/>
                <w:sz w:val="32"/>
                <w:szCs w:val="32"/>
              </w:rPr>
            </w:pPr>
          </w:p>
        </w:tc>
        <w:tc>
          <w:tcPr>
            <w:tcW w:w="995" w:type="dxa"/>
            <w:tcBorders>
              <w:top w:val="single" w:color="auto" w:sz="4" w:space="0"/>
              <w:left w:val="nil"/>
              <w:bottom w:val="single" w:color="auto" w:sz="4" w:space="0"/>
              <w:right w:val="nil"/>
            </w:tcBorders>
            <w:noWrap/>
            <w:vAlign w:val="center"/>
          </w:tcPr>
          <w:p w14:paraId="78E37C01">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w:t>
            </w:r>
          </w:p>
        </w:tc>
        <w:tc>
          <w:tcPr>
            <w:tcW w:w="3506" w:type="dxa"/>
            <w:tcBorders>
              <w:top w:val="nil"/>
              <w:left w:val="single" w:color="auto" w:sz="4" w:space="0"/>
              <w:bottom w:val="single" w:color="auto" w:sz="4" w:space="0"/>
              <w:right w:val="single" w:color="auto" w:sz="4" w:space="0"/>
            </w:tcBorders>
            <w:noWrap/>
            <w:vAlign w:val="center"/>
          </w:tcPr>
          <w:p w14:paraId="4A192E85">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c>
          <w:tcPr>
            <w:tcW w:w="3507" w:type="dxa"/>
            <w:tcBorders>
              <w:top w:val="nil"/>
              <w:left w:val="nil"/>
              <w:bottom w:val="single" w:color="auto" w:sz="4" w:space="0"/>
              <w:right w:val="single" w:color="auto" w:sz="4" w:space="0"/>
            </w:tcBorders>
            <w:noWrap/>
            <w:vAlign w:val="center"/>
          </w:tcPr>
          <w:p w14:paraId="431A7D68">
            <w:pPr>
              <w:widowControl/>
              <w:spacing w:line="560" w:lineRule="exact"/>
              <w:rPr>
                <w:rFonts w:hint="eastAsia" w:ascii="仿宋" w:hAnsi="仿宋" w:eastAsia="仿宋" w:cs="Times New Roman"/>
                <w:sz w:val="32"/>
                <w:szCs w:val="32"/>
              </w:rPr>
            </w:pPr>
            <w:r>
              <w:rPr>
                <w:rFonts w:hint="eastAsia" w:ascii="仿宋" w:hAnsi="仿宋" w:eastAsia="仿宋" w:cs="仿宋"/>
                <w:sz w:val="32"/>
                <w:szCs w:val="32"/>
              </w:rPr>
              <w:t>　</w:t>
            </w:r>
          </w:p>
        </w:tc>
      </w:tr>
      <w:tr w14:paraId="123DD05B">
        <w:tblPrEx>
          <w:tblCellMar>
            <w:top w:w="0" w:type="dxa"/>
            <w:left w:w="108" w:type="dxa"/>
            <w:bottom w:w="0" w:type="dxa"/>
            <w:right w:w="108" w:type="dxa"/>
          </w:tblCellMar>
        </w:tblPrEx>
        <w:trPr>
          <w:trHeight w:val="284" w:hRule="atLeast"/>
          <w:jc w:val="center"/>
        </w:trPr>
        <w:tc>
          <w:tcPr>
            <w:tcW w:w="10092" w:type="dxa"/>
            <w:gridSpan w:val="4"/>
            <w:tcBorders>
              <w:top w:val="nil"/>
              <w:left w:val="single" w:color="auto" w:sz="4" w:space="0"/>
              <w:bottom w:val="single" w:color="auto" w:sz="4" w:space="0"/>
              <w:right w:val="single" w:color="auto" w:sz="4" w:space="0"/>
            </w:tcBorders>
            <w:noWrap/>
            <w:vAlign w:val="center"/>
          </w:tcPr>
          <w:p w14:paraId="2DDCFF60">
            <w:pPr>
              <w:widowControl/>
              <w:spacing w:line="560" w:lineRule="exact"/>
              <w:rPr>
                <w:rFonts w:hint="eastAsia" w:ascii="仿宋" w:hAnsi="仿宋" w:eastAsia="仿宋" w:cs="Times New Roman"/>
                <w:b/>
                <w:bCs/>
                <w:sz w:val="32"/>
                <w:szCs w:val="32"/>
              </w:rPr>
            </w:pPr>
            <w:r>
              <w:rPr>
                <w:rFonts w:hint="eastAsia" w:ascii="仿宋" w:hAnsi="仿宋" w:eastAsia="仿宋" w:cs="仿宋"/>
                <w:b/>
                <w:bCs/>
                <w:sz w:val="32"/>
                <w:szCs w:val="32"/>
              </w:rPr>
              <w:t>备注：</w:t>
            </w:r>
          </w:p>
        </w:tc>
      </w:tr>
    </w:tbl>
    <w:p w14:paraId="686EFBA9">
      <w:pPr>
        <w:pStyle w:val="2"/>
        <w:spacing w:line="560" w:lineRule="exact"/>
        <w:jc w:val="both"/>
        <w:rPr>
          <w:rFonts w:ascii="黑体" w:hAnsi="Calibri" w:eastAsia="黑体" w:cs="Times New Roman"/>
          <w:kern w:val="2"/>
          <w:lang w:eastAsia="zh-CN"/>
        </w:rPr>
        <w:sectPr>
          <w:pgSz w:w="11906" w:h="16838"/>
          <w:pgMar w:top="2098" w:right="1588" w:bottom="1985" w:left="1588" w:header="851" w:footer="992" w:gutter="0"/>
          <w:cols w:space="425" w:num="1"/>
          <w:docGrid w:linePitch="312" w:charSpace="0"/>
        </w:sectPr>
      </w:pPr>
    </w:p>
    <w:p w14:paraId="04B982FA">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ZTRmM2QwOWM2M2FlMDRiZmVlYTRlYTk5Yjc5YjAifQ=="/>
  </w:docVars>
  <w:rsids>
    <w:rsidRoot w:val="477F0DF5"/>
    <w:rsid w:val="00046307"/>
    <w:rsid w:val="00080339"/>
    <w:rsid w:val="000D0AC3"/>
    <w:rsid w:val="000E07F3"/>
    <w:rsid w:val="000F5240"/>
    <w:rsid w:val="00127667"/>
    <w:rsid w:val="001731E6"/>
    <w:rsid w:val="00185154"/>
    <w:rsid w:val="0020067C"/>
    <w:rsid w:val="00294DAE"/>
    <w:rsid w:val="003630C7"/>
    <w:rsid w:val="003923C1"/>
    <w:rsid w:val="00396335"/>
    <w:rsid w:val="003B74AA"/>
    <w:rsid w:val="00411CE7"/>
    <w:rsid w:val="004248AA"/>
    <w:rsid w:val="00437970"/>
    <w:rsid w:val="00477ABA"/>
    <w:rsid w:val="00492377"/>
    <w:rsid w:val="004A699E"/>
    <w:rsid w:val="005A6C9E"/>
    <w:rsid w:val="005E487D"/>
    <w:rsid w:val="006258EF"/>
    <w:rsid w:val="00654532"/>
    <w:rsid w:val="006A5F6B"/>
    <w:rsid w:val="006B07A8"/>
    <w:rsid w:val="00700166"/>
    <w:rsid w:val="00711F77"/>
    <w:rsid w:val="007270A1"/>
    <w:rsid w:val="00740BB0"/>
    <w:rsid w:val="0075065D"/>
    <w:rsid w:val="00755ECD"/>
    <w:rsid w:val="00772C78"/>
    <w:rsid w:val="00786040"/>
    <w:rsid w:val="007E49DC"/>
    <w:rsid w:val="007F7980"/>
    <w:rsid w:val="00847A23"/>
    <w:rsid w:val="008E65D2"/>
    <w:rsid w:val="0095762E"/>
    <w:rsid w:val="009864C2"/>
    <w:rsid w:val="009B00F4"/>
    <w:rsid w:val="009C6871"/>
    <w:rsid w:val="00A92DF4"/>
    <w:rsid w:val="00AE4C4D"/>
    <w:rsid w:val="00AF3203"/>
    <w:rsid w:val="00BA650D"/>
    <w:rsid w:val="00BF13CC"/>
    <w:rsid w:val="00BF5CED"/>
    <w:rsid w:val="00C0066B"/>
    <w:rsid w:val="00CA4BD7"/>
    <w:rsid w:val="00CC248C"/>
    <w:rsid w:val="00D74E8F"/>
    <w:rsid w:val="00D81241"/>
    <w:rsid w:val="00DB3498"/>
    <w:rsid w:val="00DC7186"/>
    <w:rsid w:val="00DE6822"/>
    <w:rsid w:val="00E27AA8"/>
    <w:rsid w:val="00E35B30"/>
    <w:rsid w:val="00E842CE"/>
    <w:rsid w:val="00F1436C"/>
    <w:rsid w:val="00F20889"/>
    <w:rsid w:val="00FC60E7"/>
    <w:rsid w:val="00FD2AF2"/>
    <w:rsid w:val="0191710B"/>
    <w:rsid w:val="477F0DF5"/>
    <w:rsid w:val="484C6A0D"/>
    <w:rsid w:val="BFFFF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jc w:val="left"/>
    </w:pPr>
    <w:rPr>
      <w:rFonts w:ascii="宋体" w:hAnsi="宋体" w:cs="宋体"/>
      <w:kern w:val="0"/>
      <w:sz w:val="32"/>
      <w:szCs w:val="32"/>
      <w:lang w:eastAsia="en-US"/>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cs="Calibri"/>
      <w:kern w:val="2"/>
      <w:sz w:val="18"/>
      <w:szCs w:val="18"/>
    </w:rPr>
  </w:style>
  <w:style w:type="character" w:customStyle="1" w:styleId="8">
    <w:name w:val="页脚 字符"/>
    <w:basedOn w:val="6"/>
    <w:link w:val="3"/>
    <w:qFormat/>
    <w:uiPriority w:val="0"/>
    <w:rPr>
      <w:rFonts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3788</Words>
  <Characters>3952</Characters>
  <Lines>31</Lines>
  <Paragraphs>8</Paragraphs>
  <TotalTime>47</TotalTime>
  <ScaleCrop>false</ScaleCrop>
  <LinksUpToDate>false</LinksUpToDate>
  <CharactersWithSpaces>4146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2023-06-21T09:36:00Z</dcterms:created>
  <dc:creator>魑魅魍魉</dc:creator>
  <cp:lastModifiedBy>执念</cp:lastModifiedBy>
  <cp:lastPrinted>2024-09-12T03:50:00Z</cp:lastPrinted>
  <dcterms:modified xsi:type="dcterms:W3CDTF">2025-03-07T04:43:31Z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B508D2C7F79D4BE7A27FF4F4878EDB7D_13</vt:lpwstr>
  </property>
  <property fmtid="{D5CDD505-2E9C-101B-9397-08002B2CF9AE}" pid="4" name="KSOTemplateDocerSaveRecord">
    <vt:lpwstr>eyJoZGlkIjoiYjQ2YmI5ZDUzNjJiM2FhMTA4NGFiY2Q2OWIwOTJkMzQiLCJ1c2VySWQiOiI1Mzc0MTQ5NTkifQ==</vt:lpwstr>
  </property>
</Properties>
</file>