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</w:t>
      </w:r>
      <w:r>
        <w:rPr>
          <w:rFonts w:hint="eastAsia" w:ascii="方正小标宋简体" w:eastAsia="方正小标宋简体"/>
          <w:sz w:val="36"/>
          <w:szCs w:val="36"/>
        </w:rPr>
        <w:t>年高台县中小学教育信息化深化应用案例拟定清单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50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  <w:t>学 校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000000"/>
                <w:kern w:val="2"/>
                <w:sz w:val="28"/>
                <w:szCs w:val="28"/>
              </w:rPr>
              <w:t>拟定典型案例主题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第一中学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在“互联网+”背景下的新高考改革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2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职业中专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数字化实训室应用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第二中学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协作学习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3D打印室应用 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智慧书法教室应用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4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城关初中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交互式班班通应用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录播室应用</w:t>
            </w:r>
          </w:p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“五大”网络空间应用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5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高台三中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机器人与创客教育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在线学习   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云终端应用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6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南华中学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中心校辐射教学点“专递课堂”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希沃班级优化大师及希沃信鸽应用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7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解放街小学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VR教学环境应用   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混合式教学应用（云教室）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智慧平板教室应用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8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西街小学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可视化编程提升学生信息素养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千兆校园网组策略  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师生信息素养的提升策略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9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国庆小学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混合式教学应用（云教室）  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纸笔互动课堂应用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学生电教管理员提升管理水平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10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新坝中心小学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应用录播室提升区域教研水平  </w:t>
            </w: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在线学习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11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巷道中心小学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学生电教管理员提升管理水平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12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骆驼城中心小学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可视化编程提升学生信息素养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13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宣化中心小学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 “五大空间”应用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14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黑泉中心小学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中心校辐射教学点“专递课堂”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15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罗城中心小学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畅言教学通资源平台应用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16</w:t>
            </w:r>
          </w:p>
        </w:tc>
        <w:tc>
          <w:tcPr>
            <w:tcW w:w="215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合黎中心小学</w:t>
            </w:r>
          </w:p>
        </w:tc>
        <w:tc>
          <w:tcPr>
            <w:tcW w:w="6424" w:type="dxa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sym w:font="Wingdings 2" w:char="F052"/>
            </w:r>
            <w:r>
              <w:rPr>
                <w:rFonts w:hint="eastAsia" w:ascii="仿宋_GB2312" w:hAnsi="仿宋" w:eastAsia="仿宋_GB2312"/>
                <w:color w:val="000000"/>
              </w:rPr>
              <w:t>图书管理平台应用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2588"/>
    <w:rsid w:val="47C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2021-03-09T02:35:00Z</dcterms:created>
  <dc:creator>ananbaba</dc:creator>
  <cp:lastModifiedBy>ananbaba</cp:lastModifiedBy>
  <dcterms:modified xsi:type="dcterms:W3CDTF">2021-03-09T02:35:52Z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