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74"/>
        </w:tabs>
        <w:spacing w:line="500" w:lineRule="exact"/>
        <w:ind w:right="-145" w:rightChars="-69" w:firstLine="640" w:firstLineChars="200"/>
        <w:rPr>
          <w:rFonts w:ascii="楷体_GB2312" w:eastAsia="楷体_GB2312" w:cs="Times New Roman"/>
        </w:rPr>
      </w:pPr>
    </w:p>
    <w:p>
      <w:pPr>
        <w:pStyle w:val="3"/>
        <w:tabs>
          <w:tab w:val="left" w:pos="474"/>
        </w:tabs>
        <w:spacing w:line="500" w:lineRule="exact"/>
        <w:ind w:right="-145" w:rightChars="-69" w:firstLine="608" w:firstLineChars="200"/>
        <w:rPr>
          <w:rFonts w:ascii="楷体_GB2312" w:eastAsia="楷体_GB2312" w:cs="Times New Roman"/>
          <w:spacing w:val="-8"/>
        </w:rPr>
      </w:pPr>
    </w:p>
    <w:p>
      <w:pPr>
        <w:pStyle w:val="3"/>
        <w:tabs>
          <w:tab w:val="left" w:pos="474"/>
        </w:tabs>
        <w:spacing w:line="500" w:lineRule="exact"/>
        <w:ind w:right="-145" w:rightChars="-69" w:firstLine="608" w:firstLineChars="200"/>
        <w:rPr>
          <w:rFonts w:ascii="楷体_GB2312" w:eastAsia="楷体_GB2312" w:cs="Times New Roman"/>
          <w:spacing w:val="-8"/>
        </w:rPr>
      </w:pPr>
    </w:p>
    <w:p>
      <w:pPr>
        <w:pStyle w:val="4"/>
        <w:adjustRightInd w:val="0"/>
        <w:spacing w:line="1600" w:lineRule="exact"/>
        <w:jc w:val="center"/>
        <w:rPr>
          <w:rFonts w:ascii="仿宋_GB2312" w:eastAsia="仿宋_GB2312" w:cs="Times New Roman"/>
          <w:spacing w:val="30"/>
          <w:w w:val="50"/>
          <w:sz w:val="126"/>
          <w:szCs w:val="126"/>
        </w:rPr>
      </w:pPr>
      <w:r>
        <w:rPr>
          <w:rFonts w:hint="eastAsia" w:ascii="方正小标宋简体" w:eastAsia="方正小标宋简体" w:cs="方正小标宋简体"/>
          <w:color w:val="FF0000"/>
          <w:spacing w:val="30"/>
          <w:w w:val="50"/>
          <w:sz w:val="126"/>
          <w:szCs w:val="126"/>
        </w:rPr>
        <w:t>高台县人</w:t>
      </w:r>
      <w:permStart w:id="0" w:edGrp="everyone"/>
      <w:permEnd w:id="0"/>
      <w:r>
        <w:rPr>
          <w:rFonts w:hint="eastAsia" w:ascii="方正小标宋简体" w:eastAsia="方正小标宋简体" w:cs="方正小标宋简体"/>
          <w:color w:val="FF0000"/>
          <w:spacing w:val="30"/>
          <w:w w:val="50"/>
          <w:sz w:val="126"/>
          <w:szCs w:val="126"/>
        </w:rPr>
        <w:t>民政府办公室文件</w:t>
      </w:r>
    </w:p>
    <w:p>
      <w:pPr>
        <w:tabs>
          <w:tab w:val="left" w:pos="474"/>
        </w:tabs>
        <w:spacing w:line="400" w:lineRule="exact"/>
        <w:jc w:val="center"/>
        <w:rPr>
          <w:rFonts w:ascii="仿宋_GB2312" w:cs="Times New Roman"/>
          <w:color w:val="000000"/>
        </w:rPr>
      </w:pPr>
    </w:p>
    <w:p>
      <w:pPr>
        <w:tabs>
          <w:tab w:val="left" w:pos="474"/>
        </w:tabs>
        <w:spacing w:line="400" w:lineRule="exact"/>
        <w:jc w:val="center"/>
        <w:rPr>
          <w:rFonts w:ascii="仿宋_GB2312" w:cs="Times New Roman"/>
          <w:color w:val="000000"/>
        </w:rPr>
      </w:pPr>
    </w:p>
    <w:p>
      <w:pPr>
        <w:tabs>
          <w:tab w:val="left" w:pos="474"/>
        </w:tabs>
        <w:spacing w:line="540"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高政办发〔</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w:t>
      </w:r>
      <w:r>
        <w:rPr>
          <w:rFonts w:ascii="仿宋_GB2312" w:eastAsia="仿宋_GB2312" w:cs="仿宋_GB2312"/>
          <w:color w:val="000000"/>
          <w:sz w:val="32"/>
          <w:szCs w:val="32"/>
        </w:rPr>
        <w:t>109</w:t>
      </w:r>
      <w:r>
        <w:rPr>
          <w:rFonts w:hint="eastAsia" w:ascii="仿宋_GB2312" w:eastAsia="仿宋_GB2312" w:cs="仿宋_GB2312"/>
          <w:color w:val="000000"/>
          <w:sz w:val="32"/>
          <w:szCs w:val="32"/>
        </w:rPr>
        <w:t>号</w:t>
      </w:r>
    </w:p>
    <w:p>
      <w:pPr>
        <w:tabs>
          <w:tab w:val="left" w:pos="474"/>
        </w:tabs>
        <w:spacing w:line="20" w:lineRule="exact"/>
        <w:jc w:val="center"/>
        <w:rPr>
          <w:rFonts w:ascii="仿宋_GB2312" w:cs="Times New Roman"/>
          <w:color w:val="000000"/>
        </w:rPr>
      </w:pPr>
    </w:p>
    <w:p>
      <w:pPr>
        <w:spacing w:line="240" w:lineRule="exact"/>
        <w:ind w:firstLine="472" w:firstLineChars="225"/>
        <w:rPr>
          <w:rFonts w:ascii="楷体_GB2312" w:eastAsia="楷体_GB2312" w:cs="Times New Roman"/>
        </w:rPr>
      </w:pPr>
      <w:r>
        <w:pict>
          <v:line id="_x0000_s1027" o:spid="_x0000_s1027" o:spt="20" style="position:absolute;left:0pt;margin-left:0pt;margin-top:6.75pt;height:0pt;width:442.4pt;z-index:-251633664;mso-width-relative:page;mso-height-relative:page;" stroked="t" coordsize="21600,21600">
            <v:path arrowok="t"/>
            <v:fill focussize="0,0"/>
            <v:stroke weight="2.25pt" color="#FF0000"/>
            <v:imagedata o:title=""/>
            <o:lock v:ext="edit"/>
          </v:line>
        </w:pict>
      </w:r>
    </w:p>
    <w:p>
      <w:pPr>
        <w:spacing w:line="440" w:lineRule="exact"/>
        <w:jc w:val="center"/>
        <w:rPr>
          <w:rFonts w:ascii="方正小标宋简体" w:eastAsia="方正小标宋简体" w:cs="Times New Roman"/>
          <w:color w:val="000000"/>
          <w:w w:val="80"/>
          <w:sz w:val="48"/>
          <w:szCs w:val="48"/>
        </w:rPr>
      </w:pPr>
    </w:p>
    <w:p>
      <w:pPr>
        <w:adjustRightInd w:val="0"/>
        <w:spacing w:line="440" w:lineRule="exact"/>
        <w:jc w:val="center"/>
        <w:rPr>
          <w:rFonts w:ascii="方正小标宋简体" w:hAnsi="宋体" w:eastAsia="方正小标宋简体" w:cs="Times New Roman"/>
          <w:color w:val="000000"/>
          <w:sz w:val="44"/>
          <w:szCs w:val="44"/>
        </w:rPr>
      </w:pPr>
      <w:bookmarkStart w:id="0" w:name="_GoBack"/>
    </w:p>
    <w:p>
      <w:pPr>
        <w:spacing w:line="560" w:lineRule="exact"/>
        <w:jc w:val="center"/>
        <w:rPr>
          <w:rFonts w:ascii="方正小标宋简体" w:hAnsi="方正小标宋简体" w:eastAsia="方正小标宋简体" w:cs="Times New Roman"/>
          <w:color w:val="000000"/>
          <w:w w:val="90"/>
          <w:sz w:val="44"/>
          <w:szCs w:val="44"/>
        </w:rPr>
      </w:pPr>
      <w:r>
        <w:rPr>
          <w:rFonts w:hint="eastAsia" w:ascii="方正小标宋简体" w:hAnsi="方正小标宋简体" w:eastAsia="方正小标宋简体" w:cs="方正小标宋简体"/>
          <w:color w:val="000000"/>
          <w:w w:val="90"/>
          <w:sz w:val="44"/>
          <w:szCs w:val="44"/>
        </w:rPr>
        <w:t>高台县人民政府办公室</w:t>
      </w:r>
    </w:p>
    <w:p>
      <w:pPr>
        <w:spacing w:line="560" w:lineRule="exact"/>
        <w:jc w:val="center"/>
        <w:rPr>
          <w:rFonts w:ascii="方正小标宋简体" w:hAnsi="方正小标宋简体" w:eastAsia="方正小标宋简体" w:cs="Times New Roman"/>
          <w:color w:val="000000"/>
          <w:w w:val="90"/>
          <w:sz w:val="44"/>
          <w:szCs w:val="44"/>
        </w:rPr>
      </w:pPr>
      <w:r>
        <w:rPr>
          <w:rFonts w:hint="eastAsia" w:ascii="方正小标宋简体" w:hAnsi="方正小标宋简体" w:eastAsia="方正小标宋简体" w:cs="方正小标宋简体"/>
          <w:color w:val="000000"/>
          <w:w w:val="90"/>
          <w:sz w:val="44"/>
          <w:szCs w:val="44"/>
        </w:rPr>
        <w:t>关于印发高台县</w:t>
      </w:r>
      <w:r>
        <w:rPr>
          <w:rFonts w:ascii="方正小标宋简体" w:hAnsi="方正小标宋简体" w:eastAsia="方正小标宋简体" w:cs="方正小标宋简体"/>
          <w:color w:val="000000"/>
          <w:w w:val="90"/>
          <w:sz w:val="44"/>
          <w:szCs w:val="44"/>
        </w:rPr>
        <w:t>2022</w:t>
      </w:r>
      <w:r>
        <w:rPr>
          <w:rFonts w:hint="eastAsia" w:ascii="方正小标宋简体" w:hAnsi="方正小标宋简体" w:eastAsia="方正小标宋简体" w:cs="方正小标宋简体"/>
          <w:color w:val="000000"/>
          <w:w w:val="90"/>
          <w:sz w:val="44"/>
          <w:szCs w:val="44"/>
        </w:rPr>
        <w:t>年居家和社区基本养老服务</w:t>
      </w:r>
    </w:p>
    <w:p>
      <w:pPr>
        <w:spacing w:line="560" w:lineRule="exact"/>
        <w:jc w:val="center"/>
        <w:rPr>
          <w:rFonts w:ascii="方正小标宋简体" w:hAnsi="方正小标宋简体" w:eastAsia="方正小标宋简体" w:cs="Times New Roman"/>
          <w:color w:val="000000"/>
          <w:w w:val="90"/>
          <w:sz w:val="44"/>
          <w:szCs w:val="44"/>
        </w:rPr>
      </w:pPr>
      <w:r>
        <w:rPr>
          <w:rFonts w:hint="eastAsia" w:ascii="方正小标宋简体" w:hAnsi="方正小标宋简体" w:eastAsia="方正小标宋简体" w:cs="方正小标宋简体"/>
          <w:color w:val="000000"/>
          <w:w w:val="90"/>
          <w:sz w:val="44"/>
          <w:szCs w:val="44"/>
        </w:rPr>
        <w:t>提升行动项目实施方案的通知</w:t>
      </w:r>
    </w:p>
    <w:p>
      <w:pPr>
        <w:spacing w:after="120" w:line="420" w:lineRule="exact"/>
        <w:ind w:left="420" w:leftChars="200" w:firstLine="640" w:firstLineChars="200"/>
        <w:rPr>
          <w:rFonts w:ascii="Times New Roman" w:hAnsi="Times New Roman" w:eastAsia="仿宋_GB2312" w:cs="Times New Roman"/>
          <w:snapToGrid w:val="0"/>
          <w:sz w:val="32"/>
          <w:szCs w:val="32"/>
        </w:rPr>
      </w:pPr>
    </w:p>
    <w:bookmarkEnd w:id="0"/>
    <w:p>
      <w:pPr>
        <w:spacing w:after="120" w:line="56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各镇人民政府，县政府有关部门，省市驻高有关单位：</w:t>
      </w:r>
    </w:p>
    <w:p>
      <w:pPr>
        <w:spacing w:after="120" w:line="56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6"/>
          <w:sz w:val="32"/>
          <w:szCs w:val="32"/>
        </w:rPr>
        <w:t>高台县</w:t>
      </w:r>
      <w:r>
        <w:rPr>
          <w:rFonts w:ascii="仿宋_GB2312" w:hAnsi="仿宋_GB2312" w:eastAsia="仿宋_GB2312" w:cs="仿宋_GB2312"/>
          <w:color w:val="000000"/>
          <w:spacing w:val="-6"/>
          <w:sz w:val="32"/>
          <w:szCs w:val="32"/>
        </w:rPr>
        <w:t>2022</w:t>
      </w:r>
      <w:r>
        <w:rPr>
          <w:rFonts w:hint="eastAsia" w:ascii="仿宋_GB2312" w:hAnsi="仿宋_GB2312" w:eastAsia="仿宋_GB2312" w:cs="仿宋_GB2312"/>
          <w:color w:val="000000"/>
          <w:spacing w:val="-6"/>
          <w:sz w:val="32"/>
          <w:szCs w:val="32"/>
        </w:rPr>
        <w:t>年居家和社区基本养老服务提升行动项目实施方案》已经县政府同意，现印发给你们，请认真组织实施。</w:t>
      </w:r>
    </w:p>
    <w:p>
      <w:pPr>
        <w:spacing w:line="480" w:lineRule="exact"/>
        <w:jc w:val="center"/>
        <w:rPr>
          <w:rFonts w:ascii="方正小标宋简体" w:hAnsi="方正小标宋简体" w:eastAsia="方正小标宋简体" w:cs="Times New Roman"/>
          <w:color w:val="000000"/>
          <w:sz w:val="44"/>
          <w:szCs w:val="44"/>
        </w:rPr>
      </w:pPr>
    </w:p>
    <w:p>
      <w:pPr>
        <w:spacing w:line="440" w:lineRule="exact"/>
        <w:jc w:val="center"/>
        <w:rPr>
          <w:rFonts w:ascii="方正小标宋简体" w:hAnsi="方正小标宋简体" w:eastAsia="方正小标宋简体" w:cs="Times New Roman"/>
          <w:color w:val="000000"/>
          <w:sz w:val="44"/>
          <w:szCs w:val="44"/>
        </w:rPr>
      </w:pPr>
    </w:p>
    <w:p>
      <w:pPr>
        <w:spacing w:line="560" w:lineRule="exact"/>
        <w:jc w:val="center"/>
        <w:rPr>
          <w:rFonts w:ascii="仿宋_GB2312" w:hAnsi="仿宋_GB2312" w:eastAsia="仿宋_GB2312" w:cs="Times New Roman"/>
          <w:color w:val="000000"/>
          <w:spacing w:val="-6"/>
          <w:sz w:val="32"/>
          <w:szCs w:val="32"/>
        </w:rPr>
      </w:pPr>
      <w:r>
        <w:rPr>
          <w:rFonts w:ascii="仿宋_GB2312" w:hAnsi="仿宋_GB2312" w:eastAsia="仿宋_GB2312" w:cs="仿宋_GB2312"/>
          <w:color w:val="000000"/>
          <w:spacing w:val="-6"/>
          <w:sz w:val="32"/>
          <w:szCs w:val="32"/>
        </w:rPr>
        <w:t xml:space="preserve">                    </w:t>
      </w:r>
      <w:r>
        <w:rPr>
          <w:rFonts w:hint="eastAsia" w:ascii="仿宋_GB2312" w:hAnsi="仿宋_GB2312" w:eastAsia="仿宋_GB2312" w:cs="仿宋_GB2312"/>
          <w:color w:val="000000"/>
          <w:spacing w:val="-6"/>
          <w:sz w:val="32"/>
          <w:szCs w:val="32"/>
        </w:rPr>
        <w:t>高台县人民政府办公室</w:t>
      </w:r>
    </w:p>
    <w:p>
      <w:pPr>
        <w:spacing w:after="120"/>
        <w:ind w:left="420" w:leftChars="200" w:firstLine="616" w:firstLineChars="200"/>
        <w:rPr>
          <w:rFonts w:ascii="仿宋_GB2312" w:hAnsi="仿宋_GB2312" w:eastAsia="仿宋_GB2312" w:cs="Times New Roman"/>
          <w:color w:val="000000"/>
          <w:spacing w:val="-6"/>
          <w:sz w:val="32"/>
          <w:szCs w:val="32"/>
        </w:rPr>
      </w:pPr>
      <w:r>
        <w:rPr>
          <w:rFonts w:ascii="仿宋_GB2312" w:hAnsi="仿宋_GB2312" w:eastAsia="仿宋_GB2312" w:cs="仿宋_GB2312"/>
          <w:color w:val="000000"/>
          <w:spacing w:val="-6"/>
          <w:sz w:val="32"/>
          <w:szCs w:val="32"/>
        </w:rPr>
        <w:t xml:space="preserve">                        2022</w:t>
      </w:r>
      <w:r>
        <w:rPr>
          <w:rFonts w:hint="eastAsia" w:ascii="仿宋_GB2312" w:hAnsi="仿宋_GB2312" w:eastAsia="仿宋_GB2312" w:cs="仿宋_GB2312"/>
          <w:color w:val="000000"/>
          <w:spacing w:val="-6"/>
          <w:sz w:val="32"/>
          <w:szCs w:val="32"/>
        </w:rPr>
        <w:t>年</w:t>
      </w:r>
      <w:r>
        <w:rPr>
          <w:rFonts w:ascii="仿宋_GB2312" w:hAnsi="仿宋_GB2312" w:eastAsia="仿宋_GB2312" w:cs="仿宋_GB2312"/>
          <w:color w:val="000000"/>
          <w:spacing w:val="-6"/>
          <w:sz w:val="32"/>
          <w:szCs w:val="32"/>
        </w:rPr>
        <w:t>11</w:t>
      </w:r>
      <w:r>
        <w:rPr>
          <w:rFonts w:hint="eastAsia" w:ascii="仿宋_GB2312" w:hAnsi="仿宋_GB2312" w:eastAsia="仿宋_GB2312" w:cs="仿宋_GB2312"/>
          <w:color w:val="000000"/>
          <w:spacing w:val="-6"/>
          <w:sz w:val="32"/>
          <w:szCs w:val="32"/>
        </w:rPr>
        <w:t>月</w:t>
      </w:r>
      <w:r>
        <w:rPr>
          <w:rFonts w:ascii="仿宋_GB2312" w:hAnsi="仿宋_GB2312" w:eastAsia="仿宋_GB2312" w:cs="仿宋_GB2312"/>
          <w:color w:val="000000"/>
          <w:spacing w:val="-6"/>
          <w:sz w:val="32"/>
          <w:szCs w:val="32"/>
        </w:rPr>
        <w:t>15</w:t>
      </w:r>
      <w:r>
        <w:rPr>
          <w:rFonts w:hint="eastAsia" w:ascii="仿宋_GB2312" w:hAnsi="仿宋_GB2312" w:eastAsia="仿宋_GB2312" w:cs="仿宋_GB2312"/>
          <w:color w:val="000000"/>
          <w:spacing w:val="-6"/>
          <w:sz w:val="32"/>
          <w:szCs w:val="32"/>
        </w:rPr>
        <w:t>日</w:t>
      </w:r>
    </w:p>
    <w:p>
      <w:pPr>
        <w:pStyle w:val="2"/>
        <w:ind w:firstLine="31680"/>
        <w:rPr>
          <w:rFonts w:cs="Times New Roman"/>
        </w:rPr>
      </w:pP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高台县</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年居家和社区基本养老服务</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提升行动项目实施方案</w:t>
      </w:r>
    </w:p>
    <w:p>
      <w:pPr>
        <w:spacing w:line="560" w:lineRule="exact"/>
        <w:rPr>
          <w:rFonts w:ascii="仿宋_GB2312" w:hAnsi="仿宋_GB2312" w:eastAsia="仿宋_GB2312" w:cs="Times New Roman"/>
          <w:sz w:val="32"/>
          <w:szCs w:val="32"/>
        </w:rPr>
      </w:pP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为组织实施好全县居家和社区基本养老服务提升行动项目，根据甘肃省财政厅甘肃省民政厅《关于下达</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年中央专项彩票公益金支持居家和社区基本养老服务提升行动项目资金预算的通知》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甘财社〔</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和张掖市人民政府办公室《关于印发张掖市</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年居家和社区基本养老服务提升行动项目实施方案的通知》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张政办发〔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124</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要求，结合我县实际，制定本方案。</w:t>
      </w:r>
    </w:p>
    <w:p>
      <w:pPr>
        <w:spacing w:line="580" w:lineRule="exact"/>
        <w:ind w:firstLine="640" w:firstLineChars="200"/>
        <w:rPr>
          <w:rFonts w:ascii="仿宋_GB2312" w:hAnsi="仿宋_GB2312" w:eastAsia="黑体" w:cs="Times New Roman"/>
          <w:sz w:val="32"/>
          <w:szCs w:val="32"/>
        </w:rPr>
      </w:pPr>
      <w:r>
        <w:rPr>
          <w:rFonts w:hint="eastAsia" w:ascii="黑体" w:hAnsi="黑体" w:eastAsia="黑体" w:cs="黑体"/>
          <w:sz w:val="32"/>
          <w:szCs w:val="32"/>
        </w:rPr>
        <w:t>一、指导思想</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坚持以习近平新时代中国特色社会主义思想为指导，深入贯彻落实习近平总书记关于养老服务工作的重要指示精神，围绕实施积极应对人口老龄化国家战略，坚持以人民为中心的发展思想，按照《中华人民共和国国民经济和社会发展第十四个五年规划和</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远景目标纲要》和中共中央办公厅国务院办公厅《关于推进基本养老服务体系建设的意见》要求，着力强基础、补短板，加快完善居家社区机构相协调、医养康养相结合的养老服务体系，不断优化养老服务供给，持续改善养老服务质量，建立健全居家和社区基本养老服务体系，保障老年人基本养老服务，有效满足老年人最基本、最刚性、最共性的养老服务需求，提升老年人及其家庭的获得感、幸福感。</w:t>
      </w:r>
    </w:p>
    <w:p>
      <w:pPr>
        <w:pStyle w:val="2"/>
        <w:numPr>
          <w:ilvl w:val="0"/>
          <w:numId w:val="1"/>
        </w:numPr>
        <w:spacing w:before="0" w:beforeAutospacing="0" w:line="580" w:lineRule="exact"/>
        <w:ind w:firstLine="31680"/>
        <w:rPr>
          <w:rFonts w:ascii="黑体" w:hAnsi="黑体" w:eastAsia="黑体" w:cs="Times New Roman"/>
        </w:rPr>
      </w:pPr>
      <w:r>
        <w:rPr>
          <w:rFonts w:hint="eastAsia" w:ascii="黑体" w:hAnsi="黑体" w:eastAsia="黑体" w:cs="黑体"/>
        </w:rPr>
        <w:t>基本原则</w:t>
      </w:r>
    </w:p>
    <w:p>
      <w:pPr>
        <w:autoSpaceDE w:val="0"/>
        <w:spacing w:line="580" w:lineRule="exact"/>
        <w:ind w:firstLine="640" w:firstLineChars="200"/>
        <w:rPr>
          <w:rFonts w:ascii="仿宋_GB2312" w:hAnsi="????_GB2312" w:eastAsia="仿宋_GB2312" w:cs="Times New Roman"/>
          <w:sz w:val="32"/>
          <w:szCs w:val="32"/>
        </w:rPr>
      </w:pPr>
      <w:r>
        <w:rPr>
          <w:rFonts w:hint="eastAsia" w:ascii="楷体_GB2312" w:hAnsi="楷体_GB2312" w:eastAsia="楷体_GB2312" w:cs="楷体_GB2312"/>
          <w:sz w:val="32"/>
          <w:szCs w:val="32"/>
        </w:rPr>
        <w:t>（一）坚持尽力而为与量力而行相结合原则。</w:t>
      </w:r>
      <w:r>
        <w:rPr>
          <w:rFonts w:hint="eastAsia" w:ascii="仿宋_GB2312" w:hAnsi="????_GB2312" w:eastAsia="仿宋_GB2312" w:cs="仿宋_GB2312"/>
          <w:sz w:val="32"/>
          <w:szCs w:val="32"/>
        </w:rPr>
        <w:t>立足全县养老服务工作实际，合理引导社会预期，统筹考虑必要性和可能性，着眼保基本、广覆盖、可持续，尽力而为、量力而行，保障老年人的基本生活和照料需要。</w:t>
      </w:r>
    </w:p>
    <w:p>
      <w:pPr>
        <w:autoSpaceDE w:val="0"/>
        <w:spacing w:line="580" w:lineRule="exact"/>
        <w:ind w:firstLine="640" w:firstLineChars="200"/>
        <w:rPr>
          <w:rFonts w:ascii="仿宋_GB2312" w:hAnsi="????_GB2312" w:eastAsia="仿宋_GB2312" w:cs="Times New Roman"/>
          <w:sz w:val="32"/>
          <w:szCs w:val="32"/>
        </w:rPr>
      </w:pPr>
      <w:r>
        <w:rPr>
          <w:rFonts w:hint="eastAsia" w:ascii="楷体_GB2312" w:hAnsi="楷体_GB2312" w:eastAsia="楷体_GB2312" w:cs="楷体_GB2312"/>
          <w:sz w:val="32"/>
          <w:szCs w:val="32"/>
        </w:rPr>
        <w:t>（二）坚持兜底性与普惠性相结合原则。</w:t>
      </w:r>
      <w:r>
        <w:rPr>
          <w:rFonts w:hint="eastAsia" w:ascii="仿宋_GB2312" w:hAnsi="????_GB2312" w:eastAsia="仿宋_GB2312" w:cs="仿宋_GB2312"/>
          <w:sz w:val="32"/>
          <w:szCs w:val="32"/>
        </w:rPr>
        <w:t>在优先保障经济困难失能和部分失能老年人以及特殊困难老年人的基础上，逐步惠及全体老年人，使所有符合条件的老年人能够方便可及、大致均等地获得基本养老服务。</w:t>
      </w:r>
    </w:p>
    <w:p>
      <w:pPr>
        <w:autoSpaceDE w:val="0"/>
        <w:spacing w:line="580" w:lineRule="exact"/>
        <w:ind w:firstLine="640" w:firstLineChars="200"/>
        <w:rPr>
          <w:rFonts w:ascii="仿宋_GB2312" w:hAnsi="????_GB2312" w:eastAsia="仿宋_GB2312" w:cs="Times New Roman"/>
          <w:color w:val="0000FF"/>
          <w:sz w:val="32"/>
          <w:szCs w:val="32"/>
        </w:rPr>
      </w:pPr>
      <w:r>
        <w:rPr>
          <w:rFonts w:hint="eastAsia" w:ascii="仿宋_GB2312" w:hAnsi="????_GB2312" w:eastAsia="仿宋_GB2312" w:cs="仿宋_GB2312"/>
          <w:sz w:val="32"/>
          <w:szCs w:val="32"/>
        </w:rPr>
        <w:t>（三）坚持统筹规划与分类指导相结合原则。县项目建设领导小组负责统筹推进项目落实。分类确定服务群体，严格遴选服务主体，有效激发市场活力和社会创造力。</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三、发展目标</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把基本养老服务工作纳入基本公共服务重要内容，按照“保基础、兜底线、扩普惠”的思路，推进基本养老服务体系建设，建立居家和社区基本养老服务高质量发展机制，分类推进居家和社区基本养老服务，完善基本服务制度，建立基本服务清单，建设家庭养老床位，提供居家养老上门服务，完善居家和社区养老服务网络，优先为经济困难、高龄、失能等老年人刚性养老服务需求提供基本养老服务保障。到</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月，完成家庭养老床位建设和特殊困难家庭适老化改造</w:t>
      </w:r>
      <w:r>
        <w:rPr>
          <w:rFonts w:ascii="仿宋_GB2312" w:hAnsi="仿宋_GB2312" w:eastAsia="仿宋_GB2312" w:cs="仿宋_GB2312"/>
          <w:sz w:val="32"/>
          <w:szCs w:val="32"/>
        </w:rPr>
        <w:t>282</w:t>
      </w:r>
      <w:r>
        <w:rPr>
          <w:rFonts w:hint="eastAsia" w:ascii="仿宋_GB2312" w:hAnsi="仿宋_GB2312" w:eastAsia="仿宋_GB2312" w:cs="仿宋_GB2312"/>
          <w:sz w:val="32"/>
          <w:szCs w:val="32"/>
        </w:rPr>
        <w:t>户以上，逐步提升经济困难失能和部分失能老年人居家养老上门服务覆盖面，提供居家养老上门服务不少于</w:t>
      </w:r>
      <w:r>
        <w:rPr>
          <w:rFonts w:ascii="仿宋_GB2312" w:hAnsi="仿宋_GB2312" w:eastAsia="仿宋_GB2312" w:cs="仿宋_GB2312"/>
          <w:sz w:val="32"/>
          <w:szCs w:val="32"/>
        </w:rPr>
        <w:t>780</w:t>
      </w:r>
      <w:r>
        <w:rPr>
          <w:rFonts w:hint="eastAsia" w:ascii="仿宋_GB2312" w:hAnsi="仿宋_GB2312" w:eastAsia="仿宋_GB2312" w:cs="仿宋_GB2312"/>
          <w:sz w:val="32"/>
          <w:szCs w:val="32"/>
        </w:rPr>
        <w:t>人。支持一批专业化、连锁化养老服务主体参与养老服务，引导更多社会服务资源投入到居家和社区基本养老服务，有效增加服务供给，为实现</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年全体老年人享有基本养老服务的目标打下坚实基础。</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四、重点任务</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（一）建立基本养老服务制度</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科学认定失能等级。依据《长期护理失能等级评估标准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》《老年人能力评估》</w:t>
      </w:r>
      <w:r>
        <w:rPr>
          <w:rFonts w:ascii="仿宋_GB2312" w:hAnsi="仿宋_GB2312" w:eastAsia="仿宋_GB2312" w:cs="仿宋_GB2312"/>
          <w:sz w:val="32"/>
          <w:szCs w:val="32"/>
        </w:rPr>
        <w:t>(MZ/T039-2013)</w:t>
      </w:r>
      <w:r>
        <w:rPr>
          <w:rFonts w:hint="eastAsia" w:ascii="仿宋_GB2312" w:hAnsi="仿宋_GB2312" w:eastAsia="仿宋_GB2312" w:cs="仿宋_GB2312"/>
          <w:sz w:val="32"/>
          <w:szCs w:val="32"/>
        </w:rPr>
        <w:t>等标准，科学认定老年人失能等级，民政部门要指导各镇组织专业评估人员开展低收入老年人失能等级评估认定。各镇不具备组织能力的，民政部门可委托具备相应资质的评估机构及评估人员开展，定期对失能等级进行复核。</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精准确定服务对象范围。扎实开展调查摸底，对已经各镇审批的特困、经济困难、计划生育特殊困难家庭中失能、部分失能老年人直接纳入服务范围，不再重复认定。在此基础上，结合实际情况，区分城乡差异，适度扩大范围，将全县低保家庭中</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岁以上失能、部分失能，</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岁以上高龄、独居、残疾人家庭等老年人纳入服务范围。服务对象要有固定的家庭住所，具备一定的居家照料条件，自愿接受必要的家庭适老化改造。</w:t>
      </w:r>
    </w:p>
    <w:p>
      <w:pPr>
        <w:spacing w:line="580" w:lineRule="exact"/>
        <w:ind w:firstLine="640" w:firstLineChars="200"/>
        <w:rPr>
          <w:rFonts w:ascii="仿宋_GB2312" w:hAnsi="????_GB2312" w:eastAsia="仿宋_GB2312" w:cs="Times New Roman"/>
          <w:sz w:val="32"/>
          <w:szCs w:val="32"/>
        </w:rPr>
      </w:pPr>
      <w:r>
        <w:rPr>
          <w:rFonts w:ascii="仿宋_GB2312" w:hAnsi="????_GB2312" w:eastAsia="仿宋_GB2312" w:cs="仿宋_GB2312"/>
          <w:sz w:val="32"/>
          <w:szCs w:val="32"/>
        </w:rPr>
        <w:t>3.</w:t>
      </w:r>
      <w:r>
        <w:rPr>
          <w:rFonts w:hint="eastAsia" w:ascii="仿宋_GB2312" w:hAnsi="????_GB2312" w:eastAsia="仿宋_GB2312" w:cs="仿宋_GB2312"/>
          <w:sz w:val="32"/>
          <w:szCs w:val="32"/>
        </w:rPr>
        <w:t>制定居家和社区基本养老服务清单。在实施老年人能力评估、上门巡访等工作基础上，充分考虑经济困难失能和部分失能老年人基本养老需求，结合养老服务发展实际，以满足生活安全需要为底线、以满足失能照护需求为核心、以按照经济社会发展水平动态调整为基础，精准制定居家和社区基本养老服务清单，明确服务对象、服务主体、服务内容、服务标准、保障要素、质量监管等措施。</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（二）实施家庭养老床位建设</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严格遴选家庭养老床位服务主体。通过公开招标方式遴选确定家庭养老床位承接机构，承接机构应选择依法在民政部门或市场监管部门登记备案、具备相应服务资质、运营状况良好的专业化养老机构或养老企业。鼓励各类养老机构参与家庭养老床位建设及运营服务。</w:t>
      </w:r>
    </w:p>
    <w:p>
      <w:pPr>
        <w:autoSpaceDE w:val="0"/>
        <w:spacing w:line="580" w:lineRule="exact"/>
        <w:ind w:firstLine="640" w:firstLineChars="200"/>
        <w:rPr>
          <w:rFonts w:ascii="仿宋_GB2312" w:hAnsi="????_GB2312" w:eastAsia="仿宋_GB2312" w:cs="Times New Roman"/>
          <w:sz w:val="32"/>
          <w:szCs w:val="32"/>
        </w:rPr>
      </w:pPr>
      <w:r>
        <w:rPr>
          <w:rFonts w:ascii="仿宋_GB2312" w:hAnsi="仿宋_GB2312" w:eastAsia="仿宋_GB2312" w:cs="仿宋_GB2312"/>
          <w:sz w:val="32"/>
          <w:szCs w:val="32"/>
        </w:rPr>
        <w:t>2.</w:t>
      </w:r>
      <w:r>
        <w:rPr>
          <w:rFonts w:hint="eastAsia" w:ascii="仿宋_GB2312" w:hAnsi="????_GB2312" w:eastAsia="仿宋_GB2312" w:cs="仿宋_GB2312"/>
          <w:sz w:val="32"/>
          <w:szCs w:val="32"/>
        </w:rPr>
        <w:t>精准开展入户摸排。先期对经济困难失能和部分失能老年人以及特殊困难老年人进行</w:t>
      </w:r>
      <w:r>
        <w:rPr>
          <w:rFonts w:hint="eastAsia" w:ascii="仿宋_GB2312" w:eastAsia="仿宋_GB2312" w:cs="仿宋_GB2312"/>
          <w:sz w:val="32"/>
          <w:szCs w:val="32"/>
        </w:rPr>
        <w:t>全面</w:t>
      </w:r>
      <w:r>
        <w:rPr>
          <w:rFonts w:hint="eastAsia" w:ascii="仿宋_GB2312" w:hAnsi="????_GB2312" w:eastAsia="仿宋_GB2312" w:cs="仿宋_GB2312"/>
          <w:sz w:val="32"/>
          <w:szCs w:val="32"/>
        </w:rPr>
        <w:t>摸排，逐步惠及全体老年人。经济困难老年人是指城乡低保、特困供养家庭中</w:t>
      </w:r>
      <w:r>
        <w:rPr>
          <w:rFonts w:ascii="仿宋_GB2312" w:hAnsi="????_GB2312" w:eastAsia="仿宋_GB2312" w:cs="仿宋_GB2312"/>
          <w:sz w:val="32"/>
          <w:szCs w:val="32"/>
        </w:rPr>
        <w:t>60</w:t>
      </w:r>
      <w:r>
        <w:rPr>
          <w:rFonts w:hint="eastAsia" w:ascii="仿宋_GB2312" w:hAnsi="????_GB2312" w:eastAsia="仿宋_GB2312" w:cs="仿宋_GB2312"/>
          <w:sz w:val="32"/>
          <w:szCs w:val="32"/>
        </w:rPr>
        <w:t>周岁及以上老年人；家庭人均收入在当地城乡低保标准的</w:t>
      </w:r>
      <w:r>
        <w:rPr>
          <w:rFonts w:ascii="仿宋_GB2312" w:hAnsi="????_GB2312" w:eastAsia="仿宋_GB2312" w:cs="仿宋_GB2312"/>
          <w:sz w:val="32"/>
          <w:szCs w:val="32"/>
        </w:rPr>
        <w:t>1</w:t>
      </w:r>
      <w:r>
        <w:rPr>
          <w:rFonts w:hint="eastAsia" w:ascii="仿宋_GB2312" w:hAnsi="????_GB2312" w:eastAsia="仿宋_GB2312" w:cs="仿宋_GB2312"/>
          <w:sz w:val="32"/>
          <w:szCs w:val="32"/>
        </w:rPr>
        <w:t>到</w:t>
      </w:r>
      <w:r>
        <w:rPr>
          <w:rFonts w:ascii="仿宋_GB2312" w:hAnsi="????_GB2312" w:eastAsia="仿宋_GB2312" w:cs="仿宋_GB2312"/>
          <w:sz w:val="32"/>
          <w:szCs w:val="32"/>
        </w:rPr>
        <w:t>1.5</w:t>
      </w:r>
      <w:r>
        <w:rPr>
          <w:rFonts w:hint="eastAsia" w:ascii="仿宋_GB2312" w:hAnsi="????_GB2312" w:eastAsia="仿宋_GB2312" w:cs="仿宋_GB2312"/>
          <w:sz w:val="32"/>
          <w:szCs w:val="32"/>
        </w:rPr>
        <w:t>倍之间，且财产状况符合当地规定的低保边缘家庭中</w:t>
      </w:r>
      <w:r>
        <w:rPr>
          <w:rFonts w:ascii="仿宋_GB2312" w:hAnsi="????_GB2312" w:eastAsia="仿宋_GB2312" w:cs="仿宋_GB2312"/>
          <w:sz w:val="32"/>
          <w:szCs w:val="32"/>
        </w:rPr>
        <w:t>60</w:t>
      </w:r>
      <w:r>
        <w:rPr>
          <w:rFonts w:hint="eastAsia" w:ascii="仿宋_GB2312" w:hAnsi="????_GB2312" w:eastAsia="仿宋_GB2312" w:cs="仿宋_GB2312"/>
          <w:sz w:val="32"/>
          <w:szCs w:val="32"/>
        </w:rPr>
        <w:t>周岁及以上老年人。特殊困难老年人是指经济困难的空巢、留守、失能、残疾、高龄老年人以及计划生育特殊家庭老年人。承接项目建设机构及各镇要按政策界限，优先保障好困难老年人的养老床位建设需求。</w:t>
      </w:r>
    </w:p>
    <w:p>
      <w:pPr>
        <w:autoSpaceDE w:val="0"/>
        <w:spacing w:line="580" w:lineRule="exact"/>
        <w:ind w:firstLine="640" w:firstLineChars="200"/>
        <w:rPr>
          <w:rFonts w:ascii="仿宋_GB2312" w:hAnsi="????_GB2312" w:eastAsia="仿宋_GB2312" w:cs="Times New Roman"/>
          <w:sz w:val="32"/>
          <w:szCs w:val="32"/>
        </w:rPr>
      </w:pPr>
      <w:r>
        <w:rPr>
          <w:rFonts w:ascii="仿宋_GB2312" w:hAnsi="????_GB2312" w:eastAsia="仿宋_GB2312" w:cs="仿宋_GB2312"/>
          <w:sz w:val="32"/>
          <w:szCs w:val="32"/>
        </w:rPr>
        <w:t>3.</w:t>
      </w:r>
      <w:r>
        <w:rPr>
          <w:rFonts w:hint="eastAsia" w:ascii="仿宋_GB2312" w:hAnsi="????_GB2312" w:eastAsia="仿宋_GB2312" w:cs="仿宋_GB2312"/>
          <w:sz w:val="32"/>
          <w:szCs w:val="32"/>
        </w:rPr>
        <w:t>因地制宜确定床位建设内容。坚持“一户一策”原则，安排承接机构入户采集服务对象及家庭相关信息、照片资料等，参考但不仅限于《家庭养老床位建设和老年用品配置基本清单（试行</w:t>
      </w:r>
      <w:r>
        <w:rPr>
          <w:rFonts w:ascii="仿宋_GB2312" w:hAnsi="????_GB2312" w:eastAsia="仿宋_GB2312" w:cs="仿宋_GB2312"/>
          <w:sz w:val="32"/>
          <w:szCs w:val="32"/>
        </w:rPr>
        <w:t>1</w:t>
      </w:r>
      <w:r>
        <w:rPr>
          <w:rFonts w:hint="eastAsia" w:ascii="仿宋_GB2312" w:hAnsi="????_GB2312" w:eastAsia="仿宋_GB2312" w:cs="仿宋_GB2312"/>
          <w:sz w:val="32"/>
          <w:szCs w:val="32"/>
        </w:rPr>
        <w:t>、</w:t>
      </w:r>
      <w:r>
        <w:rPr>
          <w:rFonts w:ascii="仿宋_GB2312" w:hAnsi="????_GB2312" w:eastAsia="仿宋_GB2312" w:cs="仿宋_GB2312"/>
          <w:sz w:val="32"/>
          <w:szCs w:val="32"/>
        </w:rPr>
        <w:t>2</w:t>
      </w:r>
      <w:r>
        <w:rPr>
          <w:rFonts w:hint="eastAsia" w:ascii="仿宋_GB2312" w:hAnsi="????_GB2312" w:eastAsia="仿宋_GB2312" w:cs="仿宋_GB2312"/>
          <w:sz w:val="32"/>
          <w:szCs w:val="32"/>
        </w:rPr>
        <w:t>）》（附件</w:t>
      </w:r>
      <w:r>
        <w:rPr>
          <w:rFonts w:ascii="仿宋_GB2312" w:hAnsi="????_GB2312" w:eastAsia="仿宋_GB2312" w:cs="仿宋_GB2312"/>
          <w:sz w:val="32"/>
          <w:szCs w:val="32"/>
        </w:rPr>
        <w:t>4</w:t>
      </w:r>
      <w:r>
        <w:rPr>
          <w:rFonts w:hint="eastAsia" w:ascii="仿宋_GB2312" w:hAnsi="????_GB2312" w:eastAsia="仿宋_GB2312" w:cs="仿宋_GB2312"/>
          <w:sz w:val="32"/>
          <w:szCs w:val="32"/>
        </w:rPr>
        <w:t>）相关内容，由村、社区工作人员通知服务对象及其家属到项目实施现场，根据现有环境及条件，逐条逐项进行对接，共同商议确定改造项目及内容。如产生补贴政策范围之外的自费项目，需由承接机构与服务对象协商约定收费标准，费用由服务对象自行承担。</w:t>
      </w:r>
    </w:p>
    <w:p>
      <w:pPr>
        <w:autoSpaceDE w:val="0"/>
        <w:spacing w:line="580" w:lineRule="exact"/>
        <w:ind w:firstLine="640" w:firstLineChars="200"/>
        <w:rPr>
          <w:rFonts w:ascii="仿宋_GB2312" w:hAnsi="????_GB2312" w:eastAsia="仿宋_GB2312" w:cs="Times New Roman"/>
          <w:sz w:val="32"/>
          <w:szCs w:val="32"/>
        </w:rPr>
      </w:pPr>
      <w:r>
        <w:rPr>
          <w:rFonts w:ascii="仿宋_GB2312" w:hAnsi="????_GB2312" w:eastAsia="仿宋_GB2312" w:cs="仿宋_GB2312"/>
          <w:sz w:val="32"/>
          <w:szCs w:val="32"/>
        </w:rPr>
        <w:t>4.</w:t>
      </w:r>
      <w:r>
        <w:rPr>
          <w:rFonts w:hint="eastAsia" w:ascii="仿宋_GB2312" w:hAnsi="????_GB2312" w:eastAsia="仿宋_GB2312" w:cs="仿宋_GB2312"/>
          <w:sz w:val="32"/>
          <w:szCs w:val="32"/>
        </w:rPr>
        <w:t>动员各方工作力量积极参与。为保障摸排工作迅速启动，各镇要积极动员部署，成立工作专班，抽调精干工作力量尽快落实好此项工作，组织包村联社区干部、社会救助协理员和村（社区）干部开展入户摸排工作。民政部门要采取分片包干制，抽调工作人员组成督导检查小组，指导各镇开展家庭床位建设入户评估相关工作，并做好相关业务指导和政策解读。</w:t>
      </w:r>
    </w:p>
    <w:p>
      <w:pPr>
        <w:autoSpaceDE w:val="0"/>
        <w:spacing w:line="580" w:lineRule="exact"/>
        <w:ind w:firstLine="640" w:firstLineChars="200"/>
        <w:rPr>
          <w:rFonts w:ascii="仿宋_GB2312" w:hAnsi="????_GB2312" w:eastAsia="仿宋_GB2312" w:cs="Times New Roman"/>
          <w:sz w:val="32"/>
          <w:szCs w:val="32"/>
        </w:rPr>
      </w:pPr>
      <w:r>
        <w:rPr>
          <w:rFonts w:ascii="仿宋_GB2312" w:hAnsi="????_GB2312" w:eastAsia="仿宋_GB2312" w:cs="仿宋_GB2312"/>
          <w:sz w:val="32"/>
          <w:szCs w:val="32"/>
        </w:rPr>
        <w:t>5.</w:t>
      </w:r>
      <w:r>
        <w:rPr>
          <w:rFonts w:hint="eastAsia" w:ascii="仿宋_GB2312" w:hAnsi="????_GB2312" w:eastAsia="仿宋_GB2312" w:cs="仿宋_GB2312"/>
          <w:sz w:val="32"/>
          <w:szCs w:val="32"/>
        </w:rPr>
        <w:t>家庭床位建设方案审核。家庭床位建设入户评估工作结束后，民政部门对每户建设方案进行审核，出具审核意见，统计汇总后报市民政部门。审核通过后，由承接机构与服务对象或其代理人据此签订家庭养老床位建设协议。承接机构为签约老人办理家庭养老床位登记手续，建立服务档案，并报民政部门备案。</w:t>
      </w:r>
    </w:p>
    <w:p>
      <w:pPr>
        <w:autoSpaceDE w:val="0"/>
        <w:spacing w:line="580" w:lineRule="exact"/>
        <w:ind w:firstLine="640" w:firstLineChars="200"/>
        <w:rPr>
          <w:rFonts w:ascii="仿宋_GB2312" w:hAnsi="????_GB2312" w:eastAsia="仿宋_GB2312" w:cs="Times New Roman"/>
          <w:sz w:val="32"/>
          <w:szCs w:val="32"/>
        </w:rPr>
      </w:pPr>
      <w:r>
        <w:rPr>
          <w:rFonts w:ascii="仿宋_GB2312" w:hAnsi="????_GB2312" w:eastAsia="仿宋_GB2312" w:cs="仿宋_GB2312"/>
          <w:sz w:val="32"/>
          <w:szCs w:val="32"/>
        </w:rPr>
        <w:t>6.</w:t>
      </w:r>
      <w:r>
        <w:rPr>
          <w:rFonts w:hint="eastAsia" w:ascii="仿宋_GB2312" w:hAnsi="????_GB2312" w:eastAsia="仿宋_GB2312" w:cs="仿宋_GB2312"/>
          <w:sz w:val="32"/>
          <w:szCs w:val="32"/>
        </w:rPr>
        <w:t>进行全流程综合监管。民政部门要把家庭养老床位服务纳入养老服务综合监管范围，参照养老机构管理和服务规范，对服务内容、服务协议、服务收费和服务质量等进行日常监管，切实保障老年人合法权益；要把家庭养老床位建设及运营服务信息及时录入</w:t>
      </w:r>
      <w:r>
        <w:rPr>
          <w:rFonts w:ascii="仿宋_GB2312" w:hAnsi="????_GB2312" w:eastAsia="仿宋_GB2312" w:cs="????_GB2312"/>
          <w:sz w:val="32"/>
          <w:szCs w:val="32"/>
        </w:rPr>
        <w:t>“</w:t>
      </w:r>
      <w:r>
        <w:rPr>
          <w:rFonts w:hint="eastAsia" w:ascii="仿宋_GB2312" w:hAnsi="????_GB2312" w:eastAsia="仿宋_GB2312" w:cs="仿宋_GB2312"/>
          <w:sz w:val="32"/>
          <w:szCs w:val="32"/>
        </w:rPr>
        <w:t>金民工程</w:t>
      </w:r>
      <w:r>
        <w:rPr>
          <w:rFonts w:ascii="仿宋_GB2312" w:hAnsi="????_GB2312" w:eastAsia="仿宋_GB2312" w:cs="????_GB2312"/>
          <w:sz w:val="32"/>
          <w:szCs w:val="32"/>
        </w:rPr>
        <w:t>”</w:t>
      </w:r>
      <w:r>
        <w:rPr>
          <w:rFonts w:hint="eastAsia" w:ascii="仿宋_GB2312" w:hAnsi="????_GB2312" w:eastAsia="仿宋_GB2312" w:cs="仿宋_GB2312"/>
          <w:sz w:val="32"/>
          <w:szCs w:val="32"/>
        </w:rPr>
        <w:t>全国养老服务信息系统，做好系统内相关数据更新维护，及时反映工作进展情况。</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（三）提供居家养老上门服务</w:t>
      </w:r>
    </w:p>
    <w:p>
      <w:pPr>
        <w:autoSpaceDE w:val="0"/>
        <w:spacing w:line="580" w:lineRule="exact"/>
        <w:ind w:firstLine="640"/>
        <w:rPr>
          <w:rFonts w:ascii="仿宋_GB2312" w:hAnsi="????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合理确定居家养老上门服务对象。建立以经济困难程度、失能等级程度为基础的分类保障制度，分类确定服务对象。通过政府购买服务等方式，优先为特困、低保、计划生育特殊困难和低收入家庭等经济困难失能和部分失能老年人提供居家养老上门服务，并逐步扩大保障范围，</w:t>
      </w:r>
      <w:r>
        <w:rPr>
          <w:rFonts w:hint="eastAsia" w:ascii="仿宋_GB2312" w:hAnsi="????_GB2312" w:eastAsia="仿宋_GB2312" w:cs="仿宋_GB2312"/>
          <w:sz w:val="32"/>
          <w:szCs w:val="32"/>
        </w:rPr>
        <w:t>将低收入家庭中的</w:t>
      </w:r>
      <w:r>
        <w:rPr>
          <w:rFonts w:hint="eastAsia" w:ascii="仿宋_GB2312" w:hAnsi="仿宋_GB2312" w:eastAsia="仿宋_GB2312" w:cs="仿宋_GB2312"/>
          <w:sz w:val="32"/>
          <w:szCs w:val="32"/>
        </w:rPr>
        <w:t>高龄、失能、留守、空巢、残疾老年人家庭和计划生育特殊家庭纳入居家上门服务范围，实现兜底性与普惠性有机结合。至</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月底，全县居家养老上门服务不少于</w:t>
      </w:r>
      <w:r>
        <w:rPr>
          <w:rFonts w:ascii="仿宋_GB2312" w:hAnsi="仿宋_GB2312" w:eastAsia="仿宋_GB2312" w:cs="仿宋_GB2312"/>
          <w:sz w:val="32"/>
          <w:szCs w:val="32"/>
        </w:rPr>
        <w:t>780</w:t>
      </w:r>
      <w:r>
        <w:rPr>
          <w:rFonts w:hint="eastAsia" w:ascii="仿宋_GB2312" w:hAnsi="仿宋_GB2312" w:eastAsia="仿宋_GB2312" w:cs="仿宋_GB2312"/>
          <w:sz w:val="32"/>
          <w:szCs w:val="32"/>
        </w:rPr>
        <w:t>人。</w:t>
      </w:r>
      <w:r>
        <w:rPr>
          <w:rFonts w:hint="eastAsia" w:ascii="仿宋_GB2312" w:hAnsi="????_GB2312" w:eastAsia="仿宋_GB2312" w:cs="仿宋_GB2312"/>
          <w:sz w:val="32"/>
          <w:szCs w:val="32"/>
        </w:rPr>
        <w:t>引导居家养老上门服务企业和社会组织为非经济困难老年人提供低于市场价的居家上门服务，相关服务纳入自费项目。</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规范居家养老上门服务内容。承接服务的企业或社会组织要根据老年人能力评估情况及个体需求，参考《居家养老上门服务项目指导目录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与老年人及监护人签订服务协议，对服务对象及其照护者进行适老化产品使用培训和基本护理知识及能力培训，并根据协议约定为签约老年人提供包括并不限于生活照料、康复辅助（保健）精神慰藉、日间照料以及助餐、助洁、助行、助浴、助医、康复、巡访关爱等居家养老上门服务。重度失能老年人每月可享受不少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小时的服务时长，中度和轻度失能老年人每月可享受不少于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小时的服务时长，按服务时长给予一定服务补贴。承接主体要根据服务对象身体状况和照护需求，经与服务对象或其监护人商议，及时调整服务计划。服务企业或社会组织可根据老年人家庭照护需求，在补贴服务范围基础上，建立老人及家庭自费服务项目清单，采取“一户一策”方式定制个性化服务内容，并结合实际提供相应时长的居家养老上门服务。</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加强服务质量监管。承接机构派出的上门服务人员应是与承接机构签订劳动合同或劳务协议的工作人员，或与承接机构有合作协议单位的正式工作人员，并具备与服务需求相匹配的专业服务能力。民政部门可通过委托第三方专业机构的方式，对承接机构提供的居家养老上门服务情况及服务质量进行跟踪核查，有效保障居家养老上门服务质量。</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（四）完善专业化养老服务网络</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提升居家养老服务信息化水平。按照“政府主导、社会参与”模式，充分发挥居家养老服务信息平台作用，整合社会服务资源为辖区老年人提供服务。提升居家和社区基本养老服务信息化水平，把家庭养老床位、居家养老上门服务等纳入到居家养老服务信息平台管理，将信息化、智能化运用到居家养老服务呼叫、调度、服务和监管等环节，实现闭环管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推动乡镇综合养老服务中心发展</w:t>
      </w:r>
      <w:r>
        <w:rPr>
          <w:rFonts w:hint="eastAsia" w:ascii="仿宋_GB2312" w:hAnsi="????_GB2312" w:eastAsia="仿宋_GB2312" w:cs="仿宋_GB2312"/>
          <w:sz w:val="32"/>
          <w:szCs w:val="32"/>
        </w:rPr>
        <w:t>。支持已建成的乡镇综合养老服务中心等社区养老服务设施实行社会化运营，以乡镇综合养老服务机构为中心点，辐射带动本辖区的社区日间照料中心积极开展居家养老上门服务，拓展服务范围，优化居家服务内容，</w:t>
      </w:r>
      <w:r>
        <w:rPr>
          <w:rFonts w:hint="eastAsia" w:ascii="仿宋_GB2312" w:eastAsia="仿宋_GB2312" w:cs="仿宋_GB2312"/>
          <w:sz w:val="32"/>
          <w:szCs w:val="32"/>
        </w:rPr>
        <w:t>明确服务标准、服务时长，为辖区老年人提供长短期照护、日间照料、精神慰藉、文化娱乐等养老服务。积极实施助餐、助浴、助洁、助医、助急、代办代购等居家上门服务。</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支持社会资本参与基本养老服务。通过购买服务、委托服务、政府与社会资本合作等方式，支持和引导专业服务企业和社会组织参与居家养老上门服务、家庭养老床位建设等居家和社区基本养老服务，有效提高基本养老服务供给能力。充分发挥市场机制配置资源，撬动社会资本参与设施建设、人才发展、机构运</w:t>
      </w:r>
      <w:r>
        <w:rPr>
          <w:rFonts w:hint="eastAsia" w:ascii="仿宋_GB2312" w:hAnsi="仿宋_GB2312" w:eastAsia="仿宋_GB2312" w:cs="仿宋_GB2312"/>
          <w:spacing w:val="-6"/>
          <w:sz w:val="32"/>
          <w:szCs w:val="32"/>
        </w:rPr>
        <w:t>营、产品研发、适老化改造等养老服务相关行业，促进多元化发展。</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（五）强化基本养老服务支撑要素</w:t>
      </w:r>
    </w:p>
    <w:p>
      <w:pPr>
        <w:pBdr>
          <w:bottom w:val="single" w:color="FFFFFF" w:sz="4" w:space="31"/>
        </w:pBdr>
        <w:overflowPunct w:val="0"/>
        <w:autoSpaceDE w:val="0"/>
        <w:autoSpaceDN w:val="0"/>
        <w:spacing w:line="580" w:lineRule="exact"/>
        <w:ind w:firstLine="651"/>
        <w:rPr>
          <w:rFonts w:ascii="仿宋_GB2312" w:hAnsi="????_GB2312" w:eastAsia="仿宋_GB2312" w:cs="Times New Roman"/>
          <w:sz w:val="32"/>
          <w:szCs w:val="32"/>
        </w:rPr>
      </w:pPr>
      <w:r>
        <w:rPr>
          <w:rFonts w:ascii="仿宋_GB2312" w:hAnsi="????_GB2312" w:eastAsia="仿宋_GB2312" w:cs="仿宋_GB2312"/>
          <w:sz w:val="32"/>
          <w:szCs w:val="32"/>
        </w:rPr>
        <w:t>1.</w:t>
      </w:r>
      <w:r>
        <w:rPr>
          <w:rFonts w:hint="eastAsia" w:ascii="仿宋_GB2312" w:hAnsi="????_GB2312" w:eastAsia="仿宋_GB2312" w:cs="仿宋_GB2312"/>
          <w:sz w:val="32"/>
          <w:szCs w:val="32"/>
        </w:rPr>
        <w:t>做好基本养老服务与相关保险衔接。把全县老年人意外伤害保险纳入基本养老服务内容，持续实施推进，提高老年人安全风险应对能力。贯彻落实好养老机构综合责任和雇主责任保险，为养老机构、镇综合养老服务中心、社区养老服务设施和居家养老服务企业组织开展养老服务提供支撑，消除后顾之忧。探索建立长期护理保险制度，促进基本养老服务与长期护理保险一体发展，保障失能老年人护理需求。</w:t>
      </w:r>
    </w:p>
    <w:p>
      <w:pPr>
        <w:pBdr>
          <w:bottom w:val="single" w:color="FFFFFF" w:sz="4" w:space="31"/>
        </w:pBdr>
        <w:overflowPunct w:val="0"/>
        <w:autoSpaceDE w:val="0"/>
        <w:autoSpaceDN w:val="0"/>
        <w:spacing w:line="580" w:lineRule="exact"/>
        <w:ind w:firstLine="651"/>
        <w:rPr>
          <w:rFonts w:ascii="仿宋_GB2312" w:hAnsi="????_GB2312" w:eastAsia="仿宋_GB2312" w:cs="Times New Roman"/>
          <w:sz w:val="32"/>
          <w:szCs w:val="32"/>
        </w:rPr>
      </w:pPr>
      <w:r>
        <w:rPr>
          <w:rFonts w:ascii="仿宋_GB2312" w:hAnsi="????_GB2312" w:eastAsia="仿宋_GB2312" w:cs="仿宋_GB2312"/>
          <w:sz w:val="32"/>
          <w:szCs w:val="32"/>
        </w:rPr>
        <w:t>2.</w:t>
      </w:r>
      <w:r>
        <w:rPr>
          <w:rFonts w:hint="eastAsia" w:ascii="仿宋_GB2312" w:hAnsi="????_GB2312" w:eastAsia="仿宋_GB2312" w:cs="仿宋_GB2312"/>
          <w:sz w:val="32"/>
          <w:szCs w:val="32"/>
        </w:rPr>
        <w:t>加强养老服务人才队伍建设。支持县职业中专开设养老服务、康复护理等相关专业并逐步探索开展人才定向培养。积极实施养老护理员职业技能提升、康养技能人才培训行动，对接符合条件的院校、医疗机构、培训机构和养老机构作为我县养老护理员培训基地，广泛开展培训，及时落实养老护理员职业技能提升培训补贴。适时组织举办“养老护理职业技能大赛”，以赛促学提升服务人员职业素养。在各类评先创优活动中适当考虑养老服务人员，集聚全社会尊老爱老的正能量。</w:t>
      </w:r>
    </w:p>
    <w:p>
      <w:pPr>
        <w:pBdr>
          <w:bottom w:val="single" w:color="FFFFFF" w:sz="4" w:space="31"/>
        </w:pBdr>
        <w:overflowPunct w:val="0"/>
        <w:autoSpaceDE w:val="0"/>
        <w:autoSpaceDN w:val="0"/>
        <w:spacing w:line="580" w:lineRule="exact"/>
        <w:ind w:firstLine="640" w:firstLineChars="200"/>
        <w:rPr>
          <w:rFonts w:cs="Times New Roman"/>
        </w:rPr>
      </w:pPr>
      <w:r>
        <w:rPr>
          <w:rFonts w:ascii="仿宋_GB2312" w:hAnsi="????_GB2312" w:eastAsia="仿宋_GB2312" w:cs="仿宋_GB2312"/>
          <w:sz w:val="32"/>
          <w:szCs w:val="32"/>
        </w:rPr>
        <w:t>3.</w:t>
      </w:r>
      <w:r>
        <w:rPr>
          <w:rFonts w:hint="eastAsia" w:ascii="仿宋_GB2312" w:hAnsi="????_GB2312" w:eastAsia="仿宋_GB2312" w:cs="仿宋_GB2312"/>
          <w:sz w:val="32"/>
          <w:szCs w:val="32"/>
        </w:rPr>
        <w:t>探索养老服务领域志愿服务。坚持公益性、互助性、激励性和持续性的志愿服务理念，统筹考虑，探索建立</w:t>
      </w:r>
      <w:r>
        <w:rPr>
          <w:rFonts w:ascii="仿宋_GB2312" w:hAnsi="????_GB2312" w:eastAsia="仿宋_GB2312" w:cs="????_GB2312"/>
          <w:sz w:val="32"/>
          <w:szCs w:val="32"/>
        </w:rPr>
        <w:t>“</w:t>
      </w:r>
      <w:r>
        <w:rPr>
          <w:rFonts w:hint="eastAsia" w:ascii="仿宋_GB2312" w:hAnsi="????_GB2312" w:eastAsia="仿宋_GB2312" w:cs="仿宋_GB2312"/>
          <w:sz w:val="32"/>
          <w:szCs w:val="32"/>
        </w:rPr>
        <w:t>养老时间银行</w:t>
      </w:r>
      <w:r>
        <w:rPr>
          <w:rFonts w:ascii="仿宋_GB2312" w:hAnsi="????_GB2312" w:eastAsia="仿宋_GB2312" w:cs="????_GB2312"/>
          <w:sz w:val="32"/>
          <w:szCs w:val="32"/>
        </w:rPr>
        <w:t>”</w:t>
      </w:r>
      <w:r>
        <w:rPr>
          <w:rFonts w:hint="eastAsia" w:ascii="仿宋_GB2312" w:hAnsi="????_GB2312" w:eastAsia="仿宋_GB2312" w:cs="仿宋_GB2312"/>
          <w:sz w:val="32"/>
          <w:szCs w:val="32"/>
        </w:rPr>
        <w:t>制度，鼓励志愿者在相对年轻时提供养老志愿服务，按照一定的规则储存服务时间，需要养老服务时，提取时间兑换服务。加大宣传推广，扩大社会参与，推进养老服务领域志愿服务，逐步形成政府引导、社会治理、居民互助的发展模式。</w:t>
      </w:r>
    </w:p>
    <w:p>
      <w:pPr>
        <w:pBdr>
          <w:bottom w:val="single" w:color="FFFFFF" w:sz="4" w:space="31"/>
        </w:pBdr>
        <w:overflowPunct w:val="0"/>
        <w:autoSpaceDE w:val="0"/>
        <w:autoSpaceDN w:val="0"/>
        <w:spacing w:line="580" w:lineRule="exact"/>
        <w:ind w:firstLine="640" w:firstLineChars="200"/>
        <w:rPr>
          <w:rFonts w:cs="Times New Roman"/>
        </w:rPr>
      </w:pPr>
      <w:r>
        <w:rPr>
          <w:rFonts w:hint="eastAsia" w:ascii="黑体" w:hAnsi="黑体" w:eastAsia="黑体" w:cs="黑体"/>
          <w:sz w:val="32"/>
          <w:szCs w:val="32"/>
        </w:rPr>
        <w:t>五、工作步骤</w:t>
      </w:r>
    </w:p>
    <w:p>
      <w:pPr>
        <w:pBdr>
          <w:bottom w:val="single" w:color="FFFFFF" w:sz="4" w:space="31"/>
        </w:pBdr>
        <w:overflowPunct w:val="0"/>
        <w:autoSpaceDE w:val="0"/>
        <w:autoSpaceDN w:val="0"/>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（一）工作筹备阶段（</w:t>
      </w:r>
      <w:r>
        <w:rPr>
          <w:rFonts w:ascii="楷体_GB2312" w:hAnsi="楷体_GB2312" w:eastAsia="楷体_GB2312" w:cs="楷体_GB2312"/>
          <w:sz w:val="32"/>
          <w:szCs w:val="32"/>
        </w:rPr>
        <w:t>2022</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9</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15</w:t>
      </w:r>
      <w:r>
        <w:rPr>
          <w:rFonts w:hint="eastAsia" w:ascii="楷体_GB2312" w:hAnsi="楷体_GB2312" w:eastAsia="楷体_GB2312" w:cs="楷体_GB2312"/>
          <w:sz w:val="32"/>
          <w:szCs w:val="32"/>
        </w:rPr>
        <w:t>日至</w:t>
      </w:r>
      <w:r>
        <w:rPr>
          <w:rFonts w:ascii="楷体_GB2312" w:hAnsi="楷体_GB2312" w:eastAsia="楷体_GB2312" w:cs="楷体_GB2312"/>
          <w:sz w:val="32"/>
          <w:szCs w:val="32"/>
        </w:rPr>
        <w:t>10</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31</w:t>
      </w:r>
      <w:r>
        <w:rPr>
          <w:rFonts w:hint="eastAsia" w:ascii="楷体_GB2312" w:hAnsi="楷体_GB2312" w:eastAsia="楷体_GB2312" w:cs="楷体_GB2312"/>
          <w:sz w:val="32"/>
          <w:szCs w:val="32"/>
        </w:rPr>
        <w:t>日）</w:t>
      </w:r>
    </w:p>
    <w:p>
      <w:pPr>
        <w:pBdr>
          <w:bottom w:val="single" w:color="FFFFFF" w:sz="4" w:space="31"/>
        </w:pBdr>
        <w:overflowPunct w:val="0"/>
        <w:autoSpaceDE w:val="0"/>
        <w:autoSpaceDN w:val="0"/>
        <w:spacing w:line="580" w:lineRule="exact"/>
        <w:ind w:firstLine="640" w:firstLineChars="200"/>
        <w:rPr>
          <w:rFonts w:cs="Times New Roman"/>
        </w:rPr>
      </w:pPr>
      <w:r>
        <w:rPr>
          <w:rFonts w:hint="eastAsia" w:ascii="仿宋_GB2312" w:hAnsi="仿宋_GB2312" w:eastAsia="仿宋_GB2312" w:cs="仿宋_GB2312"/>
          <w:sz w:val="32"/>
          <w:szCs w:val="32"/>
        </w:rPr>
        <w:t>制定印发提升行动项目实施方案，召开动员部署会议。结合全县实际制定细化工作方案，开展辖区失能、部分失能老年人及家庭养老床位建设入户评估。</w:t>
      </w:r>
      <w:r>
        <w:rPr>
          <w:rFonts w:hint="eastAsia" w:ascii="仿宋_GB2312" w:hAnsi="????_GB2312" w:eastAsia="仿宋_GB2312" w:cs="仿宋_GB2312"/>
          <w:sz w:val="32"/>
          <w:szCs w:val="32"/>
        </w:rPr>
        <w:t>认真做好项目实施对象的资格审核，</w:t>
      </w:r>
      <w:r>
        <w:rPr>
          <w:rFonts w:hint="eastAsia" w:ascii="仿宋_GB2312" w:hAnsi="仿宋_GB2312" w:eastAsia="仿宋_GB2312" w:cs="仿宋_GB2312"/>
          <w:sz w:val="32"/>
          <w:szCs w:val="32"/>
        </w:rPr>
        <w:t>制定填写“一户一策”改造方案，</w:t>
      </w:r>
      <w:r>
        <w:rPr>
          <w:rFonts w:hint="eastAsia" w:ascii="仿宋_GB2312" w:hAnsi="????_GB2312" w:eastAsia="仿宋_GB2312" w:cs="仿宋_GB2312"/>
          <w:sz w:val="32"/>
          <w:szCs w:val="32"/>
        </w:rPr>
        <w:t>将符合条件具备改造环境的家庭确定为改造对象，并进行公示和接受社会监督。各镇入户摸排工作结束以后，填写附件</w:t>
      </w:r>
      <w:r>
        <w:rPr>
          <w:rFonts w:ascii="仿宋_GB2312" w:hAnsi="????_GB2312" w:eastAsia="仿宋_GB2312" w:cs="仿宋_GB2312"/>
          <w:sz w:val="32"/>
          <w:szCs w:val="32"/>
        </w:rPr>
        <w:t>2</w:t>
      </w:r>
      <w:r>
        <w:rPr>
          <w:rFonts w:hint="eastAsia" w:ascii="仿宋_GB2312" w:hAnsi="????_GB2312" w:eastAsia="仿宋_GB2312" w:cs="仿宋_GB2312"/>
          <w:sz w:val="32"/>
          <w:szCs w:val="32"/>
        </w:rPr>
        <w:t>、</w:t>
      </w:r>
      <w:r>
        <w:rPr>
          <w:rFonts w:ascii="仿宋_GB2312" w:hAnsi="????_GB2312" w:eastAsia="仿宋_GB2312" w:cs="仿宋_GB2312"/>
          <w:sz w:val="32"/>
          <w:szCs w:val="32"/>
        </w:rPr>
        <w:t>3</w:t>
      </w:r>
      <w:r>
        <w:rPr>
          <w:rFonts w:hint="eastAsia" w:ascii="仿宋_GB2312" w:hAnsi="????_GB2312" w:eastAsia="仿宋_GB2312" w:cs="仿宋_GB2312"/>
          <w:sz w:val="32"/>
          <w:szCs w:val="32"/>
        </w:rPr>
        <w:t>报县民政部门</w:t>
      </w:r>
      <w:r>
        <w:rPr>
          <w:rFonts w:hint="eastAsia" w:cs="宋体"/>
        </w:rPr>
        <w:t>。</w:t>
      </w:r>
    </w:p>
    <w:p>
      <w:pPr>
        <w:pBdr>
          <w:bottom w:val="single" w:color="FFFFFF" w:sz="4" w:space="31"/>
        </w:pBdr>
        <w:overflowPunct w:val="0"/>
        <w:autoSpaceDE w:val="0"/>
        <w:autoSpaceDN w:val="0"/>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（二）项目实施阶段（</w:t>
      </w:r>
      <w:r>
        <w:rPr>
          <w:rFonts w:ascii="楷体_GB2312" w:hAnsi="楷体_GB2312" w:eastAsia="楷体_GB2312" w:cs="楷体_GB2312"/>
          <w:sz w:val="32"/>
          <w:szCs w:val="32"/>
        </w:rPr>
        <w:t>2022</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日至</w:t>
      </w:r>
      <w:r>
        <w:rPr>
          <w:rFonts w:ascii="楷体_GB2312" w:hAnsi="楷体_GB2312" w:eastAsia="楷体_GB2312" w:cs="楷体_GB2312"/>
          <w:sz w:val="32"/>
          <w:szCs w:val="32"/>
        </w:rPr>
        <w:t>2023</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6</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30</w:t>
      </w:r>
      <w:r>
        <w:rPr>
          <w:rFonts w:hint="eastAsia" w:ascii="楷体_GB2312" w:hAnsi="楷体_GB2312" w:eastAsia="楷体_GB2312" w:cs="楷体_GB2312"/>
          <w:sz w:val="32"/>
          <w:szCs w:val="32"/>
        </w:rPr>
        <w:t>日）</w:t>
      </w:r>
    </w:p>
    <w:p>
      <w:pPr>
        <w:pBdr>
          <w:bottom w:val="single" w:color="FFFFFF" w:sz="4" w:space="31"/>
        </w:pBdr>
        <w:overflowPunct w:val="0"/>
        <w:autoSpaceDE w:val="0"/>
        <w:autoSpaceDN w:val="0"/>
        <w:spacing w:line="580" w:lineRule="exact"/>
        <w:ind w:firstLine="640" w:firstLineChars="200"/>
        <w:rPr>
          <w:rFonts w:ascii="仿宋_GB2312" w:hAnsi="????_GB2312" w:eastAsia="仿宋_GB2312" w:cs="Times New Roman"/>
          <w:sz w:val="32"/>
          <w:szCs w:val="32"/>
        </w:rPr>
      </w:pPr>
      <w:r>
        <w:rPr>
          <w:rFonts w:hint="eastAsia" w:ascii="仿宋_GB2312" w:hAnsi="????_GB2312" w:eastAsia="仿宋_GB2312" w:cs="仿宋_GB2312"/>
          <w:sz w:val="32"/>
          <w:szCs w:val="32"/>
        </w:rPr>
        <w:t>养老服务机构根据居家适老化改造和上门服务协议，按照程序及要求为老年人家庭或老年人开展评估、适老化改造、设备购置、家庭人员养老护理技能培训、居家上门服务等工作，并完成项目自评及考核验收。相关工作可同步交叉开展。</w:t>
      </w:r>
    </w:p>
    <w:p>
      <w:pPr>
        <w:pBdr>
          <w:bottom w:val="single" w:color="FFFFFF" w:sz="4" w:space="31"/>
        </w:pBdr>
        <w:overflowPunct w:val="0"/>
        <w:autoSpaceDE w:val="0"/>
        <w:autoSpaceDN w:val="0"/>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（三）总结评估阶段（</w:t>
      </w:r>
      <w:r>
        <w:rPr>
          <w:rFonts w:ascii="楷体_GB2312" w:hAnsi="楷体_GB2312" w:eastAsia="楷体_GB2312" w:cs="楷体_GB2312"/>
          <w:sz w:val="32"/>
          <w:szCs w:val="32"/>
        </w:rPr>
        <w:t>2023</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6</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30</w:t>
      </w:r>
      <w:r>
        <w:rPr>
          <w:rFonts w:hint="eastAsia" w:ascii="楷体_GB2312" w:hAnsi="楷体_GB2312" w:eastAsia="楷体_GB2312" w:cs="楷体_GB2312"/>
          <w:sz w:val="32"/>
          <w:szCs w:val="32"/>
        </w:rPr>
        <w:t>日前）</w:t>
      </w:r>
    </w:p>
    <w:p>
      <w:pPr>
        <w:pBdr>
          <w:bottom w:val="single" w:color="FFFFFF" w:sz="4" w:space="31"/>
        </w:pBdr>
        <w:overflowPunct w:val="0"/>
        <w:autoSpaceDE w:val="0"/>
        <w:autoSpaceDN w:val="0"/>
        <w:spacing w:line="580" w:lineRule="exact"/>
        <w:ind w:firstLine="640" w:firstLineChars="200"/>
        <w:rPr>
          <w:rFonts w:ascii="仿宋_GB2312" w:hAnsi="????_GB2312" w:eastAsia="仿宋_GB2312" w:cs="Times New Roman"/>
          <w:sz w:val="32"/>
          <w:szCs w:val="32"/>
        </w:rPr>
      </w:pPr>
      <w:r>
        <w:rPr>
          <w:rFonts w:hint="eastAsia" w:ascii="仿宋_GB2312" w:hAnsi="????_GB2312" w:eastAsia="仿宋_GB2312" w:cs="仿宋_GB2312"/>
          <w:sz w:val="32"/>
          <w:szCs w:val="32"/>
        </w:rPr>
        <w:t>收集整理项目台账资料，总结项目工作开展情况，对项目资金使用情况和取得的成效进行绩效评价，迎接省、市民政和财政部门检查验收。</w:t>
      </w:r>
    </w:p>
    <w:p>
      <w:pPr>
        <w:pBdr>
          <w:bottom w:val="single" w:color="FFFFFF" w:sz="4" w:space="31"/>
        </w:pBdr>
        <w:overflowPunct w:val="0"/>
        <w:autoSpaceDE w:val="0"/>
        <w:autoSpaceDN w:val="0"/>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六、保障措施</w:t>
      </w:r>
    </w:p>
    <w:p>
      <w:pPr>
        <w:pBdr>
          <w:bottom w:val="single" w:color="FFFFFF" w:sz="4" w:space="31"/>
        </w:pBdr>
        <w:overflowPunct w:val="0"/>
        <w:autoSpaceDE w:val="0"/>
        <w:autoSpaceDN w:val="0"/>
        <w:spacing w:line="580" w:lineRule="exact"/>
        <w:ind w:firstLine="640" w:firstLineChars="200"/>
        <w:rPr>
          <w:rFonts w:ascii="仿宋_GB2312" w:hAnsi="????_GB2312" w:eastAsia="仿宋_GB2312" w:cs="Times New Roman"/>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成立高台县居家和社区基本养老服务提升行动项目领导小组，由</w:t>
      </w:r>
      <w:r>
        <w:rPr>
          <w:rFonts w:hint="eastAsia" w:ascii="仿宋_GB2312" w:hAnsi="????_GB2312" w:eastAsia="仿宋_GB2312" w:cs="仿宋_GB2312"/>
          <w:sz w:val="32"/>
          <w:szCs w:val="32"/>
        </w:rPr>
        <w:t>县政府县长任组长、分管副县长任副组长</w:t>
      </w:r>
      <w:r>
        <w:rPr>
          <w:rFonts w:hint="eastAsia" w:ascii="仿宋_GB2312" w:hAnsi="仿宋_GB2312" w:eastAsia="仿宋_GB2312" w:cs="仿宋_GB2312"/>
          <w:sz w:val="32"/>
          <w:szCs w:val="32"/>
        </w:rPr>
        <w:t>，县</w:t>
      </w:r>
      <w:r>
        <w:rPr>
          <w:rFonts w:hint="eastAsia" w:ascii="仿宋_GB2312" w:hAnsi="????_GB2312" w:eastAsia="仿宋_GB2312" w:cs="仿宋_GB2312"/>
          <w:sz w:val="32"/>
          <w:szCs w:val="32"/>
        </w:rPr>
        <w:t>民政、财政、人社、住建、教育等相关部门为成员单位（具体名单见附件</w:t>
      </w:r>
      <w:r>
        <w:rPr>
          <w:rFonts w:ascii="仿宋_GB2312" w:hAnsi="????_GB2312" w:eastAsia="仿宋_GB2312" w:cs="仿宋_GB2312"/>
          <w:sz w:val="32"/>
          <w:szCs w:val="32"/>
        </w:rPr>
        <w:t>1</w:t>
      </w:r>
      <w:r>
        <w:rPr>
          <w:rFonts w:hint="eastAsia" w:ascii="仿宋_GB2312" w:hAnsi="????_GB2312" w:eastAsia="仿宋_GB2312" w:cs="仿宋_GB2312"/>
          <w:sz w:val="32"/>
          <w:szCs w:val="32"/>
        </w:rPr>
        <w:t>）</w:t>
      </w:r>
      <w:r>
        <w:rPr>
          <w:rFonts w:hint="eastAsia" w:ascii="仿宋_GB2312" w:hAnsi="仿宋_GB2312" w:eastAsia="仿宋_GB2312" w:cs="仿宋_GB2312"/>
          <w:sz w:val="32"/>
          <w:szCs w:val="32"/>
        </w:rPr>
        <w:t>。领导小组负责</w:t>
      </w:r>
      <w:r>
        <w:rPr>
          <w:rFonts w:hint="eastAsia" w:ascii="仿宋_GB2312" w:hAnsi="????_GB2312" w:eastAsia="仿宋_GB2312" w:cs="仿宋_GB2312"/>
          <w:sz w:val="32"/>
          <w:szCs w:val="32"/>
        </w:rPr>
        <w:t>统筹协调并全程监管全县居家和社区基本养老服务提升行动项目建设相关工作。</w:t>
      </w:r>
    </w:p>
    <w:p>
      <w:pPr>
        <w:pBdr>
          <w:bottom w:val="single" w:color="FFFFFF" w:sz="4" w:space="31"/>
        </w:pBdr>
        <w:overflowPunct w:val="0"/>
        <w:autoSpaceDE w:val="0"/>
        <w:autoSpaceDN w:val="0"/>
        <w:spacing w:line="580" w:lineRule="exact"/>
        <w:ind w:firstLine="651"/>
        <w:rPr>
          <w:rFonts w:ascii="仿宋_GB2312" w:hAnsi="????_GB2312" w:eastAsia="仿宋_GB2312" w:cs="Times New Roman"/>
          <w:sz w:val="32"/>
          <w:szCs w:val="32"/>
        </w:rPr>
      </w:pPr>
      <w:r>
        <w:rPr>
          <w:rFonts w:hint="eastAsia" w:ascii="楷体_GB2312" w:hAnsi="楷体_GB2312" w:eastAsia="楷体_GB2312" w:cs="楷体_GB2312"/>
          <w:sz w:val="32"/>
          <w:szCs w:val="32"/>
        </w:rPr>
        <w:t>（二）加强资金监管。</w:t>
      </w:r>
      <w:r>
        <w:rPr>
          <w:rFonts w:hint="eastAsia" w:ascii="仿宋_GB2312" w:hAnsi="????_GB2312" w:eastAsia="仿宋_GB2312" w:cs="仿宋_GB2312"/>
          <w:sz w:val="32"/>
          <w:szCs w:val="32"/>
        </w:rPr>
        <w:t>加强项目全过程预算绩效管理，中央专项彩票公益金应用于经济困难失能和部分失能老年人建设家庭养老床位、提供居家养老上门服务，原则上补助资金应直接支付到建设或服务提供主体，按照国库集中支付制度有关规定支付资金，福彩公益金支持项目要按规定公告进展、公示情况和标明标识。在积极争取国家、省、市专项资金基础上，县财政安排专</w:t>
      </w:r>
      <w:r>
        <w:rPr>
          <w:rFonts w:hint="eastAsia" w:ascii="仿宋_GB2312" w:hAnsi="????_GB2312" w:eastAsia="仿宋_GB2312" w:cs="仿宋_GB2312"/>
          <w:spacing w:val="-6"/>
          <w:sz w:val="32"/>
          <w:szCs w:val="32"/>
        </w:rPr>
        <w:t>项资金和县级留成福利彩票公益金支持居家和社区基本养老服务。</w:t>
      </w:r>
    </w:p>
    <w:p>
      <w:pPr>
        <w:pBdr>
          <w:bottom w:val="single" w:color="FFFFFF" w:sz="4" w:space="31"/>
        </w:pBdr>
        <w:overflowPunct w:val="0"/>
        <w:autoSpaceDE w:val="0"/>
        <w:autoSpaceDN w:val="0"/>
        <w:spacing w:line="580" w:lineRule="exact"/>
        <w:ind w:firstLine="651"/>
        <w:rPr>
          <w:rFonts w:ascii="仿宋_GB2312" w:hAnsi="????_GB2312" w:eastAsia="仿宋_GB2312" w:cs="Times New Roman"/>
          <w:sz w:val="32"/>
          <w:szCs w:val="32"/>
        </w:rPr>
      </w:pPr>
      <w:r>
        <w:rPr>
          <w:rFonts w:hint="eastAsia" w:ascii="楷体_GB2312" w:hAnsi="楷体_GB2312" w:eastAsia="楷体_GB2312" w:cs="楷体_GB2312"/>
          <w:sz w:val="32"/>
          <w:szCs w:val="32"/>
        </w:rPr>
        <w:t>（三）强化综合监管。</w:t>
      </w:r>
      <w:r>
        <w:rPr>
          <w:rFonts w:hint="eastAsia" w:ascii="仿宋_GB2312" w:hAnsi="????_GB2312" w:eastAsia="仿宋_GB2312" w:cs="仿宋_GB2312"/>
          <w:sz w:val="32"/>
          <w:szCs w:val="32"/>
        </w:rPr>
        <w:t>持续强化对提供基本养老服务项目和服务主体的监管，从健全部门协调配合机制、采取“双随机、一公开”监管模式、建立信用评价机制、推行“互联网</w:t>
      </w:r>
      <w:r>
        <w:rPr>
          <w:rFonts w:ascii="宋体" w:hAnsi="宋体" w:cs="宋体"/>
          <w:sz w:val="32"/>
          <w:szCs w:val="32"/>
        </w:rPr>
        <w:t>+</w:t>
      </w:r>
      <w:r>
        <w:rPr>
          <w:rFonts w:hint="eastAsia" w:ascii="仿宋_GB2312" w:hAnsi="????_GB2312" w:eastAsia="仿宋_GB2312" w:cs="仿宋_GB2312"/>
          <w:sz w:val="32"/>
          <w:szCs w:val="32"/>
        </w:rPr>
        <w:t>监管”系统、建立标准评估体系等方面着手，加强项目跟踪监测和质量评估。对不符合规定、老年人满意度低的项目实施主体和服务项目，应要求服务提供主体限期整改或收回已发放补助资金。</w:t>
      </w:r>
    </w:p>
    <w:p>
      <w:pPr>
        <w:pBdr>
          <w:bottom w:val="single" w:color="FFFFFF" w:sz="4" w:space="31"/>
        </w:pBdr>
        <w:overflowPunct w:val="0"/>
        <w:autoSpaceDE w:val="0"/>
        <w:autoSpaceDN w:val="0"/>
        <w:spacing w:line="580" w:lineRule="exact"/>
        <w:ind w:firstLine="651"/>
        <w:rPr>
          <w:rFonts w:ascii="仿宋_GB2312" w:hAnsi="????_GB2312" w:eastAsia="仿宋_GB2312" w:cs="Times New Roman"/>
          <w:sz w:val="32"/>
          <w:szCs w:val="32"/>
        </w:rPr>
      </w:pPr>
      <w:r>
        <w:rPr>
          <w:rFonts w:hint="eastAsia" w:ascii="楷体_GB2312" w:hAnsi="楷体_GB2312" w:eastAsia="楷体_GB2312" w:cs="楷体_GB2312"/>
          <w:sz w:val="32"/>
          <w:szCs w:val="32"/>
        </w:rPr>
        <w:t>（四）加强宣传推广。</w:t>
      </w:r>
      <w:r>
        <w:rPr>
          <w:rFonts w:hint="eastAsia" w:ascii="仿宋_GB2312" w:hAnsi="仿宋_GB2312" w:eastAsia="仿宋_GB2312" w:cs="仿宋_GB2312"/>
          <w:sz w:val="32"/>
          <w:szCs w:val="32"/>
        </w:rPr>
        <w:t>民政部门要充分利</w:t>
      </w:r>
      <w:r>
        <w:rPr>
          <w:rFonts w:hint="eastAsia" w:ascii="仿宋_GB2312" w:hAnsi="????_GB2312" w:eastAsia="仿宋_GB2312" w:cs="仿宋_GB2312"/>
          <w:sz w:val="32"/>
          <w:szCs w:val="32"/>
        </w:rPr>
        <w:t>用电视电台、报刊杂志、网络平台等各类媒体，多渠道开展宣传推广工作。对工作政策进行解读宣传，使广大老年人及家属、服务提供主体充分了解基本养老服务内涵及核心内容。同时，及时记录过程、总结经验、分析问题、巩固成果、推广成效，展示居家和社区基本养老服务提升成果，营造全社会共同关注基本养老服务体系建设的良好氛围。</w:t>
      </w:r>
    </w:p>
    <w:p>
      <w:pPr>
        <w:pBdr>
          <w:bottom w:val="single" w:color="FFFFFF" w:sz="4" w:space="31"/>
        </w:pBdr>
        <w:overflowPunct w:val="0"/>
        <w:autoSpaceDE w:val="0"/>
        <w:autoSpaceDN w:val="0"/>
        <w:spacing w:line="574" w:lineRule="exact"/>
        <w:ind w:firstLine="652"/>
        <w:rPr>
          <w:rFonts w:ascii="仿宋_GB2312" w:hAnsi="????_GB2312" w:eastAsia="仿宋_GB2312" w:cs="Times New Roman"/>
          <w:sz w:val="32"/>
          <w:szCs w:val="32"/>
        </w:rPr>
      </w:pPr>
      <w:r>
        <w:rPr>
          <w:rFonts w:hint="eastAsia" w:ascii="楷体_GB2312" w:hAnsi="楷体_GB2312" w:eastAsia="楷体_GB2312" w:cs="楷体_GB2312"/>
          <w:sz w:val="32"/>
          <w:szCs w:val="32"/>
        </w:rPr>
        <w:t>（五）严格考核管理。</w:t>
      </w:r>
      <w:r>
        <w:rPr>
          <w:rFonts w:hint="eastAsia" w:ascii="仿宋_GB2312" w:hAnsi="????_GB2312" w:eastAsia="仿宋_GB2312" w:cs="仿宋_GB2312"/>
          <w:sz w:val="32"/>
          <w:szCs w:val="32"/>
        </w:rPr>
        <w:t>建立工作考核制度，县</w:t>
      </w:r>
      <w:r>
        <w:rPr>
          <w:rFonts w:hint="eastAsia" w:ascii="仿宋_GB2312" w:hAnsi="仿宋_GB2312" w:eastAsia="仿宋_GB2312" w:cs="仿宋_GB2312"/>
          <w:sz w:val="32"/>
          <w:szCs w:val="32"/>
        </w:rPr>
        <w:t>基本养老服务</w:t>
      </w:r>
      <w:r>
        <w:rPr>
          <w:rFonts w:hint="eastAsia" w:ascii="仿宋_GB2312" w:hAnsi="????_GB2312" w:eastAsia="仿宋_GB2312" w:cs="仿宋_GB2312"/>
          <w:sz w:val="32"/>
          <w:szCs w:val="32"/>
        </w:rPr>
        <w:t>提升行动</w:t>
      </w:r>
      <w:r>
        <w:rPr>
          <w:rFonts w:hint="eastAsia" w:ascii="仿宋_GB2312" w:hAnsi="仿宋_GB2312" w:eastAsia="仿宋_GB2312" w:cs="仿宋_GB2312"/>
          <w:sz w:val="32"/>
          <w:szCs w:val="32"/>
        </w:rPr>
        <w:t>项目</w:t>
      </w:r>
      <w:r>
        <w:rPr>
          <w:rFonts w:hint="eastAsia" w:ascii="仿宋_GB2312" w:hAnsi="????_GB2312" w:eastAsia="仿宋_GB2312" w:cs="仿宋_GB2312"/>
          <w:sz w:val="32"/>
          <w:szCs w:val="32"/>
        </w:rPr>
        <w:t>领导小组办公室要组织相关成员单位不定期对项目建设工作进行考核督促。民政部门每季度末及时向市领导小组办公室报送家庭养老床位建设及提供居家上门养老服务、资金规范和服务管理等情况，按照国家要求及时在金民工程“居家和社区基本养老服务提升行动”模块填报相关信息，确保项目顺利通过国家考核。</w:t>
      </w:r>
    </w:p>
    <w:p>
      <w:pPr>
        <w:pBdr>
          <w:bottom w:val="single" w:color="FFFFFF" w:sz="4" w:space="31"/>
        </w:pBdr>
        <w:overflowPunct w:val="0"/>
        <w:autoSpaceDE w:val="0"/>
        <w:autoSpaceDN w:val="0"/>
        <w:spacing w:line="580" w:lineRule="exact"/>
        <w:ind w:firstLine="651"/>
        <w:rPr>
          <w:rFonts w:ascii="仿宋_GB2312" w:hAnsi="????_GB2312" w:eastAsia="仿宋_GB2312" w:cs="Times New Roman"/>
          <w:sz w:val="32"/>
          <w:szCs w:val="32"/>
        </w:rPr>
      </w:pPr>
      <w:r>
        <w:rPr>
          <w:rFonts w:hint="eastAsia" w:ascii="仿宋_GB2312" w:hAnsi="????_GB2312" w:eastAsia="仿宋_GB2312" w:cs="仿宋_GB2312"/>
          <w:sz w:val="32"/>
          <w:szCs w:val="32"/>
        </w:rPr>
        <w:t>附件：</w:t>
      </w:r>
      <w:r>
        <w:rPr>
          <w:rFonts w:ascii="仿宋_GB2312" w:hAnsi="????_GB2312" w:eastAsia="仿宋_GB2312" w:cs="仿宋_GB2312"/>
          <w:sz w:val="32"/>
          <w:szCs w:val="32"/>
        </w:rPr>
        <w:t>1.</w:t>
      </w:r>
      <w:r>
        <w:rPr>
          <w:rFonts w:hint="eastAsia" w:ascii="仿宋_GB2312" w:hAnsi="????_GB2312" w:eastAsia="仿宋_GB2312" w:cs="仿宋_GB2312"/>
          <w:sz w:val="32"/>
          <w:szCs w:val="32"/>
        </w:rPr>
        <w:t>高台县</w:t>
      </w:r>
      <w:r>
        <w:rPr>
          <w:rFonts w:ascii="仿宋_GB2312" w:hAnsi="????_GB2312" w:eastAsia="仿宋_GB2312" w:cs="仿宋_GB2312"/>
          <w:sz w:val="32"/>
          <w:szCs w:val="32"/>
        </w:rPr>
        <w:t>2022</w:t>
      </w:r>
      <w:r>
        <w:rPr>
          <w:rFonts w:hint="eastAsia" w:ascii="仿宋_GB2312" w:hAnsi="????_GB2312" w:eastAsia="仿宋_GB2312" w:cs="仿宋_GB2312"/>
          <w:sz w:val="32"/>
          <w:szCs w:val="32"/>
        </w:rPr>
        <w:t>年居家和社区基本养老服务提升行动</w:t>
      </w:r>
    </w:p>
    <w:p>
      <w:pPr>
        <w:pBdr>
          <w:bottom w:val="single" w:color="FFFFFF" w:sz="4" w:space="31"/>
        </w:pBdr>
        <w:overflowPunct w:val="0"/>
        <w:autoSpaceDE w:val="0"/>
        <w:autoSpaceDN w:val="0"/>
        <w:spacing w:line="580" w:lineRule="exact"/>
        <w:ind w:firstLine="1920" w:firstLineChars="600"/>
        <w:rPr>
          <w:rFonts w:ascii="仿宋_GB2312" w:hAnsi="????_GB2312" w:eastAsia="仿宋_GB2312" w:cs="Times New Roman"/>
          <w:sz w:val="32"/>
          <w:szCs w:val="32"/>
        </w:rPr>
      </w:pPr>
      <w:r>
        <w:rPr>
          <w:rFonts w:hint="eastAsia" w:ascii="仿宋_GB2312" w:hAnsi="????_GB2312" w:eastAsia="仿宋_GB2312" w:cs="仿宋_GB2312"/>
          <w:sz w:val="32"/>
          <w:szCs w:val="32"/>
        </w:rPr>
        <w:t>领导小组名单</w:t>
      </w:r>
    </w:p>
    <w:p>
      <w:pPr>
        <w:pBdr>
          <w:bottom w:val="single" w:color="FFFFFF" w:sz="4" w:space="31"/>
        </w:pBdr>
        <w:overflowPunct w:val="0"/>
        <w:autoSpaceDE w:val="0"/>
        <w:autoSpaceDN w:val="0"/>
        <w:spacing w:line="580" w:lineRule="exact"/>
        <w:ind w:firstLine="1600" w:firstLineChars="500"/>
        <w:rPr>
          <w:rFonts w:ascii="仿宋_GB2312" w:hAnsi="????_GB2312" w:eastAsia="仿宋_GB2312" w:cs="Times New Roman"/>
          <w:sz w:val="32"/>
          <w:szCs w:val="32"/>
        </w:rPr>
      </w:pPr>
      <w:r>
        <w:rPr>
          <w:rFonts w:ascii="仿宋_GB2312" w:hAnsi="????_GB2312" w:eastAsia="仿宋_GB2312" w:cs="仿宋_GB2312"/>
          <w:sz w:val="32"/>
          <w:szCs w:val="32"/>
        </w:rPr>
        <w:t>2.</w:t>
      </w:r>
      <w:r>
        <w:rPr>
          <w:rFonts w:hint="eastAsia" w:ascii="仿宋_GB2312" w:hAnsi="????_GB2312" w:eastAsia="仿宋_GB2312" w:cs="仿宋_GB2312"/>
          <w:sz w:val="32"/>
          <w:szCs w:val="32"/>
        </w:rPr>
        <w:t>高台县</w:t>
      </w:r>
      <w:r>
        <w:rPr>
          <w:rFonts w:ascii="仿宋_GB2312" w:hAnsi="????_GB2312" w:eastAsia="仿宋_GB2312" w:cs="仿宋_GB2312"/>
          <w:sz w:val="32"/>
          <w:szCs w:val="32"/>
        </w:rPr>
        <w:t>2022</w:t>
      </w:r>
      <w:r>
        <w:rPr>
          <w:rFonts w:hint="eastAsia" w:ascii="仿宋_GB2312" w:hAnsi="????_GB2312" w:eastAsia="仿宋_GB2312" w:cs="仿宋_GB2312"/>
          <w:sz w:val="32"/>
          <w:szCs w:val="32"/>
        </w:rPr>
        <w:t>年居家和社区基本养老服务提升行动</w:t>
      </w:r>
    </w:p>
    <w:p>
      <w:pPr>
        <w:pBdr>
          <w:bottom w:val="single" w:color="FFFFFF" w:sz="4" w:space="31"/>
        </w:pBdr>
        <w:overflowPunct w:val="0"/>
        <w:autoSpaceDE w:val="0"/>
        <w:autoSpaceDN w:val="0"/>
        <w:spacing w:line="580" w:lineRule="exact"/>
        <w:ind w:firstLine="1920" w:firstLineChars="600"/>
        <w:rPr>
          <w:rFonts w:ascii="仿宋_GB2312" w:hAnsi="????_GB2312" w:eastAsia="仿宋_GB2312" w:cs="Times New Roman"/>
          <w:sz w:val="32"/>
          <w:szCs w:val="32"/>
        </w:rPr>
      </w:pPr>
      <w:r>
        <w:rPr>
          <w:rFonts w:hint="eastAsia" w:ascii="仿宋_GB2312" w:hAnsi="????_GB2312" w:eastAsia="仿宋_GB2312" w:cs="仿宋_GB2312"/>
          <w:sz w:val="32"/>
          <w:szCs w:val="32"/>
        </w:rPr>
        <w:t>项目新建家庭养老床位摸底汇总表</w:t>
      </w:r>
    </w:p>
    <w:p>
      <w:pPr>
        <w:pBdr>
          <w:bottom w:val="single" w:color="FFFFFF" w:sz="4" w:space="31"/>
        </w:pBdr>
        <w:overflowPunct w:val="0"/>
        <w:autoSpaceDE w:val="0"/>
        <w:autoSpaceDN w:val="0"/>
        <w:spacing w:line="580" w:lineRule="exact"/>
        <w:ind w:firstLine="1600" w:firstLineChars="500"/>
        <w:rPr>
          <w:rFonts w:ascii="仿宋_GB2312" w:hAnsi="????_GB2312" w:eastAsia="仿宋_GB2312" w:cs="仿宋_GB2312"/>
          <w:sz w:val="32"/>
          <w:szCs w:val="32"/>
        </w:rPr>
      </w:pPr>
      <w:r>
        <w:rPr>
          <w:rFonts w:ascii="仿宋_GB2312" w:hAnsi="????_GB2312" w:eastAsia="仿宋_GB2312" w:cs="仿宋_GB2312"/>
          <w:sz w:val="32"/>
          <w:szCs w:val="32"/>
        </w:rPr>
        <w:t>3.</w:t>
      </w:r>
      <w:r>
        <w:rPr>
          <w:rFonts w:hint="eastAsia" w:ascii="仿宋_GB2312" w:hAnsi="????_GB2312" w:eastAsia="仿宋_GB2312" w:cs="仿宋_GB2312"/>
          <w:sz w:val="32"/>
          <w:szCs w:val="32"/>
        </w:rPr>
        <w:t>高台县</w:t>
      </w:r>
      <w:r>
        <w:rPr>
          <w:rFonts w:ascii="仿宋_GB2312" w:hAnsi="????_GB2312" w:eastAsia="仿宋_GB2312" w:cs="仿宋_GB2312"/>
          <w:sz w:val="32"/>
          <w:szCs w:val="32"/>
        </w:rPr>
        <w:t>2022</w:t>
      </w:r>
      <w:r>
        <w:rPr>
          <w:rFonts w:hint="eastAsia" w:ascii="仿宋_GB2312" w:hAnsi="????_GB2312" w:eastAsia="仿宋_GB2312" w:cs="仿宋_GB2312"/>
          <w:sz w:val="32"/>
          <w:szCs w:val="32"/>
        </w:rPr>
        <w:t>年居家和社区基本养老服务提升行动</w:t>
      </w:r>
      <w:r>
        <w:rPr>
          <w:rFonts w:ascii="仿宋_GB2312" w:hAnsi="????_GB2312" w:eastAsia="仿宋_GB2312" w:cs="仿宋_GB2312"/>
          <w:sz w:val="32"/>
          <w:szCs w:val="32"/>
        </w:rPr>
        <w:t xml:space="preserve"> </w:t>
      </w:r>
    </w:p>
    <w:p>
      <w:pPr>
        <w:pBdr>
          <w:bottom w:val="single" w:color="FFFFFF" w:sz="4" w:space="31"/>
        </w:pBdr>
        <w:overflowPunct w:val="0"/>
        <w:autoSpaceDE w:val="0"/>
        <w:autoSpaceDN w:val="0"/>
        <w:spacing w:line="580" w:lineRule="exact"/>
        <w:ind w:firstLine="1920" w:firstLineChars="600"/>
        <w:rPr>
          <w:rFonts w:ascii="仿宋_GB2312" w:hAnsi="????_GB2312" w:eastAsia="仿宋_GB2312" w:cs="Times New Roman"/>
          <w:sz w:val="32"/>
          <w:szCs w:val="32"/>
        </w:rPr>
      </w:pPr>
      <w:r>
        <w:rPr>
          <w:rFonts w:hint="eastAsia" w:ascii="仿宋_GB2312" w:hAnsi="????_GB2312" w:eastAsia="仿宋_GB2312" w:cs="仿宋_GB2312"/>
          <w:sz w:val="32"/>
          <w:szCs w:val="32"/>
        </w:rPr>
        <w:t>项目居家上门服务摸底汇总表</w:t>
      </w:r>
    </w:p>
    <w:p>
      <w:pPr>
        <w:pBdr>
          <w:bottom w:val="single" w:color="FFFFFF" w:sz="4" w:space="31"/>
        </w:pBdr>
        <w:overflowPunct w:val="0"/>
        <w:autoSpaceDE w:val="0"/>
        <w:autoSpaceDN w:val="0"/>
        <w:spacing w:line="580" w:lineRule="exact"/>
        <w:ind w:firstLine="1600" w:firstLineChars="500"/>
        <w:rPr>
          <w:rFonts w:ascii="仿宋_GB2312" w:hAnsi="????_GB2312" w:eastAsia="仿宋_GB2312" w:cs="仿宋_GB2312"/>
          <w:sz w:val="32"/>
          <w:szCs w:val="32"/>
        </w:rPr>
      </w:pPr>
      <w:r>
        <w:rPr>
          <w:rFonts w:ascii="仿宋_GB2312" w:hAnsi="????_GB2312" w:eastAsia="仿宋_GB2312" w:cs="仿宋_GB2312"/>
          <w:sz w:val="32"/>
          <w:szCs w:val="32"/>
        </w:rPr>
        <w:t>4.</w:t>
      </w:r>
      <w:r>
        <w:rPr>
          <w:rFonts w:hint="eastAsia" w:ascii="仿宋_GB2312" w:hAnsi="????_GB2312" w:eastAsia="仿宋_GB2312" w:cs="仿宋_GB2312"/>
          <w:sz w:val="32"/>
          <w:szCs w:val="32"/>
        </w:rPr>
        <w:t>家庭养老床位建设和老年用品配置基本清单</w:t>
      </w:r>
      <w:r>
        <w:rPr>
          <w:rFonts w:ascii="仿宋_GB2312" w:hAnsi="????_GB2312" w:eastAsia="仿宋_GB2312" w:cs="仿宋_GB2312"/>
          <w:sz w:val="32"/>
          <w:szCs w:val="32"/>
        </w:rPr>
        <w:t>1.2</w:t>
      </w:r>
    </w:p>
    <w:p>
      <w:pPr>
        <w:pBdr>
          <w:bottom w:val="single" w:color="FFFFFF" w:sz="4" w:space="31"/>
        </w:pBdr>
        <w:overflowPunct w:val="0"/>
        <w:autoSpaceDE w:val="0"/>
        <w:autoSpaceDN w:val="0"/>
        <w:spacing w:line="580" w:lineRule="exact"/>
        <w:ind w:firstLine="1600" w:firstLineChars="500"/>
        <w:rPr>
          <w:rFonts w:ascii="黑体" w:hAnsi="黑体" w:eastAsia="黑体" w:cs="黑体"/>
          <w:color w:val="000000"/>
          <w:kern w:val="0"/>
          <w:sz w:val="32"/>
          <w:szCs w:val="32"/>
        </w:rPr>
      </w:pPr>
      <w:r>
        <w:rPr>
          <w:rFonts w:ascii="仿宋_GB2312" w:hAnsi="????_GB2312" w:eastAsia="仿宋_GB2312" w:cs="仿宋_GB2312"/>
          <w:sz w:val="32"/>
          <w:szCs w:val="32"/>
        </w:rPr>
        <w:t>5.</w:t>
      </w:r>
      <w:r>
        <w:rPr>
          <w:rFonts w:hint="eastAsia" w:ascii="仿宋_GB2312" w:hAnsi="????_GB2312" w:eastAsia="仿宋_GB2312" w:cs="仿宋_GB2312"/>
          <w:sz w:val="32"/>
          <w:szCs w:val="32"/>
        </w:rPr>
        <w:t>居家养老上门服务项目指导目录</w:t>
      </w:r>
      <w:r>
        <w:rPr>
          <w:rFonts w:ascii="仿宋_GB2312" w:hAnsi="????_GB2312" w:eastAsia="仿宋_GB2312" w:cs="Times New Roman"/>
          <w:sz w:val="32"/>
          <w:szCs w:val="32"/>
        </w:rPr>
        <w:br w:type="page"/>
      </w: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widowControl/>
        <w:spacing w:line="560" w:lineRule="exact"/>
        <w:jc w:val="center"/>
        <w:rPr>
          <w:rFonts w:cs="Times New Roman"/>
          <w:sz w:val="44"/>
          <w:szCs w:val="44"/>
        </w:rPr>
      </w:pPr>
      <w:r>
        <w:rPr>
          <w:rFonts w:hint="eastAsia" w:ascii="方正小标宋简体" w:hAnsi="方正小标宋简体" w:eastAsia="方正小标宋简体" w:cs="方正小标宋简体"/>
          <w:color w:val="000000"/>
          <w:kern w:val="0"/>
          <w:sz w:val="44"/>
          <w:szCs w:val="44"/>
        </w:rPr>
        <w:t>高台县</w:t>
      </w:r>
      <w:r>
        <w:rPr>
          <w:rFonts w:ascii="方正小标宋简体" w:hAnsi="方正小标宋简体" w:eastAsia="方正小标宋简体" w:cs="方正小标宋简体"/>
          <w:color w:val="000000"/>
          <w:kern w:val="0"/>
          <w:sz w:val="44"/>
          <w:szCs w:val="44"/>
        </w:rPr>
        <w:t>2022</w:t>
      </w:r>
      <w:r>
        <w:rPr>
          <w:rFonts w:hint="eastAsia" w:ascii="方正小标宋简体" w:hAnsi="方正小标宋简体" w:eastAsia="方正小标宋简体" w:cs="方正小标宋简体"/>
          <w:color w:val="000000"/>
          <w:kern w:val="0"/>
          <w:sz w:val="44"/>
          <w:szCs w:val="44"/>
        </w:rPr>
        <w:t>年居家和社区基本养老服务</w:t>
      </w:r>
    </w:p>
    <w:p>
      <w:pPr>
        <w:widowControl/>
        <w:spacing w:line="56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提升行动项目领导小组名单</w:t>
      </w:r>
    </w:p>
    <w:p>
      <w:pPr>
        <w:widowControl/>
        <w:spacing w:line="560" w:lineRule="exact"/>
        <w:jc w:val="center"/>
        <w:rPr>
          <w:rFonts w:ascii="方正小标宋简体" w:hAnsi="方正小标宋简体" w:eastAsia="方正小标宋简体" w:cs="Times New Roman"/>
          <w:color w:val="000000"/>
          <w:kern w:val="0"/>
          <w:sz w:val="43"/>
          <w:szCs w:val="43"/>
        </w:rPr>
      </w:pPr>
    </w:p>
    <w:p>
      <w:pPr>
        <w:pStyle w:val="8"/>
        <w:widowControl/>
        <w:spacing w:line="560" w:lineRule="exact"/>
        <w:ind w:firstLine="640"/>
        <w:rPr>
          <w:rFonts w:cs="Times New Roman"/>
        </w:rPr>
      </w:pPr>
      <w:r>
        <w:rPr>
          <w:rFonts w:hint="eastAsia" w:ascii="黑体" w:eastAsia="黑体" w:cs="黑体"/>
          <w:color w:val="000000"/>
          <w:sz w:val="31"/>
          <w:szCs w:val="31"/>
        </w:rPr>
        <w:t>组</w:t>
      </w:r>
      <w:r>
        <w:rPr>
          <w:rFonts w:ascii="黑体" w:eastAsia="黑体" w:cs="黑体"/>
          <w:color w:val="000000"/>
          <w:sz w:val="31"/>
          <w:szCs w:val="31"/>
        </w:rPr>
        <w:t xml:space="preserve">  </w:t>
      </w:r>
      <w:r>
        <w:rPr>
          <w:rFonts w:hint="eastAsia" w:ascii="黑体" w:eastAsia="黑体" w:cs="黑体"/>
          <w:color w:val="000000"/>
          <w:sz w:val="31"/>
          <w:szCs w:val="31"/>
        </w:rPr>
        <w:t>长：</w:t>
      </w:r>
      <w:r>
        <w:rPr>
          <w:rFonts w:hint="eastAsia" w:ascii="仿宋_GB2312" w:eastAsia="仿宋_GB2312" w:cs="仿宋_GB2312"/>
          <w:color w:val="000000"/>
          <w:sz w:val="31"/>
          <w:szCs w:val="31"/>
        </w:rPr>
        <w:t>张</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龙</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县委副书记、县政府县长</w:t>
      </w:r>
    </w:p>
    <w:p>
      <w:pPr>
        <w:pStyle w:val="8"/>
        <w:widowControl/>
        <w:spacing w:line="560" w:lineRule="exact"/>
        <w:ind w:firstLine="640"/>
        <w:rPr>
          <w:rFonts w:cs="Times New Roman"/>
        </w:rPr>
      </w:pPr>
      <w:r>
        <w:rPr>
          <w:rFonts w:hint="eastAsia" w:ascii="黑体" w:eastAsia="黑体" w:cs="黑体"/>
          <w:color w:val="000000"/>
          <w:sz w:val="31"/>
          <w:szCs w:val="31"/>
        </w:rPr>
        <w:t>副组长：</w:t>
      </w:r>
      <w:r>
        <w:rPr>
          <w:rFonts w:hint="eastAsia" w:ascii="仿宋_GB2312" w:eastAsia="仿宋_GB2312" w:cs="仿宋_GB2312"/>
          <w:color w:val="000000"/>
          <w:sz w:val="31"/>
          <w:szCs w:val="31"/>
        </w:rPr>
        <w:t>孟越祖</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县政府党组成员、副县长</w:t>
      </w:r>
    </w:p>
    <w:p>
      <w:pPr>
        <w:pStyle w:val="8"/>
        <w:widowControl/>
        <w:spacing w:line="560" w:lineRule="exact"/>
        <w:ind w:firstLine="640"/>
        <w:rPr>
          <w:rFonts w:cs="Times New Roman"/>
        </w:rPr>
      </w:pPr>
      <w:r>
        <w:rPr>
          <w:rFonts w:hint="eastAsia" w:ascii="黑体" w:eastAsia="黑体" w:cs="黑体"/>
          <w:color w:val="000000"/>
          <w:sz w:val="31"/>
          <w:szCs w:val="31"/>
        </w:rPr>
        <w:t>成</w:t>
      </w:r>
      <w:r>
        <w:rPr>
          <w:rFonts w:ascii="黑体" w:eastAsia="黑体" w:cs="黑体"/>
          <w:color w:val="000000"/>
          <w:sz w:val="31"/>
          <w:szCs w:val="31"/>
        </w:rPr>
        <w:t xml:space="preserve">  </w:t>
      </w:r>
      <w:r>
        <w:rPr>
          <w:rFonts w:hint="eastAsia" w:ascii="黑体" w:eastAsia="黑体" w:cs="黑体"/>
          <w:color w:val="000000"/>
          <w:sz w:val="31"/>
          <w:szCs w:val="31"/>
        </w:rPr>
        <w:t>员：</w:t>
      </w:r>
      <w:r>
        <w:rPr>
          <w:rFonts w:hint="eastAsia" w:ascii="仿宋_GB2312" w:eastAsia="仿宋_GB2312" w:cs="仿宋_GB2312"/>
          <w:color w:val="000000"/>
          <w:sz w:val="31"/>
          <w:szCs w:val="31"/>
        </w:rPr>
        <w:t>杨永斌</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县民政局党组书记、局长</w:t>
      </w:r>
    </w:p>
    <w:p>
      <w:pPr>
        <w:pStyle w:val="8"/>
        <w:widowControl/>
        <w:spacing w:line="560" w:lineRule="exact"/>
        <w:rPr>
          <w:rFonts w:ascii="仿宋_GB2312" w:eastAsia="仿宋_GB2312" w:cs="Times New Roman"/>
          <w:color w:val="000000"/>
          <w:sz w:val="31"/>
          <w:szCs w:val="31"/>
        </w:rPr>
      </w:pPr>
      <w:r>
        <w:rPr>
          <w:rFonts w:cs="Times New Roman"/>
        </w:rPr>
        <w:t>      </w:t>
      </w:r>
      <w:r>
        <w:rPr>
          <w:rFonts w:ascii="仿宋_GB2312" w:eastAsia="仿宋_GB2312" w:cs="Times New Roman"/>
          <w:color w:val="000000"/>
          <w:sz w:val="31"/>
          <w:szCs w:val="31"/>
        </w:rPr>
        <w:t> </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李学斌</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县财政局党组书记、局长</w:t>
      </w:r>
    </w:p>
    <w:p>
      <w:pPr>
        <w:pStyle w:val="8"/>
        <w:widowControl/>
        <w:spacing w:line="560" w:lineRule="exact"/>
        <w:rPr>
          <w:rFonts w:ascii="仿宋_GB2312" w:eastAsia="仿宋_GB2312" w:cs="Times New Roman"/>
          <w:color w:val="000000"/>
          <w:sz w:val="31"/>
          <w:szCs w:val="31"/>
        </w:rPr>
      </w:pPr>
      <w:r>
        <w:rPr>
          <w:rFonts w:cs="Times New Roman"/>
        </w:rPr>
        <w:t>      </w:t>
      </w:r>
      <w:r>
        <w:t xml:space="preserve"> </w:t>
      </w:r>
      <w:r>
        <w:rPr>
          <w:rFonts w:ascii="仿宋_GB2312" w:eastAsia="仿宋_GB2312" w:cs="Times New Roman"/>
          <w:color w:val="000000"/>
          <w:sz w:val="31"/>
          <w:szCs w:val="31"/>
        </w:rPr>
        <w:t> </w:t>
      </w:r>
      <w:r>
        <w:rPr>
          <w:rFonts w:hint="eastAsia" w:ascii="仿宋_GB2312" w:eastAsia="仿宋_GB2312" w:cs="仿宋_GB2312"/>
          <w:color w:val="000000"/>
          <w:sz w:val="31"/>
          <w:szCs w:val="31"/>
        </w:rPr>
        <w:t>刘</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权</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县人社局党组书记、局长</w:t>
      </w:r>
    </w:p>
    <w:p>
      <w:pPr>
        <w:pStyle w:val="8"/>
        <w:widowControl/>
        <w:spacing w:line="560" w:lineRule="exact"/>
        <w:ind w:firstLine="1860" w:firstLineChars="600"/>
        <w:rPr>
          <w:rFonts w:ascii="仿宋_GB2312" w:eastAsia="仿宋_GB2312" w:cs="Times New Roman"/>
          <w:color w:val="000000"/>
          <w:sz w:val="31"/>
          <w:szCs w:val="31"/>
        </w:rPr>
      </w:pPr>
      <w:r>
        <w:rPr>
          <w:rFonts w:hint="eastAsia" w:ascii="仿宋_GB2312" w:eastAsia="仿宋_GB2312" w:cs="仿宋_GB2312"/>
          <w:color w:val="000000"/>
          <w:sz w:val="31"/>
          <w:szCs w:val="31"/>
        </w:rPr>
        <w:t>王林春</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县住建局党组书记、局长</w:t>
      </w:r>
    </w:p>
    <w:p>
      <w:pPr>
        <w:pStyle w:val="8"/>
        <w:widowControl/>
        <w:spacing w:line="560" w:lineRule="exact"/>
        <w:rPr>
          <w:rFonts w:ascii="仿宋_GB2312" w:eastAsia="仿宋_GB2312" w:cs="Times New Roman"/>
          <w:color w:val="000000"/>
          <w:sz w:val="31"/>
          <w:szCs w:val="31"/>
        </w:rPr>
      </w:pPr>
      <w:r>
        <w:rPr>
          <w:rFonts w:cs="Times New Roman"/>
        </w:rPr>
        <w:t>      </w:t>
      </w:r>
      <w:r>
        <w:t xml:space="preserve"> </w:t>
      </w:r>
      <w:r>
        <w:rPr>
          <w:rFonts w:ascii="仿宋_GB2312" w:eastAsia="仿宋_GB2312" w:cs="Times New Roman"/>
          <w:color w:val="000000"/>
          <w:sz w:val="31"/>
          <w:szCs w:val="31"/>
        </w:rPr>
        <w:t> </w:t>
      </w:r>
      <w:r>
        <w:rPr>
          <w:rFonts w:hint="eastAsia" w:ascii="仿宋_GB2312" w:eastAsia="仿宋_GB2312" w:cs="仿宋_GB2312"/>
          <w:color w:val="000000"/>
          <w:sz w:val="31"/>
          <w:szCs w:val="31"/>
        </w:rPr>
        <w:t>万更乐</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县自然资源局党组书记、局长</w:t>
      </w:r>
    </w:p>
    <w:p>
      <w:pPr>
        <w:pStyle w:val="8"/>
        <w:widowControl/>
        <w:spacing w:line="560" w:lineRule="exact"/>
        <w:ind w:firstLine="1860" w:firstLineChars="600"/>
        <w:rPr>
          <w:rFonts w:ascii="仿宋_GB2312" w:eastAsia="仿宋_GB2312" w:cs="Times New Roman"/>
          <w:color w:val="000000"/>
          <w:sz w:val="31"/>
          <w:szCs w:val="31"/>
        </w:rPr>
      </w:pPr>
      <w:r>
        <w:rPr>
          <w:rFonts w:hint="eastAsia" w:ascii="仿宋_GB2312" w:eastAsia="仿宋_GB2312" w:cs="仿宋_GB2312"/>
          <w:color w:val="000000"/>
          <w:sz w:val="31"/>
          <w:szCs w:val="31"/>
        </w:rPr>
        <w:t>单国成</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县教育局党组书记、局长</w:t>
      </w:r>
    </w:p>
    <w:p>
      <w:pPr>
        <w:pStyle w:val="8"/>
        <w:widowControl/>
        <w:spacing w:line="560" w:lineRule="exact"/>
        <w:rPr>
          <w:rFonts w:ascii="仿宋_GB2312" w:eastAsia="仿宋_GB2312" w:cs="Times New Roman"/>
          <w:color w:val="000000"/>
          <w:sz w:val="31"/>
          <w:szCs w:val="31"/>
        </w:rPr>
      </w:pPr>
      <w:r>
        <w:rPr>
          <w:rFonts w:cs="Times New Roman"/>
        </w:rPr>
        <w:t>      </w:t>
      </w:r>
      <w:r>
        <w:t xml:space="preserve"> </w:t>
      </w:r>
      <w:r>
        <w:rPr>
          <w:rFonts w:ascii="仿宋_GB2312" w:eastAsia="仿宋_GB2312" w:cs="Times New Roman"/>
          <w:color w:val="000000"/>
          <w:sz w:val="31"/>
          <w:szCs w:val="31"/>
        </w:rPr>
        <w:t> </w:t>
      </w:r>
      <w:r>
        <w:rPr>
          <w:rFonts w:hint="eastAsia" w:ascii="仿宋_GB2312" w:eastAsia="仿宋_GB2312" w:cs="仿宋_GB2312"/>
          <w:color w:val="000000"/>
          <w:sz w:val="31"/>
          <w:szCs w:val="31"/>
        </w:rPr>
        <w:t>张</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毅</w:t>
      </w:r>
      <w:r>
        <w:rPr>
          <w:rFonts w:ascii="仿宋_GB2312" w:eastAsia="仿宋_GB2312" w:cs="仿宋_GB2312"/>
          <w:color w:val="000000"/>
          <w:sz w:val="31"/>
          <w:szCs w:val="31"/>
        </w:rPr>
        <w:t xml:space="preserve">  </w:t>
      </w:r>
      <w:r>
        <w:rPr>
          <w:rFonts w:hint="eastAsia" w:ascii="仿宋_GB2312" w:eastAsia="仿宋_GB2312" w:cs="仿宋_GB2312"/>
          <w:color w:val="000000"/>
          <w:sz w:val="31"/>
          <w:szCs w:val="31"/>
        </w:rPr>
        <w:t>县卫生健康局党组书记、局长</w:t>
      </w:r>
    </w:p>
    <w:p>
      <w:pPr>
        <w:pStyle w:val="8"/>
        <w:widowControl/>
        <w:spacing w:line="560" w:lineRule="exact"/>
      </w:pPr>
      <w:r>
        <w:rPr>
          <w:rFonts w:cs="Times New Roman"/>
        </w:rPr>
        <w:t>      </w:t>
      </w:r>
      <w:r>
        <w:t xml:space="preserve"> </w:t>
      </w:r>
      <w:r>
        <w:rPr>
          <w:rFonts w:ascii="仿宋_GB2312" w:eastAsia="仿宋_GB2312" w:cs="Times New Roman"/>
          <w:color w:val="000000"/>
          <w:sz w:val="31"/>
          <w:szCs w:val="31"/>
        </w:rPr>
        <w:t> </w:t>
      </w:r>
      <w:r>
        <w:rPr>
          <w:rFonts w:hint="eastAsia" w:ascii="仿宋_GB2312" w:eastAsia="仿宋_GB2312" w:cs="仿宋_GB2312"/>
          <w:sz w:val="31"/>
          <w:szCs w:val="31"/>
        </w:rPr>
        <w:t>盛殿文</w:t>
      </w:r>
      <w:r>
        <w:rPr>
          <w:rFonts w:ascii="仿宋_GB2312" w:eastAsia="仿宋_GB2312" w:cs="仿宋_GB2312"/>
          <w:color w:val="000000"/>
          <w:sz w:val="31"/>
          <w:szCs w:val="31"/>
        </w:rPr>
        <w:t xml:space="preserve">  </w:t>
      </w:r>
      <w:r>
        <w:rPr>
          <w:rFonts w:hint="eastAsia" w:ascii="仿宋_GB2312" w:eastAsia="仿宋_GB2312" w:cs="仿宋_GB2312"/>
          <w:sz w:val="31"/>
          <w:szCs w:val="31"/>
        </w:rPr>
        <w:t>县残联理事长</w:t>
      </w:r>
      <w:r>
        <w:t xml:space="preserve">  </w:t>
      </w:r>
    </w:p>
    <w:p>
      <w:pPr>
        <w:pStyle w:val="8"/>
        <w:widowControl/>
        <w:spacing w:line="560" w:lineRule="exact"/>
        <w:ind w:firstLine="640"/>
        <w:rPr>
          <w:rFonts w:ascii="仿宋_GB2312" w:eastAsia="仿宋_GB2312" w:cs="Times New Roman"/>
          <w:color w:val="000000"/>
          <w:sz w:val="31"/>
          <w:szCs w:val="31"/>
        </w:rPr>
      </w:pPr>
    </w:p>
    <w:p>
      <w:pPr>
        <w:pStyle w:val="8"/>
        <w:widowControl/>
        <w:spacing w:line="560" w:lineRule="exact"/>
        <w:ind w:firstLine="640"/>
        <w:rPr>
          <w:rFonts w:ascii="仿宋_GB2312" w:eastAsia="仿宋_GB2312" w:cs="Times New Roman"/>
          <w:color w:val="000000"/>
          <w:sz w:val="31"/>
          <w:szCs w:val="31"/>
        </w:rPr>
        <w:sectPr>
          <w:footerReference r:id="rId3" w:type="default"/>
          <w:pgSz w:w="11906" w:h="16838"/>
          <w:pgMar w:top="2098" w:right="1474" w:bottom="1984" w:left="1587" w:header="1417" w:footer="1417" w:gutter="0"/>
          <w:pgNumType w:fmt="numberInDash"/>
          <w:cols w:space="425" w:num="1"/>
          <w:docGrid w:type="lines" w:linePitch="312" w:charSpace="0"/>
        </w:sectPr>
      </w:pPr>
      <w:r>
        <w:rPr>
          <w:rFonts w:hint="eastAsia" w:ascii="仿宋_GB2312" w:eastAsia="仿宋_GB2312" w:cs="仿宋_GB2312"/>
          <w:color w:val="000000"/>
          <w:sz w:val="31"/>
          <w:szCs w:val="31"/>
        </w:rPr>
        <w:t>高台县</w:t>
      </w:r>
      <w:r>
        <w:rPr>
          <w:rFonts w:ascii="仿宋_GB2312" w:eastAsia="仿宋_GB2312" w:cs="仿宋_GB2312"/>
          <w:color w:val="000000"/>
          <w:sz w:val="31"/>
          <w:szCs w:val="31"/>
        </w:rPr>
        <w:t>2022</w:t>
      </w:r>
      <w:r>
        <w:rPr>
          <w:rFonts w:hint="eastAsia" w:ascii="仿宋_GB2312" w:eastAsia="仿宋_GB2312" w:cs="仿宋_GB2312"/>
          <w:color w:val="000000"/>
          <w:sz w:val="31"/>
          <w:szCs w:val="31"/>
        </w:rPr>
        <w:t>年居家和社区基本养老服务提升行动项目领导小组下设办公室，办公室设在县民政局，杨永斌同志兼任办公室主任，桑月红同志担任办公室副主任，负责项目实施、协调、监管等日常工作。</w:t>
      </w:r>
    </w:p>
    <w:tbl>
      <w:tblPr>
        <w:tblStyle w:val="10"/>
        <w:tblW w:w="5093" w:type="pct"/>
        <w:tblInd w:w="-106" w:type="dxa"/>
        <w:tblLayout w:type="fixed"/>
        <w:tblCellMar>
          <w:top w:w="0" w:type="dxa"/>
          <w:left w:w="108" w:type="dxa"/>
          <w:bottom w:w="0" w:type="dxa"/>
          <w:right w:w="108" w:type="dxa"/>
        </w:tblCellMar>
      </w:tblPr>
      <w:tblGrid>
        <w:gridCol w:w="472"/>
        <w:gridCol w:w="477"/>
        <w:gridCol w:w="356"/>
        <w:gridCol w:w="344"/>
        <w:gridCol w:w="742"/>
        <w:gridCol w:w="1305"/>
        <w:gridCol w:w="1340"/>
        <w:gridCol w:w="1204"/>
        <w:gridCol w:w="676"/>
        <w:gridCol w:w="777"/>
        <w:gridCol w:w="661"/>
        <w:gridCol w:w="866"/>
        <w:gridCol w:w="661"/>
        <w:gridCol w:w="528"/>
        <w:gridCol w:w="367"/>
        <w:gridCol w:w="410"/>
        <w:gridCol w:w="453"/>
        <w:gridCol w:w="531"/>
        <w:gridCol w:w="572"/>
        <w:gridCol w:w="303"/>
        <w:gridCol w:w="199"/>
        <w:gridCol w:w="236"/>
        <w:gridCol w:w="508"/>
        <w:gridCol w:w="450"/>
      </w:tblGrid>
      <w:tr>
        <w:tblPrEx>
          <w:tblCellMar>
            <w:top w:w="0" w:type="dxa"/>
            <w:left w:w="108" w:type="dxa"/>
            <w:bottom w:w="0" w:type="dxa"/>
            <w:right w:w="108" w:type="dxa"/>
          </w:tblCellMar>
        </w:tblPrEx>
        <w:trPr>
          <w:trHeight w:val="90" w:hRule="atLeast"/>
        </w:trPr>
        <w:tc>
          <w:tcPr>
            <w:tcW w:w="451" w:type="pct"/>
            <w:gridSpan w:val="3"/>
            <w:tcBorders>
              <w:top w:val="nil"/>
              <w:left w:val="nil"/>
              <w:bottom w:val="nil"/>
              <w:right w:val="nil"/>
            </w:tcBorders>
            <w:noWrap/>
            <w:vAlign w:val="center"/>
          </w:tcPr>
          <w:p>
            <w:pPr>
              <w:spacing w:line="560" w:lineRule="exact"/>
              <w:rPr>
                <w:rFonts w:ascii="宋体" w:cs="Times New Roman"/>
                <w:color w:val="000000"/>
                <w:sz w:val="22"/>
                <w:szCs w:val="2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2</w:t>
            </w:r>
          </w:p>
        </w:tc>
        <w:tc>
          <w:tcPr>
            <w:tcW w:w="119"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56"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45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464"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417"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34"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69"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29"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300"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29"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83"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27"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4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57"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83"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98"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74" w:type="pct"/>
            <w:gridSpan w:val="2"/>
            <w:tcBorders>
              <w:top w:val="nil"/>
              <w:left w:val="nil"/>
              <w:bottom w:val="nil"/>
              <w:right w:val="nil"/>
            </w:tcBorders>
            <w:noWrap/>
            <w:vAlign w:val="center"/>
          </w:tcPr>
          <w:p>
            <w:pPr>
              <w:spacing w:line="560" w:lineRule="exact"/>
              <w:rPr>
                <w:rFonts w:ascii="宋体" w:cs="Times New Roman"/>
                <w:color w:val="000000"/>
                <w:sz w:val="22"/>
                <w:szCs w:val="22"/>
              </w:rPr>
            </w:pPr>
          </w:p>
        </w:tc>
        <w:tc>
          <w:tcPr>
            <w:tcW w:w="81"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326" w:type="pct"/>
            <w:gridSpan w:val="2"/>
            <w:tcBorders>
              <w:top w:val="nil"/>
              <w:left w:val="nil"/>
              <w:bottom w:val="nil"/>
              <w:right w:val="nil"/>
            </w:tcBorders>
            <w:noWrap/>
            <w:vAlign w:val="center"/>
          </w:tcPr>
          <w:p>
            <w:pPr>
              <w:spacing w:line="560" w:lineRule="exact"/>
              <w:rPr>
                <w:rFonts w:ascii="宋体" w:cs="Times New Roman"/>
                <w:color w:val="000000"/>
                <w:sz w:val="22"/>
                <w:szCs w:val="22"/>
              </w:rPr>
            </w:pPr>
          </w:p>
        </w:tc>
      </w:tr>
      <w:tr>
        <w:tblPrEx>
          <w:tblCellMar>
            <w:top w:w="0" w:type="dxa"/>
            <w:left w:w="108" w:type="dxa"/>
            <w:bottom w:w="0" w:type="dxa"/>
            <w:right w:w="108" w:type="dxa"/>
          </w:tblCellMar>
        </w:tblPrEx>
        <w:trPr>
          <w:gridAfter w:val="1"/>
          <w:wAfter w:w="156" w:type="pct"/>
          <w:trHeight w:val="90" w:hRule="atLeast"/>
        </w:trPr>
        <w:tc>
          <w:tcPr>
            <w:tcW w:w="4843" w:type="pct"/>
            <w:gridSpan w:val="23"/>
            <w:tcBorders>
              <w:top w:val="nil"/>
              <w:left w:val="nil"/>
              <w:bottom w:val="nil"/>
              <w:right w:val="nil"/>
            </w:tcBorders>
            <w:noWrap/>
            <w:vAlign w:val="center"/>
          </w:tcPr>
          <w:p>
            <w:pPr>
              <w:widowControl/>
              <w:spacing w:line="560" w:lineRule="exact"/>
              <w:jc w:val="center"/>
              <w:textAlignment w:val="center"/>
              <w:rPr>
                <w:rFonts w:ascii="方正小标宋简体" w:hAnsi="方正小标宋简体" w:eastAsia="方正小标宋简体" w:cs="Times New Roman"/>
                <w:color w:val="000000"/>
                <w:sz w:val="44"/>
                <w:szCs w:val="44"/>
              </w:rPr>
            </w:pPr>
            <w:r>
              <w:pict>
                <v:shape id="文本框_784" o:spid="_x0000_s1029" o:spt="75" type="#_x0000_t75" style="position:absolute;left:0pt;margin-left:99.05pt;margin-top:0pt;height:1pt;width:5.95pt;z-index:251659264;mso-width-relative:page;mso-height-relative:page;" filled="f" o:preferrelative="t" stroked="f" coordsize="21600,21600">
                  <v:path/>
                  <v:fill on="f" focussize="0,0"/>
                  <v:stroke on="f" joinstyle="miter"/>
                  <v:imagedata r:id="rId9" o:title=""/>
                  <o:lock v:ext="edit" aspectratio="t"/>
                </v:shape>
              </w:pict>
            </w:r>
            <w:r>
              <w:pict>
                <v:shape id="文本框_784_SpCnt_1" o:spid="_x0000_s1030" o:spt="75" type="#_x0000_t75" style="position:absolute;left:0pt;margin-left:99.05pt;margin-top:0pt;height:1pt;width:5.95pt;z-index:251660288;mso-width-relative:page;mso-height-relative:page;" filled="f" o:preferrelative="t" stroked="f" coordsize="21600,21600">
                  <v:path/>
                  <v:fill on="f" focussize="0,0"/>
                  <v:stroke on="f" joinstyle="miter"/>
                  <v:imagedata r:id="rId9" o:title=""/>
                  <o:lock v:ext="edit" aspectratio="t"/>
                </v:shape>
              </w:pict>
            </w:r>
            <w:r>
              <w:pict>
                <v:shape id="文本框_784_SpCnt_2" o:spid="_x0000_s1031" o:spt="75" type="#_x0000_t75" style="position:absolute;left:0pt;margin-left:99.05pt;margin-top:0pt;height:1pt;width:5.95pt;z-index:251661312;mso-width-relative:page;mso-height-relative:page;" filled="f" o:preferrelative="t" stroked="f" coordsize="21600,21600">
                  <v:path/>
                  <v:fill on="f" focussize="0,0"/>
                  <v:stroke on="f" joinstyle="miter"/>
                  <v:imagedata r:id="rId9" o:title=""/>
                  <o:lock v:ext="edit" aspectratio="t"/>
                </v:shape>
              </w:pict>
            </w:r>
            <w:r>
              <w:pict>
                <v:shape id="文本框_784_SpCnt_3" o:spid="_x0000_s1032" o:spt="75" type="#_x0000_t75" style="position:absolute;left:0pt;margin-left:99.05pt;margin-top:0pt;height:1pt;width:5.95pt;z-index:251662336;mso-width-relative:page;mso-height-relative:page;" filled="f" o:preferrelative="t" stroked="f" coordsize="21600,21600">
                  <v:path/>
                  <v:fill on="f" focussize="0,0"/>
                  <v:stroke on="f" joinstyle="miter"/>
                  <v:imagedata r:id="rId9" o:title=""/>
                  <o:lock v:ext="edit" aspectratio="t"/>
                </v:shape>
              </w:pict>
            </w:r>
            <w:r>
              <w:pict>
                <v:shape id="文本框_784_SpCnt_4" o:spid="_x0000_s1033" o:spt="75" type="#_x0000_t75" style="position:absolute;left:0pt;margin-left:99.05pt;margin-top:0pt;height:1pt;width:5.95pt;z-index:251663360;mso-width-relative:page;mso-height-relative:page;" filled="f" o:preferrelative="t" stroked="f" coordsize="21600,21600">
                  <v:path/>
                  <v:fill on="f" focussize="0,0"/>
                  <v:stroke on="f" joinstyle="miter"/>
                  <v:imagedata r:id="rId9" o:title=""/>
                  <o:lock v:ext="edit" aspectratio="t"/>
                </v:shape>
              </w:pict>
            </w:r>
            <w:r>
              <w:pict>
                <v:shape id="文本框_784_SpCnt_5" o:spid="_x0000_s1034" o:spt="75" type="#_x0000_t75" style="position:absolute;left:0pt;margin-left:99.05pt;margin-top:0pt;height:1pt;width:5.95pt;z-index:251664384;mso-width-relative:page;mso-height-relative:page;" filled="f" o:preferrelative="t" stroked="f" coordsize="21600,21600">
                  <v:path/>
                  <v:fill on="f" focussize="0,0"/>
                  <v:stroke on="f" joinstyle="miter"/>
                  <v:imagedata r:id="rId9" o:title=""/>
                  <o:lock v:ext="edit" aspectratio="t"/>
                </v:shape>
              </w:pict>
            </w:r>
            <w:r>
              <w:pict>
                <v:shape id="文本框_784_SpCnt_6" o:spid="_x0000_s1035" o:spt="75" type="#_x0000_t75" style="position:absolute;left:0pt;margin-left:99pt;margin-top:0pt;height:1pt;width:6.05pt;z-index:251665408;mso-width-relative:page;mso-height-relative:page;" filled="f" o:preferrelative="t" stroked="f" coordsize="21600,21600">
                  <v:path/>
                  <v:fill on="f" focussize="0,0"/>
                  <v:stroke on="f" joinstyle="miter"/>
                  <v:imagedata r:id="rId10" o:title=""/>
                  <o:lock v:ext="edit" aspectratio="t"/>
                </v:shape>
              </w:pict>
            </w:r>
            <w:r>
              <w:pict>
                <v:shape id="文本框_784_SpCnt_7" o:spid="_x0000_s1036" o:spt="75" type="#_x0000_t75" style="position:absolute;left:0pt;margin-left:99.05pt;margin-top:0pt;height:1pt;width:5.95pt;z-index:251666432;mso-width-relative:page;mso-height-relative:page;" filled="f" o:preferrelative="t" stroked="f" coordsize="21600,21600">
                  <v:path/>
                  <v:fill on="f" focussize="0,0"/>
                  <v:stroke on="f" joinstyle="miter"/>
                  <v:imagedata r:id="rId9" o:title=""/>
                  <o:lock v:ext="edit" aspectratio="t"/>
                </v:shape>
              </w:pict>
            </w:r>
            <w:r>
              <w:pict>
                <v:shape id="文本框_784_SpCnt_8" o:spid="_x0000_s1037" o:spt="75" type="#_x0000_t75" style="position:absolute;left:0pt;margin-left:99.05pt;margin-top:0pt;height:1pt;width:5.95pt;z-index:251667456;mso-width-relative:page;mso-height-relative:page;" filled="f" o:preferrelative="t" stroked="f" coordsize="21600,21600">
                  <v:path/>
                  <v:fill on="f" focussize="0,0"/>
                  <v:stroke on="f" joinstyle="miter"/>
                  <v:imagedata r:id="rId9" o:title=""/>
                  <o:lock v:ext="edit" aspectratio="t"/>
                </v:shape>
              </w:pict>
            </w:r>
            <w:r>
              <w:pict>
                <v:shape id="文本框_784_SpCnt_9" o:spid="_x0000_s1038" o:spt="75" type="#_x0000_t75" style="position:absolute;left:0pt;margin-left:99pt;margin-top:0pt;height:1pt;width:6.05pt;z-index:251668480;mso-width-relative:page;mso-height-relative:page;" filled="f" o:preferrelative="t" stroked="f" coordsize="21600,21600">
                  <v:path/>
                  <v:fill on="f" focussize="0,0"/>
                  <v:stroke on="f" joinstyle="miter"/>
                  <v:imagedata r:id="rId10" o:title=""/>
                  <o:lock v:ext="edit" aspectratio="t"/>
                </v:shape>
              </w:pict>
            </w:r>
            <w:r>
              <w:pict>
                <v:shape id="文本框_784_SpCnt_10" o:spid="_x0000_s1039" o:spt="75" type="#_x0000_t75" style="position:absolute;left:0pt;margin-left:99pt;margin-top:0pt;height:1pt;width:6.05pt;z-index:251669504;mso-width-relative:page;mso-height-relative:page;" filled="f" o:preferrelative="t" stroked="f" coordsize="21600,21600">
                  <v:path/>
                  <v:fill on="f" focussize="0,0"/>
                  <v:stroke on="f" joinstyle="miter"/>
                  <v:imagedata r:id="rId10" o:title=""/>
                  <o:lock v:ext="edit" aspectratio="t"/>
                </v:shape>
              </w:pict>
            </w:r>
            <w:r>
              <w:pict>
                <v:shape id="文本框_784_SpCnt_11" o:spid="_x0000_s1040" o:spt="75" type="#_x0000_t75" style="position:absolute;left:0pt;margin-left:99pt;margin-top:0pt;height:1pt;width:6.05pt;z-index:251670528;mso-width-relative:page;mso-height-relative:page;" filled="f" o:preferrelative="t" stroked="f" coordsize="21600,21600">
                  <v:path/>
                  <v:fill on="f" focussize="0,0"/>
                  <v:stroke on="f" joinstyle="miter"/>
                  <v:imagedata r:id="rId10" o:title=""/>
                  <o:lock v:ext="edit" aspectratio="t"/>
                </v:shape>
              </w:pict>
            </w:r>
            <w:r>
              <w:pict>
                <v:shape id="文本框_784_SpCnt_12" o:spid="_x0000_s1041" o:spt="75" type="#_x0000_t75" style="position:absolute;left:0pt;margin-left:99.05pt;margin-top:0pt;height:1pt;width:5.95pt;z-index:251671552;mso-width-relative:page;mso-height-relative:page;" filled="f" o:preferrelative="t" stroked="f" coordsize="21600,21600">
                  <v:path/>
                  <v:fill on="f" focussize="0,0"/>
                  <v:stroke on="f" joinstyle="miter"/>
                  <v:imagedata r:id="rId9" o:title=""/>
                  <o:lock v:ext="edit" aspectratio="t"/>
                </v:shape>
              </w:pict>
            </w:r>
            <w:r>
              <w:pict>
                <v:shape id="文本框_784_SpCnt_13" o:spid="_x0000_s1042" o:spt="75" type="#_x0000_t75" style="position:absolute;left:0pt;margin-left:99.05pt;margin-top:0pt;height:1pt;width:5.95pt;z-index:251671552;mso-width-relative:page;mso-height-relative:page;" filled="f" o:preferrelative="t" stroked="f" coordsize="21600,21600">
                  <v:path/>
                  <v:fill on="f" focussize="0,0"/>
                  <v:stroke on="f" joinstyle="miter"/>
                  <v:imagedata r:id="rId9" o:title=""/>
                  <o:lock v:ext="edit" aspectratio="t"/>
                </v:shape>
              </w:pict>
            </w:r>
            <w:r>
              <w:pict>
                <v:shape id="文本框_784_SpCnt_14" o:spid="_x0000_s1043" o:spt="75" type="#_x0000_t75" style="position:absolute;left:0pt;margin-left:99.05pt;margin-top:0pt;height:1pt;width:5.95pt;z-index:251672576;mso-width-relative:page;mso-height-relative:page;" filled="f" o:preferrelative="t" stroked="f" coordsize="21600,21600">
                  <v:path/>
                  <v:fill on="f" focussize="0,0"/>
                  <v:stroke on="f" joinstyle="miter"/>
                  <v:imagedata r:id="rId9" o:title=""/>
                  <o:lock v:ext="edit" aspectratio="t"/>
                </v:shape>
              </w:pict>
            </w:r>
            <w:r>
              <w:pict>
                <v:shape id="文本框_784_SpCnt_15" o:spid="_x0000_s1044" o:spt="75" type="#_x0000_t75" style="position:absolute;left:0pt;margin-left:99.05pt;margin-top:0pt;height:1pt;width:5.95pt;z-index:251673600;mso-width-relative:page;mso-height-relative:page;" filled="f" o:preferrelative="t" stroked="f" coordsize="21600,21600">
                  <v:path/>
                  <v:fill on="f" focussize="0,0"/>
                  <v:stroke on="f" joinstyle="miter"/>
                  <v:imagedata r:id="rId9" o:title=""/>
                  <o:lock v:ext="edit" aspectratio="t"/>
                </v:shape>
              </w:pict>
            </w:r>
            <w:r>
              <w:pict>
                <v:shape id="文本框_784_SpCnt_16" o:spid="_x0000_s1045" o:spt="75" type="#_x0000_t75" style="position:absolute;left:0pt;margin-left:99pt;margin-top:0pt;height:1pt;width:6pt;z-index:251674624;mso-width-relative:page;mso-height-relative:page;" filled="f" o:preferrelative="t" stroked="f" coordsize="21600,21600">
                  <v:path/>
                  <v:fill on="f" focussize="0,0"/>
                  <v:stroke on="f" joinstyle="miter"/>
                  <v:imagedata r:id="rId9" o:title=""/>
                  <o:lock v:ext="edit" aspectratio="t"/>
                </v:shape>
              </w:pict>
            </w:r>
            <w:r>
              <w:pict>
                <v:shape id="文本框_784_SpCnt_17" o:spid="_x0000_s1046" o:spt="75" type="#_x0000_t75" style="position:absolute;left:0pt;margin-left:99.05pt;margin-top:0pt;height:1pt;width:5.95pt;z-index:251675648;mso-width-relative:page;mso-height-relative:page;" filled="f" o:preferrelative="t" stroked="f" coordsize="21600,21600">
                  <v:path/>
                  <v:fill on="f" focussize="0,0"/>
                  <v:stroke on="f" joinstyle="miter"/>
                  <v:imagedata r:id="rId9" o:title=""/>
                  <o:lock v:ext="edit" aspectratio="t"/>
                </v:shape>
              </w:pict>
            </w:r>
            <w:r>
              <w:pict>
                <v:shape id="文本框_784_SpCnt_18" o:spid="_x0000_s1047" o:spt="75" type="#_x0000_t75" style="position:absolute;left:0pt;margin-left:99pt;margin-top:0pt;height:1pt;width:6pt;z-index:251676672;mso-width-relative:page;mso-height-relative:page;" filled="f" o:preferrelative="t" stroked="f" coordsize="21600,21600">
                  <v:path/>
                  <v:fill on="f" focussize="0,0"/>
                  <v:stroke on="f" joinstyle="miter"/>
                  <v:imagedata r:id="rId9" o:title=""/>
                  <o:lock v:ext="edit" aspectratio="t"/>
                </v:shape>
              </w:pict>
            </w:r>
            <w:r>
              <w:pict>
                <v:shape id="文本框_784_SpCnt_19" o:spid="_x0000_s1048" o:spt="75" type="#_x0000_t75" style="position:absolute;left:0pt;margin-left:99pt;margin-top:0pt;height:1pt;width:6pt;z-index:251677696;mso-width-relative:page;mso-height-relative:page;" filled="f" o:preferrelative="t" stroked="f" coordsize="21600,21600">
                  <v:path/>
                  <v:fill on="f" focussize="0,0"/>
                  <v:stroke on="f" joinstyle="miter"/>
                  <v:imagedata r:id="rId9" o:title=""/>
                  <o:lock v:ext="edit" aspectratio="t"/>
                </v:shape>
              </w:pict>
            </w:r>
            <w:r>
              <w:pict>
                <v:shape id="文本框_784_SpCnt_20" o:spid="_x0000_s1049" o:spt="75" type="#_x0000_t75" style="position:absolute;left:0pt;margin-left:99.05pt;margin-top:0pt;height:1pt;width:5.95pt;z-index:251678720;mso-width-relative:page;mso-height-relative:page;" filled="f" o:preferrelative="t" stroked="f" coordsize="21600,21600">
                  <v:path/>
                  <v:fill on="f" focussize="0,0"/>
                  <v:stroke on="f" joinstyle="miter"/>
                  <v:imagedata r:id="rId9" o:title=""/>
                  <o:lock v:ext="edit" aspectratio="t"/>
                </v:shape>
              </w:pict>
            </w:r>
            <w:r>
              <w:pict>
                <v:shape id="文本框_784_SpCnt_21" o:spid="_x0000_s1050" o:spt="75" type="#_x0000_t75" style="position:absolute;left:0pt;margin-left:99.05pt;margin-top:0pt;height:1pt;width:5.95pt;z-index:251679744;mso-width-relative:page;mso-height-relative:page;" filled="f" o:preferrelative="t" stroked="f" coordsize="21600,21600">
                  <v:path/>
                  <v:fill on="f" focussize="0,0"/>
                  <v:stroke on="f" joinstyle="miter"/>
                  <v:imagedata r:id="rId9" o:title=""/>
                  <o:lock v:ext="edit" aspectratio="t"/>
                </v:shape>
              </w:pict>
            </w:r>
            <w:r>
              <w:pict>
                <v:shape id="文本框_784_SpCnt_22" o:spid="_x0000_s1051" o:spt="75" type="#_x0000_t75" style="position:absolute;left:0pt;margin-left:99.05pt;margin-top:0pt;height:1pt;width:5.95pt;z-index:251680768;mso-width-relative:page;mso-height-relative:page;" filled="f" o:preferrelative="t" stroked="f" coordsize="21600,21600">
                  <v:path/>
                  <v:fill on="f" focussize="0,0"/>
                  <v:stroke on="f" joinstyle="miter"/>
                  <v:imagedata r:id="rId9" o:title=""/>
                  <o:lock v:ext="edit" aspectratio="t"/>
                </v:shape>
              </w:pict>
            </w:r>
            <w:r>
              <w:pict>
                <v:shape id="文本框_784_SpCnt_23" o:spid="_x0000_s1052" o:spt="75" type="#_x0000_t75" style="position:absolute;left:0pt;margin-left:99pt;margin-top:0pt;height:1pt;width:6pt;z-index:251681792;mso-width-relative:page;mso-height-relative:page;" filled="f" o:preferrelative="t" stroked="f" coordsize="21600,21600">
                  <v:path/>
                  <v:fill on="f" focussize="0,0"/>
                  <v:stroke on="f" joinstyle="miter"/>
                  <v:imagedata r:id="rId9" o:title=""/>
                  <o:lock v:ext="edit" aspectratio="t"/>
                </v:shape>
              </w:pict>
            </w:r>
            <w:r>
              <w:rPr>
                <w:rFonts w:hint="eastAsia" w:ascii="方正小标宋简体" w:hAnsi="方正小标宋简体" w:eastAsia="方正小标宋简体" w:cs="方正小标宋简体"/>
                <w:color w:val="000000"/>
                <w:kern w:val="0"/>
                <w:sz w:val="36"/>
                <w:szCs w:val="36"/>
              </w:rPr>
              <w:t>高台县</w:t>
            </w:r>
            <w:r>
              <w:rPr>
                <w:rFonts w:ascii="方正小标宋简体" w:hAnsi="方正小标宋简体" w:eastAsia="方正小标宋简体" w:cs="方正小标宋简体"/>
                <w:color w:val="000000"/>
                <w:kern w:val="0"/>
                <w:sz w:val="36"/>
                <w:szCs w:val="36"/>
              </w:rPr>
              <w:t>2022</w:t>
            </w:r>
            <w:r>
              <w:rPr>
                <w:rFonts w:hint="eastAsia" w:ascii="方正小标宋简体" w:hAnsi="方正小标宋简体" w:eastAsia="方正小标宋简体" w:cs="方正小标宋简体"/>
                <w:color w:val="000000"/>
                <w:kern w:val="0"/>
                <w:sz w:val="36"/>
                <w:szCs w:val="36"/>
              </w:rPr>
              <w:t>年居家和社区基本养老服务提升行动项目新建家庭养老床位摸底汇总表</w:t>
            </w:r>
          </w:p>
        </w:tc>
      </w:tr>
      <w:tr>
        <w:tblPrEx>
          <w:tblCellMar>
            <w:top w:w="0" w:type="dxa"/>
            <w:left w:w="108" w:type="dxa"/>
            <w:bottom w:w="0" w:type="dxa"/>
            <w:right w:w="108" w:type="dxa"/>
          </w:tblCellMar>
        </w:tblPrEx>
        <w:trPr>
          <w:gridAfter w:val="1"/>
          <w:wAfter w:w="156" w:type="pct"/>
          <w:trHeight w:val="90" w:hRule="atLeast"/>
        </w:trPr>
        <w:tc>
          <w:tcPr>
            <w:tcW w:w="827" w:type="pct"/>
            <w:gridSpan w:val="5"/>
            <w:tcBorders>
              <w:top w:val="nil"/>
              <w:left w:val="nil"/>
              <w:bottom w:val="nil"/>
              <w:right w:val="nil"/>
            </w:tcBorders>
            <w:noWrap/>
            <w:vAlign w:val="center"/>
          </w:tcPr>
          <w:p>
            <w:pPr>
              <w:widowControl/>
              <w:spacing w:line="560" w:lineRule="exact"/>
              <w:jc w:val="left"/>
              <w:textAlignment w:val="center"/>
              <w:rPr>
                <w:rFonts w:ascii="宋体" w:cs="Times New Roman"/>
                <w:color w:val="000000"/>
                <w:sz w:val="16"/>
                <w:szCs w:val="16"/>
              </w:rPr>
            </w:pPr>
            <w:r>
              <w:rPr>
                <w:rFonts w:hint="eastAsia" w:ascii="宋体" w:hAnsi="宋体" w:cs="宋体"/>
                <w:color w:val="000000"/>
                <w:kern w:val="0"/>
                <w:sz w:val="16"/>
                <w:szCs w:val="16"/>
              </w:rPr>
              <w:t>填报乡镇：（盖章）</w:t>
            </w:r>
          </w:p>
        </w:tc>
        <w:tc>
          <w:tcPr>
            <w:tcW w:w="452"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464"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417"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234"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269"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229"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300" w:type="pct"/>
            <w:tcBorders>
              <w:top w:val="nil"/>
              <w:left w:val="nil"/>
              <w:bottom w:val="nil"/>
              <w:right w:val="nil"/>
            </w:tcBorders>
            <w:vAlign w:val="center"/>
          </w:tcPr>
          <w:p>
            <w:pPr>
              <w:spacing w:line="560" w:lineRule="exact"/>
              <w:jc w:val="center"/>
              <w:rPr>
                <w:rFonts w:ascii="宋体" w:cs="Times New Roman"/>
                <w:color w:val="000000"/>
                <w:sz w:val="16"/>
                <w:szCs w:val="16"/>
              </w:rPr>
            </w:pPr>
          </w:p>
        </w:tc>
        <w:tc>
          <w:tcPr>
            <w:tcW w:w="229"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183"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127" w:type="pct"/>
            <w:tcBorders>
              <w:top w:val="nil"/>
              <w:left w:val="nil"/>
              <w:bottom w:val="nil"/>
              <w:right w:val="nil"/>
            </w:tcBorders>
            <w:noWrap/>
            <w:vAlign w:val="center"/>
          </w:tcPr>
          <w:p>
            <w:pPr>
              <w:spacing w:line="560" w:lineRule="exact"/>
              <w:jc w:val="center"/>
              <w:rPr>
                <w:rFonts w:ascii="宋体" w:cs="Times New Roman"/>
                <w:color w:val="000000"/>
                <w:sz w:val="16"/>
                <w:szCs w:val="16"/>
              </w:rPr>
            </w:pPr>
          </w:p>
        </w:tc>
        <w:tc>
          <w:tcPr>
            <w:tcW w:w="786" w:type="pct"/>
            <w:gridSpan w:val="5"/>
            <w:tcBorders>
              <w:top w:val="nil"/>
              <w:left w:val="nil"/>
              <w:bottom w:val="nil"/>
              <w:right w:val="nil"/>
            </w:tcBorders>
            <w:noWrap/>
            <w:vAlign w:val="center"/>
          </w:tcPr>
          <w:p>
            <w:pPr>
              <w:widowControl/>
              <w:spacing w:line="560" w:lineRule="exact"/>
              <w:jc w:val="left"/>
              <w:textAlignment w:val="center"/>
              <w:rPr>
                <w:rFonts w:ascii="宋体" w:cs="Times New Roman"/>
                <w:color w:val="000000"/>
                <w:sz w:val="16"/>
                <w:szCs w:val="16"/>
              </w:rPr>
            </w:pPr>
            <w:r>
              <w:rPr>
                <w:rFonts w:hint="eastAsia" w:ascii="宋体" w:hAnsi="宋体" w:cs="宋体"/>
                <w:color w:val="000000"/>
                <w:kern w:val="0"/>
                <w:sz w:val="16"/>
                <w:szCs w:val="16"/>
              </w:rPr>
              <w:t>填报日期：</w:t>
            </w:r>
            <w:r>
              <w:rPr>
                <w:rFonts w:ascii="宋体" w:hAnsi="宋体" w:cs="宋体"/>
                <w:color w:val="000000"/>
                <w:kern w:val="0"/>
                <w:sz w:val="16"/>
                <w:szCs w:val="16"/>
              </w:rPr>
              <w:t xml:space="preserve">    </w:t>
            </w:r>
            <w:r>
              <w:rPr>
                <w:rFonts w:hint="eastAsia" w:ascii="宋体" w:hAnsi="宋体" w:cs="宋体"/>
                <w:color w:val="000000"/>
                <w:kern w:val="0"/>
                <w:sz w:val="16"/>
                <w:szCs w:val="16"/>
              </w:rPr>
              <w:t>年</w:t>
            </w:r>
            <w:r>
              <w:rPr>
                <w:rFonts w:ascii="宋体" w:hAnsi="宋体" w:cs="宋体"/>
                <w:color w:val="000000"/>
                <w:kern w:val="0"/>
                <w:sz w:val="16"/>
                <w:szCs w:val="16"/>
              </w:rPr>
              <w:t xml:space="preserve">  </w:t>
            </w:r>
            <w:r>
              <w:rPr>
                <w:rFonts w:hint="eastAsia" w:ascii="宋体" w:hAnsi="宋体" w:cs="宋体"/>
                <w:color w:val="000000"/>
                <w:kern w:val="0"/>
                <w:sz w:val="16"/>
                <w:szCs w:val="16"/>
              </w:rPr>
              <w:t>月</w:t>
            </w:r>
            <w:r>
              <w:rPr>
                <w:rFonts w:ascii="宋体" w:hAnsi="宋体" w:cs="宋体"/>
                <w:color w:val="000000"/>
                <w:kern w:val="0"/>
                <w:sz w:val="16"/>
                <w:szCs w:val="16"/>
              </w:rPr>
              <w:t xml:space="preserve">  </w:t>
            </w:r>
            <w:r>
              <w:rPr>
                <w:rFonts w:hint="eastAsia" w:ascii="宋体" w:hAnsi="宋体" w:cs="宋体"/>
                <w:color w:val="000000"/>
                <w:kern w:val="0"/>
                <w:sz w:val="16"/>
                <w:szCs w:val="16"/>
              </w:rPr>
              <w:t>日</w:t>
            </w:r>
          </w:p>
        </w:tc>
        <w:tc>
          <w:tcPr>
            <w:tcW w:w="322" w:type="pct"/>
            <w:gridSpan w:val="3"/>
            <w:tcBorders>
              <w:top w:val="nil"/>
              <w:left w:val="nil"/>
              <w:bottom w:val="nil"/>
              <w:right w:val="nil"/>
            </w:tcBorders>
            <w:noWrap/>
            <w:vAlign w:val="center"/>
          </w:tcPr>
          <w:p>
            <w:pPr>
              <w:spacing w:line="560" w:lineRule="exact"/>
              <w:rPr>
                <w:rFonts w:ascii="宋体" w:cs="Times New Roman"/>
                <w:color w:val="000000"/>
                <w:sz w:val="16"/>
                <w:szCs w:val="16"/>
              </w:rPr>
            </w:pPr>
          </w:p>
        </w:tc>
      </w:tr>
      <w:tr>
        <w:tblPrEx>
          <w:tblCellMar>
            <w:top w:w="0" w:type="dxa"/>
            <w:left w:w="108" w:type="dxa"/>
            <w:bottom w:w="0" w:type="dxa"/>
            <w:right w:w="108" w:type="dxa"/>
          </w:tblCellMar>
        </w:tblPrEx>
        <w:trPr>
          <w:gridAfter w:val="1"/>
          <w:wAfter w:w="156" w:type="pct"/>
          <w:trHeight w:val="90" w:hRule="atLeast"/>
        </w:trPr>
        <w:tc>
          <w:tcPr>
            <w:tcW w:w="16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序号</w:t>
            </w:r>
          </w:p>
        </w:tc>
        <w:tc>
          <w:tcPr>
            <w:tcW w:w="16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老人姓名</w:t>
            </w:r>
          </w:p>
        </w:tc>
        <w:tc>
          <w:tcPr>
            <w:tcW w:w="12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性别</w:t>
            </w:r>
          </w:p>
        </w:tc>
        <w:tc>
          <w:tcPr>
            <w:tcW w:w="11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年龄</w:t>
            </w:r>
          </w:p>
        </w:tc>
        <w:tc>
          <w:tcPr>
            <w:tcW w:w="25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ascii="宋体" w:hAnsi="宋体" w:cs="宋体"/>
                <w:color w:val="000000"/>
                <w:kern w:val="0"/>
                <w:sz w:val="13"/>
                <w:szCs w:val="13"/>
              </w:rPr>
              <w:t xml:space="preserve"> </w:t>
            </w:r>
            <w:r>
              <w:rPr>
                <w:rFonts w:hint="eastAsia" w:ascii="宋体" w:hAnsi="宋体" w:cs="宋体"/>
                <w:color w:val="000000"/>
                <w:kern w:val="0"/>
                <w:sz w:val="13"/>
                <w:szCs w:val="13"/>
              </w:rPr>
              <w:t>本人联系电话</w:t>
            </w:r>
          </w:p>
        </w:tc>
        <w:tc>
          <w:tcPr>
            <w:tcW w:w="45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身份证号</w:t>
            </w:r>
          </w:p>
        </w:tc>
        <w:tc>
          <w:tcPr>
            <w:tcW w:w="46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老人身份类别（分散特困</w:t>
            </w:r>
            <w:r>
              <w:rPr>
                <w:rFonts w:ascii="宋体" w:hAnsi="宋体" w:cs="宋体"/>
                <w:color w:val="000000"/>
                <w:kern w:val="0"/>
                <w:sz w:val="13"/>
                <w:szCs w:val="13"/>
              </w:rPr>
              <w:t>/</w:t>
            </w:r>
            <w:r>
              <w:rPr>
                <w:rFonts w:hint="eastAsia" w:ascii="宋体" w:hAnsi="宋体" w:cs="宋体"/>
                <w:color w:val="000000"/>
                <w:kern w:val="0"/>
                <w:sz w:val="13"/>
                <w:szCs w:val="13"/>
              </w:rPr>
              <w:t>经济困难</w:t>
            </w:r>
            <w:r>
              <w:rPr>
                <w:rFonts w:ascii="宋体" w:hAnsi="宋体" w:cs="宋体"/>
                <w:color w:val="000000"/>
                <w:kern w:val="0"/>
                <w:sz w:val="13"/>
                <w:szCs w:val="13"/>
              </w:rPr>
              <w:t>/</w:t>
            </w:r>
            <w:r>
              <w:rPr>
                <w:rFonts w:hint="eastAsia" w:ascii="宋体" w:hAnsi="宋体" w:cs="宋体"/>
                <w:color w:val="000000"/>
                <w:kern w:val="0"/>
                <w:sz w:val="13"/>
                <w:szCs w:val="13"/>
              </w:rPr>
              <w:t>高龄</w:t>
            </w:r>
            <w:r>
              <w:rPr>
                <w:rFonts w:ascii="宋体" w:hAnsi="宋体" w:cs="宋体"/>
                <w:color w:val="000000"/>
                <w:kern w:val="0"/>
                <w:sz w:val="13"/>
                <w:szCs w:val="13"/>
              </w:rPr>
              <w:t>/</w:t>
            </w:r>
            <w:r>
              <w:rPr>
                <w:rFonts w:hint="eastAsia" w:ascii="宋体" w:hAnsi="宋体" w:cs="宋体"/>
                <w:color w:val="000000"/>
                <w:kern w:val="0"/>
                <w:sz w:val="13"/>
                <w:szCs w:val="13"/>
              </w:rPr>
              <w:t>低保家庭</w:t>
            </w:r>
            <w:r>
              <w:rPr>
                <w:rFonts w:ascii="宋体" w:hAnsi="宋体" w:cs="宋体"/>
                <w:color w:val="000000"/>
                <w:kern w:val="0"/>
                <w:sz w:val="13"/>
                <w:szCs w:val="13"/>
              </w:rPr>
              <w:t>/</w:t>
            </w:r>
            <w:r>
              <w:rPr>
                <w:rFonts w:hint="eastAsia" w:ascii="宋体" w:hAnsi="宋体" w:cs="宋体"/>
                <w:color w:val="000000"/>
                <w:kern w:val="0"/>
                <w:sz w:val="13"/>
                <w:szCs w:val="13"/>
              </w:rPr>
              <w:t>计划生育特殊困难家庭</w:t>
            </w:r>
            <w:r>
              <w:rPr>
                <w:rFonts w:ascii="宋体" w:hAnsi="宋体" w:cs="宋体"/>
                <w:color w:val="000000"/>
                <w:kern w:val="0"/>
                <w:sz w:val="13"/>
                <w:szCs w:val="13"/>
              </w:rPr>
              <w:t>/</w:t>
            </w:r>
            <w:r>
              <w:rPr>
                <w:rFonts w:hint="eastAsia" w:ascii="宋体" w:hAnsi="宋体" w:cs="宋体"/>
                <w:color w:val="000000"/>
                <w:kern w:val="0"/>
                <w:sz w:val="13"/>
                <w:szCs w:val="13"/>
              </w:rPr>
              <w:t>残疾人</w:t>
            </w:r>
            <w:r>
              <w:rPr>
                <w:rFonts w:ascii="宋体" w:hAnsi="宋体" w:cs="宋体"/>
                <w:color w:val="000000"/>
                <w:kern w:val="0"/>
                <w:sz w:val="13"/>
                <w:szCs w:val="13"/>
              </w:rPr>
              <w:t>/</w:t>
            </w:r>
            <w:r>
              <w:rPr>
                <w:rFonts w:hint="eastAsia" w:ascii="宋体" w:hAnsi="宋体" w:cs="宋体"/>
                <w:color w:val="000000"/>
                <w:kern w:val="0"/>
                <w:sz w:val="13"/>
                <w:szCs w:val="13"/>
              </w:rPr>
              <w:t>独居</w:t>
            </w:r>
            <w:r>
              <w:rPr>
                <w:rFonts w:ascii="宋体" w:hAnsi="宋体" w:cs="宋体"/>
                <w:color w:val="000000"/>
                <w:kern w:val="0"/>
                <w:sz w:val="13"/>
                <w:szCs w:val="13"/>
              </w:rPr>
              <w:t>/</w:t>
            </w:r>
            <w:r>
              <w:rPr>
                <w:rFonts w:hint="eastAsia" w:ascii="宋体" w:hAnsi="宋体" w:cs="宋体"/>
                <w:color w:val="000000"/>
                <w:kern w:val="0"/>
                <w:sz w:val="13"/>
                <w:szCs w:val="13"/>
              </w:rPr>
              <w:t>空巢</w:t>
            </w:r>
            <w:r>
              <w:rPr>
                <w:rFonts w:ascii="宋体" w:hAnsi="宋体" w:cs="宋体"/>
                <w:color w:val="000000"/>
                <w:kern w:val="0"/>
                <w:sz w:val="13"/>
                <w:szCs w:val="13"/>
              </w:rPr>
              <w:t>/</w:t>
            </w:r>
            <w:r>
              <w:rPr>
                <w:rFonts w:hint="eastAsia" w:ascii="宋体" w:hAnsi="宋体" w:cs="宋体"/>
                <w:color w:val="000000"/>
                <w:kern w:val="0"/>
                <w:sz w:val="13"/>
                <w:szCs w:val="13"/>
              </w:rPr>
              <w:t>留守</w:t>
            </w:r>
            <w:r>
              <w:rPr>
                <w:rFonts w:ascii="宋体" w:hAnsi="宋体" w:cs="宋体"/>
                <w:color w:val="000000"/>
                <w:kern w:val="0"/>
                <w:sz w:val="13"/>
                <w:szCs w:val="13"/>
              </w:rPr>
              <w:t>/</w:t>
            </w:r>
            <w:r>
              <w:rPr>
                <w:rFonts w:hint="eastAsia" w:ascii="宋体" w:hAnsi="宋体" w:cs="宋体"/>
                <w:color w:val="000000"/>
                <w:kern w:val="0"/>
                <w:sz w:val="13"/>
                <w:szCs w:val="13"/>
              </w:rPr>
              <w:t>有特殊贡献）</w:t>
            </w:r>
          </w:p>
        </w:tc>
        <w:tc>
          <w:tcPr>
            <w:tcW w:w="41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能力评估结果（轻度失能</w:t>
            </w:r>
            <w:r>
              <w:rPr>
                <w:rFonts w:ascii="宋体" w:hAnsi="宋体" w:cs="宋体"/>
                <w:color w:val="000000"/>
                <w:kern w:val="0"/>
                <w:sz w:val="13"/>
                <w:szCs w:val="13"/>
              </w:rPr>
              <w:t>/</w:t>
            </w:r>
            <w:r>
              <w:rPr>
                <w:rFonts w:hint="eastAsia" w:ascii="宋体" w:hAnsi="宋体" w:cs="宋体"/>
                <w:color w:val="000000"/>
                <w:kern w:val="0"/>
                <w:sz w:val="13"/>
                <w:szCs w:val="13"/>
              </w:rPr>
              <w:t>中度失能</w:t>
            </w:r>
            <w:r>
              <w:rPr>
                <w:rFonts w:ascii="宋体" w:hAnsi="宋体" w:cs="宋体"/>
                <w:color w:val="000000"/>
                <w:kern w:val="0"/>
                <w:sz w:val="13"/>
                <w:szCs w:val="13"/>
              </w:rPr>
              <w:t>/</w:t>
            </w:r>
            <w:r>
              <w:rPr>
                <w:rFonts w:hint="eastAsia" w:ascii="宋体" w:hAnsi="宋体" w:cs="宋体"/>
                <w:color w:val="000000"/>
                <w:kern w:val="0"/>
                <w:sz w:val="13"/>
                <w:szCs w:val="13"/>
              </w:rPr>
              <w:t>中重度失能</w:t>
            </w:r>
            <w:r>
              <w:rPr>
                <w:rFonts w:ascii="宋体" w:hAnsi="宋体" w:cs="宋体"/>
                <w:color w:val="000000"/>
                <w:kern w:val="0"/>
                <w:sz w:val="13"/>
                <w:szCs w:val="13"/>
              </w:rPr>
              <w:t>/</w:t>
            </w:r>
            <w:r>
              <w:rPr>
                <w:rFonts w:hint="eastAsia" w:ascii="宋体" w:hAnsi="宋体" w:cs="宋体"/>
                <w:color w:val="000000"/>
                <w:kern w:val="0"/>
                <w:sz w:val="13"/>
                <w:szCs w:val="13"/>
              </w:rPr>
              <w:t>重度失能</w:t>
            </w:r>
            <w:r>
              <w:rPr>
                <w:rFonts w:ascii="宋体" w:hAnsi="宋体" w:cs="宋体"/>
                <w:color w:val="000000"/>
                <w:kern w:val="0"/>
                <w:sz w:val="13"/>
                <w:szCs w:val="13"/>
              </w:rPr>
              <w:t>/</w:t>
            </w:r>
            <w:r>
              <w:rPr>
                <w:rFonts w:hint="eastAsia" w:ascii="宋体" w:hAnsi="宋体" w:cs="宋体"/>
                <w:color w:val="000000"/>
                <w:kern w:val="0"/>
                <w:sz w:val="13"/>
                <w:szCs w:val="13"/>
              </w:rPr>
              <w:t>失智）</w:t>
            </w:r>
          </w:p>
        </w:tc>
        <w:tc>
          <w:tcPr>
            <w:tcW w:w="23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监护人姓名</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监护人联系电话</w:t>
            </w:r>
          </w:p>
        </w:tc>
        <w:tc>
          <w:tcPr>
            <w:tcW w:w="22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乡镇</w:t>
            </w:r>
          </w:p>
        </w:tc>
        <w:tc>
          <w:tcPr>
            <w:tcW w:w="30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建床地址</w:t>
            </w:r>
          </w:p>
        </w:tc>
        <w:tc>
          <w:tcPr>
            <w:tcW w:w="22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房屋建筑面积（㎡）</w:t>
            </w:r>
          </w:p>
        </w:tc>
        <w:tc>
          <w:tcPr>
            <w:tcW w:w="1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产权人姓名</w:t>
            </w:r>
          </w:p>
        </w:tc>
        <w:tc>
          <w:tcPr>
            <w:tcW w:w="269"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适老化改造情况</w:t>
            </w:r>
          </w:p>
        </w:tc>
        <w:tc>
          <w:tcPr>
            <w:tcW w:w="34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信息化改造情况</w:t>
            </w:r>
          </w:p>
        </w:tc>
        <w:tc>
          <w:tcPr>
            <w:tcW w:w="1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年可支配收入（元）</w:t>
            </w:r>
          </w:p>
        </w:tc>
        <w:tc>
          <w:tcPr>
            <w:tcW w:w="174"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建床类别（初级</w:t>
            </w:r>
            <w:r>
              <w:rPr>
                <w:rFonts w:ascii="宋体" w:hAnsi="宋体" w:cs="宋体"/>
                <w:color w:val="000000"/>
                <w:kern w:val="0"/>
                <w:sz w:val="13"/>
                <w:szCs w:val="13"/>
              </w:rPr>
              <w:t>/</w:t>
            </w:r>
            <w:r>
              <w:rPr>
                <w:rFonts w:hint="eastAsia" w:ascii="宋体" w:hAnsi="宋体" w:cs="宋体"/>
                <w:color w:val="000000"/>
                <w:kern w:val="0"/>
                <w:sz w:val="13"/>
                <w:szCs w:val="13"/>
              </w:rPr>
              <w:t>中级</w:t>
            </w:r>
            <w:r>
              <w:rPr>
                <w:rFonts w:ascii="宋体" w:hAnsi="宋体" w:cs="宋体"/>
                <w:color w:val="000000"/>
                <w:kern w:val="0"/>
                <w:sz w:val="13"/>
                <w:szCs w:val="13"/>
              </w:rPr>
              <w:t>/</w:t>
            </w:r>
            <w:r>
              <w:rPr>
                <w:rFonts w:hint="eastAsia" w:ascii="宋体" w:hAnsi="宋体" w:cs="宋体"/>
                <w:color w:val="000000"/>
                <w:kern w:val="0"/>
                <w:sz w:val="13"/>
                <w:szCs w:val="13"/>
              </w:rPr>
              <w:t>高级）</w:t>
            </w:r>
          </w:p>
        </w:tc>
        <w:tc>
          <w:tcPr>
            <w:tcW w:w="251"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备注</w:t>
            </w:r>
          </w:p>
        </w:tc>
      </w:tr>
      <w:tr>
        <w:tblPrEx>
          <w:tblCellMar>
            <w:top w:w="0" w:type="dxa"/>
            <w:left w:w="108" w:type="dxa"/>
            <w:bottom w:w="0" w:type="dxa"/>
            <w:right w:w="108" w:type="dxa"/>
          </w:tblCellMar>
        </w:tblPrEx>
        <w:trPr>
          <w:gridAfter w:val="1"/>
          <w:wAfter w:w="156" w:type="pct"/>
          <w:trHeight w:val="90" w:hRule="atLeast"/>
        </w:trPr>
        <w:tc>
          <w:tcPr>
            <w:tcW w:w="163"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c>
          <w:tcPr>
            <w:tcW w:w="165"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2"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19"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6"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52"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64"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17"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300"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83"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是否已改造</w:t>
            </w:r>
          </w:p>
        </w:tc>
        <w:tc>
          <w:tcPr>
            <w:tcW w:w="14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改造内容</w:t>
            </w:r>
          </w:p>
        </w:tc>
        <w:tc>
          <w:tcPr>
            <w:tcW w:w="15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是否已改造</w:t>
            </w:r>
          </w:p>
        </w:tc>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改造内容</w:t>
            </w:r>
          </w:p>
        </w:tc>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74"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r>
      <w:tr>
        <w:tblPrEx>
          <w:tblCellMar>
            <w:top w:w="0" w:type="dxa"/>
            <w:left w:w="108" w:type="dxa"/>
            <w:bottom w:w="0" w:type="dxa"/>
            <w:right w:w="108" w:type="dxa"/>
          </w:tblCellMar>
        </w:tblPrEx>
        <w:trPr>
          <w:gridAfter w:val="1"/>
          <w:wAfter w:w="156" w:type="pct"/>
          <w:trHeight w:val="90" w:hRule="atLeast"/>
        </w:trPr>
        <w:tc>
          <w:tcPr>
            <w:tcW w:w="163"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1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6"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83"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4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5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9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74" w:type="pct"/>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1" w:type="pct"/>
            <w:gridSpan w:val="2"/>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r>
      <w:tr>
        <w:tblPrEx>
          <w:tblCellMar>
            <w:top w:w="0" w:type="dxa"/>
            <w:left w:w="108" w:type="dxa"/>
            <w:bottom w:w="0" w:type="dxa"/>
            <w:right w:w="108" w:type="dxa"/>
          </w:tblCellMar>
        </w:tblPrEx>
        <w:trPr>
          <w:gridAfter w:val="1"/>
          <w:wAfter w:w="156" w:type="pct"/>
          <w:trHeight w:val="90" w:hRule="atLeast"/>
        </w:trPr>
        <w:tc>
          <w:tcPr>
            <w:tcW w:w="163"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1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6"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83"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4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5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9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74" w:type="pct"/>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1" w:type="pct"/>
            <w:gridSpan w:val="2"/>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r>
      <w:tr>
        <w:tblPrEx>
          <w:tblCellMar>
            <w:top w:w="0" w:type="dxa"/>
            <w:left w:w="108" w:type="dxa"/>
            <w:bottom w:w="0" w:type="dxa"/>
            <w:right w:w="108" w:type="dxa"/>
          </w:tblCellMar>
        </w:tblPrEx>
        <w:trPr>
          <w:gridAfter w:val="1"/>
          <w:wAfter w:w="156" w:type="pct"/>
          <w:trHeight w:val="90" w:hRule="atLeast"/>
        </w:trPr>
        <w:tc>
          <w:tcPr>
            <w:tcW w:w="163"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1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6"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83"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4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5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9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74" w:type="pct"/>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1" w:type="pct"/>
            <w:gridSpan w:val="2"/>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r>
      <w:tr>
        <w:tblPrEx>
          <w:tblCellMar>
            <w:top w:w="0" w:type="dxa"/>
            <w:left w:w="108" w:type="dxa"/>
            <w:bottom w:w="0" w:type="dxa"/>
            <w:right w:w="108" w:type="dxa"/>
          </w:tblCellMar>
        </w:tblPrEx>
        <w:trPr>
          <w:gridAfter w:val="1"/>
          <w:wAfter w:w="156" w:type="pct"/>
          <w:trHeight w:val="90" w:hRule="atLeast"/>
        </w:trPr>
        <w:tc>
          <w:tcPr>
            <w:tcW w:w="163"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1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6"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83"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2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4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5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kern w:val="0"/>
                <w:sz w:val="13"/>
                <w:szCs w:val="13"/>
              </w:rPr>
            </w:pPr>
          </w:p>
        </w:tc>
        <w:tc>
          <w:tcPr>
            <w:tcW w:w="19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174" w:type="pct"/>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6"/>
                <w:szCs w:val="16"/>
              </w:rPr>
            </w:pPr>
          </w:p>
        </w:tc>
        <w:tc>
          <w:tcPr>
            <w:tcW w:w="251" w:type="pct"/>
            <w:gridSpan w:val="2"/>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6"/>
                <w:szCs w:val="16"/>
              </w:rPr>
            </w:pPr>
          </w:p>
        </w:tc>
      </w:tr>
    </w:tbl>
    <w:p>
      <w:pPr>
        <w:pStyle w:val="8"/>
        <w:widowControl/>
        <w:spacing w:line="560" w:lineRule="exact"/>
        <w:ind w:firstLine="640"/>
        <w:rPr>
          <w:rFonts w:ascii="仿宋_GB2312" w:eastAsia="仿宋_GB2312" w:cs="Times New Roman"/>
          <w:color w:val="000000"/>
          <w:sz w:val="31"/>
          <w:szCs w:val="31"/>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tbl>
      <w:tblPr>
        <w:tblStyle w:val="10"/>
        <w:tblW w:w="4995" w:type="pct"/>
        <w:tblInd w:w="-106" w:type="dxa"/>
        <w:tblLayout w:type="autofit"/>
        <w:tblCellMar>
          <w:top w:w="0" w:type="dxa"/>
          <w:left w:w="108" w:type="dxa"/>
          <w:bottom w:w="0" w:type="dxa"/>
          <w:right w:w="108" w:type="dxa"/>
        </w:tblCellMar>
      </w:tblPr>
      <w:tblGrid>
        <w:gridCol w:w="483"/>
        <w:gridCol w:w="446"/>
        <w:gridCol w:w="367"/>
        <w:gridCol w:w="364"/>
        <w:gridCol w:w="769"/>
        <w:gridCol w:w="1118"/>
        <w:gridCol w:w="1221"/>
        <w:gridCol w:w="799"/>
        <w:gridCol w:w="493"/>
        <w:gridCol w:w="748"/>
        <w:gridCol w:w="748"/>
        <w:gridCol w:w="1153"/>
        <w:gridCol w:w="374"/>
        <w:gridCol w:w="374"/>
        <w:gridCol w:w="374"/>
        <w:gridCol w:w="374"/>
        <w:gridCol w:w="374"/>
        <w:gridCol w:w="374"/>
        <w:gridCol w:w="374"/>
        <w:gridCol w:w="374"/>
        <w:gridCol w:w="374"/>
        <w:gridCol w:w="388"/>
        <w:gridCol w:w="606"/>
        <w:gridCol w:w="564"/>
        <w:gridCol w:w="527"/>
      </w:tblGrid>
      <w:tr>
        <w:tblPrEx>
          <w:tblCellMar>
            <w:top w:w="0" w:type="dxa"/>
            <w:left w:w="108" w:type="dxa"/>
            <w:bottom w:w="0" w:type="dxa"/>
            <w:right w:w="108" w:type="dxa"/>
          </w:tblCellMar>
        </w:tblPrEx>
        <w:trPr>
          <w:trHeight w:val="305" w:hRule="atLeast"/>
        </w:trPr>
        <w:tc>
          <w:tcPr>
            <w:tcW w:w="588" w:type="pct"/>
            <w:gridSpan w:val="4"/>
            <w:tcBorders>
              <w:top w:val="nil"/>
              <w:left w:val="nil"/>
              <w:bottom w:val="nil"/>
              <w:right w:val="nil"/>
            </w:tcBorders>
            <w:noWrap/>
            <w:vAlign w:val="center"/>
          </w:tcPr>
          <w:p>
            <w:pPr>
              <w:widowControl/>
              <w:spacing w:line="560" w:lineRule="exact"/>
              <w:jc w:val="center"/>
              <w:textAlignment w:val="center"/>
              <w:rPr>
                <w:rFonts w:ascii="黑体" w:hAnsi="宋体" w:eastAsia="黑体" w:cs="Times New Roman"/>
                <w:color w:val="000000"/>
                <w:sz w:val="22"/>
                <w:szCs w:val="2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3</w:t>
            </w:r>
          </w:p>
        </w:tc>
        <w:tc>
          <w:tcPr>
            <w:tcW w:w="271"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395"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431"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8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74"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64"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64"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407"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2"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37"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213"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99" w:type="pct"/>
            <w:tcBorders>
              <w:top w:val="nil"/>
              <w:left w:val="nil"/>
              <w:bottom w:val="nil"/>
              <w:right w:val="nil"/>
            </w:tcBorders>
            <w:noWrap/>
            <w:vAlign w:val="center"/>
          </w:tcPr>
          <w:p>
            <w:pPr>
              <w:spacing w:line="560" w:lineRule="exact"/>
              <w:rPr>
                <w:rFonts w:ascii="宋体" w:cs="Times New Roman"/>
                <w:color w:val="000000"/>
                <w:sz w:val="22"/>
                <w:szCs w:val="22"/>
              </w:rPr>
            </w:pPr>
          </w:p>
        </w:tc>
        <w:tc>
          <w:tcPr>
            <w:tcW w:w="181" w:type="pct"/>
            <w:tcBorders>
              <w:top w:val="nil"/>
              <w:left w:val="nil"/>
              <w:bottom w:val="nil"/>
              <w:right w:val="nil"/>
            </w:tcBorders>
            <w:noWrap/>
            <w:vAlign w:val="center"/>
          </w:tcPr>
          <w:p>
            <w:pPr>
              <w:spacing w:line="560" w:lineRule="exact"/>
              <w:rPr>
                <w:rFonts w:ascii="宋体" w:cs="Times New Roman"/>
                <w:color w:val="000000"/>
                <w:sz w:val="22"/>
                <w:szCs w:val="22"/>
              </w:rPr>
            </w:pPr>
          </w:p>
        </w:tc>
      </w:tr>
      <w:tr>
        <w:tblPrEx>
          <w:tblCellMar>
            <w:top w:w="0" w:type="dxa"/>
            <w:left w:w="108" w:type="dxa"/>
            <w:bottom w:w="0" w:type="dxa"/>
            <w:right w:w="108" w:type="dxa"/>
          </w:tblCellMar>
        </w:tblPrEx>
        <w:trPr>
          <w:trHeight w:val="627" w:hRule="atLeast"/>
        </w:trPr>
        <w:tc>
          <w:tcPr>
            <w:tcW w:w="5000" w:type="pct"/>
            <w:gridSpan w:val="25"/>
            <w:tcBorders>
              <w:top w:val="nil"/>
              <w:left w:val="nil"/>
              <w:bottom w:val="nil"/>
              <w:right w:val="nil"/>
            </w:tcBorders>
            <w:noWrap/>
            <w:vAlign w:val="center"/>
          </w:tcPr>
          <w:p>
            <w:pPr>
              <w:widowControl/>
              <w:spacing w:line="560" w:lineRule="exact"/>
              <w:jc w:val="center"/>
              <w:textAlignment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kern w:val="0"/>
                <w:sz w:val="36"/>
                <w:szCs w:val="36"/>
              </w:rPr>
              <w:t>高台县</w:t>
            </w:r>
            <w:r>
              <w:rPr>
                <w:rFonts w:ascii="方正小标宋简体" w:hAnsi="方正小标宋简体" w:eastAsia="方正小标宋简体" w:cs="方正小标宋简体"/>
                <w:color w:val="000000"/>
                <w:kern w:val="0"/>
                <w:sz w:val="36"/>
                <w:szCs w:val="36"/>
              </w:rPr>
              <w:t>2022</w:t>
            </w:r>
            <w:r>
              <w:rPr>
                <w:rFonts w:hint="eastAsia" w:ascii="方正小标宋简体" w:hAnsi="方正小标宋简体" w:eastAsia="方正小标宋简体" w:cs="方正小标宋简体"/>
                <w:color w:val="000000"/>
                <w:kern w:val="0"/>
                <w:sz w:val="36"/>
                <w:szCs w:val="36"/>
              </w:rPr>
              <w:t>年居家和社区基本养老服务提升行动项目居家上门服务摸底汇总表</w:t>
            </w:r>
          </w:p>
        </w:tc>
      </w:tr>
      <w:tr>
        <w:tblPrEx>
          <w:tblCellMar>
            <w:top w:w="0" w:type="dxa"/>
            <w:left w:w="108" w:type="dxa"/>
            <w:bottom w:w="0" w:type="dxa"/>
            <w:right w:w="108" w:type="dxa"/>
          </w:tblCellMar>
        </w:tblPrEx>
        <w:trPr>
          <w:trHeight w:val="384" w:hRule="atLeast"/>
        </w:trPr>
        <w:tc>
          <w:tcPr>
            <w:tcW w:w="860" w:type="pct"/>
            <w:gridSpan w:val="5"/>
            <w:tcBorders>
              <w:top w:val="nil"/>
              <w:left w:val="nil"/>
              <w:bottom w:val="nil"/>
              <w:right w:val="nil"/>
            </w:tcBorders>
            <w:noWrap/>
            <w:vAlign w:val="center"/>
          </w:tcPr>
          <w:p>
            <w:pPr>
              <w:widowControl/>
              <w:spacing w:line="560" w:lineRule="exact"/>
              <w:jc w:val="center"/>
              <w:textAlignment w:val="center"/>
              <w:rPr>
                <w:rFonts w:ascii="宋体" w:cs="Times New Roman"/>
                <w:color w:val="000000"/>
                <w:sz w:val="15"/>
                <w:szCs w:val="15"/>
              </w:rPr>
            </w:pPr>
            <w:r>
              <w:rPr>
                <w:rFonts w:hint="eastAsia" w:ascii="宋体" w:hAnsi="宋体" w:cs="宋体"/>
                <w:color w:val="000000"/>
                <w:kern w:val="0"/>
                <w:sz w:val="15"/>
                <w:szCs w:val="15"/>
              </w:rPr>
              <w:t>填报乡镇：（盖章）</w:t>
            </w:r>
          </w:p>
        </w:tc>
        <w:tc>
          <w:tcPr>
            <w:tcW w:w="395" w:type="pct"/>
            <w:tcBorders>
              <w:top w:val="nil"/>
              <w:left w:val="nil"/>
              <w:bottom w:val="nil"/>
              <w:right w:val="nil"/>
            </w:tcBorders>
            <w:noWrap/>
            <w:vAlign w:val="center"/>
          </w:tcPr>
          <w:p>
            <w:pPr>
              <w:spacing w:line="560" w:lineRule="exact"/>
              <w:jc w:val="center"/>
              <w:rPr>
                <w:rFonts w:ascii="宋体" w:cs="Times New Roman"/>
                <w:color w:val="000000"/>
                <w:sz w:val="15"/>
                <w:szCs w:val="15"/>
              </w:rPr>
            </w:pPr>
          </w:p>
        </w:tc>
        <w:tc>
          <w:tcPr>
            <w:tcW w:w="431" w:type="pct"/>
            <w:tcBorders>
              <w:top w:val="nil"/>
              <w:left w:val="nil"/>
              <w:bottom w:val="nil"/>
              <w:right w:val="nil"/>
            </w:tcBorders>
            <w:noWrap/>
            <w:vAlign w:val="center"/>
          </w:tcPr>
          <w:p>
            <w:pPr>
              <w:spacing w:line="560" w:lineRule="exact"/>
              <w:jc w:val="center"/>
              <w:rPr>
                <w:rFonts w:ascii="宋体" w:cs="Times New Roman"/>
                <w:color w:val="000000"/>
                <w:sz w:val="15"/>
                <w:szCs w:val="15"/>
              </w:rPr>
            </w:pPr>
          </w:p>
        </w:tc>
        <w:tc>
          <w:tcPr>
            <w:tcW w:w="282" w:type="pct"/>
            <w:tcBorders>
              <w:top w:val="nil"/>
              <w:left w:val="nil"/>
              <w:bottom w:val="nil"/>
              <w:right w:val="nil"/>
            </w:tcBorders>
            <w:noWrap/>
            <w:vAlign w:val="center"/>
          </w:tcPr>
          <w:p>
            <w:pPr>
              <w:spacing w:line="560" w:lineRule="exact"/>
              <w:jc w:val="center"/>
              <w:rPr>
                <w:rFonts w:ascii="宋体" w:cs="Times New Roman"/>
                <w:color w:val="000000"/>
                <w:sz w:val="15"/>
                <w:szCs w:val="15"/>
              </w:rPr>
            </w:pPr>
          </w:p>
        </w:tc>
        <w:tc>
          <w:tcPr>
            <w:tcW w:w="174" w:type="pct"/>
            <w:tcBorders>
              <w:top w:val="nil"/>
              <w:left w:val="nil"/>
              <w:bottom w:val="nil"/>
              <w:right w:val="nil"/>
            </w:tcBorders>
            <w:noWrap/>
            <w:vAlign w:val="center"/>
          </w:tcPr>
          <w:p>
            <w:pPr>
              <w:spacing w:line="560" w:lineRule="exact"/>
              <w:jc w:val="center"/>
              <w:rPr>
                <w:rFonts w:ascii="宋体" w:cs="Times New Roman"/>
                <w:color w:val="000000"/>
                <w:sz w:val="15"/>
                <w:szCs w:val="15"/>
              </w:rPr>
            </w:pPr>
          </w:p>
        </w:tc>
        <w:tc>
          <w:tcPr>
            <w:tcW w:w="264" w:type="pct"/>
            <w:tcBorders>
              <w:top w:val="nil"/>
              <w:left w:val="nil"/>
              <w:bottom w:val="nil"/>
              <w:right w:val="nil"/>
            </w:tcBorders>
            <w:noWrap/>
            <w:vAlign w:val="center"/>
          </w:tcPr>
          <w:p>
            <w:pPr>
              <w:spacing w:line="560" w:lineRule="exact"/>
              <w:jc w:val="center"/>
              <w:rPr>
                <w:rFonts w:ascii="宋体" w:cs="Times New Roman"/>
                <w:color w:val="000000"/>
                <w:sz w:val="15"/>
                <w:szCs w:val="15"/>
              </w:rPr>
            </w:pPr>
          </w:p>
        </w:tc>
        <w:tc>
          <w:tcPr>
            <w:tcW w:w="264" w:type="pct"/>
            <w:tcBorders>
              <w:top w:val="nil"/>
              <w:left w:val="nil"/>
              <w:bottom w:val="nil"/>
              <w:right w:val="nil"/>
            </w:tcBorders>
            <w:noWrap/>
            <w:vAlign w:val="center"/>
          </w:tcPr>
          <w:p>
            <w:pPr>
              <w:spacing w:line="560" w:lineRule="exact"/>
              <w:jc w:val="center"/>
              <w:rPr>
                <w:rFonts w:ascii="宋体" w:cs="Times New Roman"/>
                <w:color w:val="000000"/>
                <w:sz w:val="15"/>
                <w:szCs w:val="15"/>
              </w:rPr>
            </w:pPr>
          </w:p>
        </w:tc>
        <w:tc>
          <w:tcPr>
            <w:tcW w:w="2327" w:type="pct"/>
            <w:gridSpan w:val="14"/>
            <w:tcBorders>
              <w:top w:val="nil"/>
              <w:left w:val="nil"/>
              <w:bottom w:val="nil"/>
              <w:right w:val="nil"/>
            </w:tcBorders>
            <w:noWrap/>
            <w:vAlign w:val="center"/>
          </w:tcPr>
          <w:p>
            <w:pPr>
              <w:widowControl/>
              <w:spacing w:line="560" w:lineRule="exact"/>
              <w:jc w:val="center"/>
              <w:textAlignment w:val="center"/>
              <w:rPr>
                <w:rFonts w:ascii="宋体" w:cs="Times New Roman"/>
                <w:color w:val="000000"/>
                <w:sz w:val="15"/>
                <w:szCs w:val="15"/>
              </w:rPr>
            </w:pPr>
            <w:r>
              <w:rPr>
                <w:rFonts w:hint="eastAsia" w:ascii="宋体" w:hAnsi="宋体" w:cs="宋体"/>
                <w:color w:val="000000"/>
                <w:kern w:val="0"/>
                <w:sz w:val="15"/>
                <w:szCs w:val="15"/>
              </w:rPr>
              <w:t>填报日期：</w:t>
            </w:r>
            <w:r>
              <w:rPr>
                <w:rFonts w:ascii="宋体" w:hAnsi="宋体" w:cs="宋体"/>
                <w:color w:val="000000"/>
                <w:kern w:val="0"/>
                <w:sz w:val="15"/>
                <w:szCs w:val="15"/>
              </w:rPr>
              <w:t xml:space="preserve">    </w:t>
            </w:r>
            <w:r>
              <w:rPr>
                <w:rFonts w:hint="eastAsia" w:ascii="宋体" w:hAnsi="宋体" w:cs="宋体"/>
                <w:color w:val="000000"/>
                <w:kern w:val="0"/>
                <w:sz w:val="15"/>
                <w:szCs w:val="15"/>
              </w:rPr>
              <w:t>年</w:t>
            </w:r>
            <w:r>
              <w:rPr>
                <w:rFonts w:ascii="宋体" w:hAnsi="宋体" w:cs="宋体"/>
                <w:color w:val="000000"/>
                <w:kern w:val="0"/>
                <w:sz w:val="15"/>
                <w:szCs w:val="15"/>
              </w:rPr>
              <w:t xml:space="preserve">  </w:t>
            </w:r>
            <w:r>
              <w:rPr>
                <w:rFonts w:hint="eastAsia" w:ascii="宋体" w:hAnsi="宋体" w:cs="宋体"/>
                <w:color w:val="000000"/>
                <w:kern w:val="0"/>
                <w:sz w:val="15"/>
                <w:szCs w:val="15"/>
              </w:rPr>
              <w:t>月</w:t>
            </w:r>
            <w:r>
              <w:rPr>
                <w:rFonts w:ascii="宋体" w:hAnsi="宋体" w:cs="宋体"/>
                <w:color w:val="000000"/>
                <w:kern w:val="0"/>
                <w:sz w:val="15"/>
                <w:szCs w:val="15"/>
              </w:rPr>
              <w:t xml:space="preserve">  </w:t>
            </w:r>
            <w:r>
              <w:rPr>
                <w:rFonts w:hint="eastAsia" w:ascii="宋体" w:hAnsi="宋体" w:cs="宋体"/>
                <w:color w:val="000000"/>
                <w:kern w:val="0"/>
                <w:sz w:val="15"/>
                <w:szCs w:val="15"/>
              </w:rPr>
              <w:t>日</w:t>
            </w:r>
          </w:p>
        </w:tc>
      </w:tr>
      <w:tr>
        <w:tblPrEx>
          <w:tblCellMar>
            <w:top w:w="0" w:type="dxa"/>
            <w:left w:w="108" w:type="dxa"/>
            <w:bottom w:w="0" w:type="dxa"/>
            <w:right w:w="108" w:type="dxa"/>
          </w:tblCellMar>
        </w:tblPrEx>
        <w:trPr>
          <w:trHeight w:val="732" w:hRule="atLeast"/>
        </w:trPr>
        <w:tc>
          <w:tcPr>
            <w:tcW w:w="17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序号</w:t>
            </w:r>
          </w:p>
        </w:tc>
        <w:tc>
          <w:tcPr>
            <w:tcW w:w="15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老人姓名</w:t>
            </w:r>
          </w:p>
        </w:tc>
        <w:tc>
          <w:tcPr>
            <w:tcW w:w="1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性别</w:t>
            </w:r>
          </w:p>
        </w:tc>
        <w:tc>
          <w:tcPr>
            <w:tcW w:w="12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年龄</w:t>
            </w:r>
          </w:p>
        </w:tc>
        <w:tc>
          <w:tcPr>
            <w:tcW w:w="27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联系电话</w:t>
            </w:r>
          </w:p>
        </w:tc>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身份证号</w:t>
            </w:r>
          </w:p>
        </w:tc>
        <w:tc>
          <w:tcPr>
            <w:tcW w:w="4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老人身份类别（分散特困</w:t>
            </w:r>
            <w:r>
              <w:rPr>
                <w:rFonts w:ascii="宋体" w:hAnsi="宋体" w:cs="宋体"/>
                <w:color w:val="000000"/>
                <w:kern w:val="0"/>
                <w:sz w:val="13"/>
                <w:szCs w:val="13"/>
              </w:rPr>
              <w:t>/</w:t>
            </w:r>
            <w:r>
              <w:rPr>
                <w:rFonts w:hint="eastAsia" w:ascii="宋体" w:hAnsi="宋体" w:cs="宋体"/>
                <w:color w:val="000000"/>
                <w:kern w:val="0"/>
                <w:sz w:val="13"/>
                <w:szCs w:val="13"/>
              </w:rPr>
              <w:t>经济困难</w:t>
            </w:r>
            <w:r>
              <w:rPr>
                <w:rFonts w:ascii="宋体" w:hAnsi="宋体" w:cs="宋体"/>
                <w:color w:val="000000"/>
                <w:kern w:val="0"/>
                <w:sz w:val="13"/>
                <w:szCs w:val="13"/>
              </w:rPr>
              <w:t>/</w:t>
            </w:r>
            <w:r>
              <w:rPr>
                <w:rFonts w:hint="eastAsia" w:ascii="宋体" w:hAnsi="宋体" w:cs="宋体"/>
                <w:color w:val="000000"/>
                <w:kern w:val="0"/>
                <w:sz w:val="13"/>
                <w:szCs w:val="13"/>
              </w:rPr>
              <w:t>高龄</w:t>
            </w:r>
            <w:r>
              <w:rPr>
                <w:rFonts w:ascii="宋体" w:hAnsi="宋体" w:cs="宋体"/>
                <w:color w:val="000000"/>
                <w:kern w:val="0"/>
                <w:sz w:val="13"/>
                <w:szCs w:val="13"/>
              </w:rPr>
              <w:t>/</w:t>
            </w:r>
            <w:r>
              <w:rPr>
                <w:rFonts w:hint="eastAsia" w:ascii="宋体" w:hAnsi="宋体" w:cs="宋体"/>
                <w:color w:val="000000"/>
                <w:kern w:val="0"/>
                <w:sz w:val="13"/>
                <w:szCs w:val="13"/>
              </w:rPr>
              <w:t>低保家庭</w:t>
            </w:r>
            <w:r>
              <w:rPr>
                <w:rFonts w:ascii="宋体" w:hAnsi="宋体" w:cs="宋体"/>
                <w:color w:val="000000"/>
                <w:kern w:val="0"/>
                <w:sz w:val="13"/>
                <w:szCs w:val="13"/>
              </w:rPr>
              <w:t>/</w:t>
            </w:r>
            <w:r>
              <w:rPr>
                <w:rFonts w:hint="eastAsia" w:ascii="宋体" w:hAnsi="宋体" w:cs="宋体"/>
                <w:color w:val="000000"/>
                <w:kern w:val="0"/>
                <w:sz w:val="13"/>
                <w:szCs w:val="13"/>
              </w:rPr>
              <w:t>计划生育特殊困难家庭</w:t>
            </w:r>
            <w:r>
              <w:rPr>
                <w:rFonts w:ascii="宋体" w:hAnsi="宋体" w:cs="宋体"/>
                <w:color w:val="000000"/>
                <w:kern w:val="0"/>
                <w:sz w:val="13"/>
                <w:szCs w:val="13"/>
              </w:rPr>
              <w:t>/</w:t>
            </w:r>
            <w:r>
              <w:rPr>
                <w:rFonts w:hint="eastAsia" w:ascii="宋体" w:hAnsi="宋体" w:cs="宋体"/>
                <w:color w:val="000000"/>
                <w:kern w:val="0"/>
                <w:sz w:val="13"/>
                <w:szCs w:val="13"/>
              </w:rPr>
              <w:t>残疾人</w:t>
            </w:r>
            <w:r>
              <w:rPr>
                <w:rFonts w:ascii="宋体" w:hAnsi="宋体" w:cs="宋体"/>
                <w:color w:val="000000"/>
                <w:kern w:val="0"/>
                <w:sz w:val="13"/>
                <w:szCs w:val="13"/>
              </w:rPr>
              <w:t>/</w:t>
            </w:r>
            <w:r>
              <w:rPr>
                <w:rFonts w:hint="eastAsia" w:ascii="宋体" w:hAnsi="宋体" w:cs="宋体"/>
                <w:color w:val="000000"/>
                <w:kern w:val="0"/>
                <w:sz w:val="13"/>
                <w:szCs w:val="13"/>
              </w:rPr>
              <w:t>独居</w:t>
            </w:r>
            <w:r>
              <w:rPr>
                <w:rFonts w:ascii="宋体" w:hAnsi="宋体" w:cs="宋体"/>
                <w:color w:val="000000"/>
                <w:kern w:val="0"/>
                <w:sz w:val="13"/>
                <w:szCs w:val="13"/>
              </w:rPr>
              <w:t>/</w:t>
            </w:r>
            <w:r>
              <w:rPr>
                <w:rFonts w:hint="eastAsia" w:ascii="宋体" w:hAnsi="宋体" w:cs="宋体"/>
                <w:color w:val="000000"/>
                <w:kern w:val="0"/>
                <w:sz w:val="13"/>
                <w:szCs w:val="13"/>
              </w:rPr>
              <w:t>空巢</w:t>
            </w:r>
            <w:r>
              <w:rPr>
                <w:rFonts w:ascii="宋体" w:hAnsi="宋体" w:cs="宋体"/>
                <w:color w:val="000000"/>
                <w:kern w:val="0"/>
                <w:sz w:val="13"/>
                <w:szCs w:val="13"/>
              </w:rPr>
              <w:t>/</w:t>
            </w:r>
            <w:r>
              <w:rPr>
                <w:rFonts w:hint="eastAsia" w:ascii="宋体" w:hAnsi="宋体" w:cs="宋体"/>
                <w:color w:val="000000"/>
                <w:kern w:val="0"/>
                <w:sz w:val="13"/>
                <w:szCs w:val="13"/>
              </w:rPr>
              <w:t>留守</w:t>
            </w:r>
            <w:r>
              <w:rPr>
                <w:rFonts w:ascii="宋体" w:hAnsi="宋体" w:cs="宋体"/>
                <w:color w:val="000000"/>
                <w:kern w:val="0"/>
                <w:sz w:val="13"/>
                <w:szCs w:val="13"/>
              </w:rPr>
              <w:t>/</w:t>
            </w:r>
            <w:r>
              <w:rPr>
                <w:rFonts w:hint="eastAsia" w:ascii="宋体" w:hAnsi="宋体" w:cs="宋体"/>
                <w:color w:val="000000"/>
                <w:kern w:val="0"/>
                <w:sz w:val="13"/>
                <w:szCs w:val="13"/>
              </w:rPr>
              <w:t>有特殊贡献）</w:t>
            </w:r>
          </w:p>
        </w:tc>
        <w:tc>
          <w:tcPr>
            <w:tcW w:w="28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能力评估结果（轻度失能</w:t>
            </w:r>
            <w:r>
              <w:rPr>
                <w:rFonts w:ascii="宋体" w:hAnsi="宋体" w:cs="宋体"/>
                <w:color w:val="000000"/>
                <w:kern w:val="0"/>
                <w:sz w:val="13"/>
                <w:szCs w:val="13"/>
              </w:rPr>
              <w:t>/</w:t>
            </w:r>
            <w:r>
              <w:rPr>
                <w:rFonts w:hint="eastAsia" w:ascii="宋体" w:hAnsi="宋体" w:cs="宋体"/>
                <w:color w:val="000000"/>
                <w:kern w:val="0"/>
                <w:sz w:val="13"/>
                <w:szCs w:val="13"/>
              </w:rPr>
              <w:t>中度失能</w:t>
            </w:r>
            <w:r>
              <w:rPr>
                <w:rFonts w:ascii="宋体" w:hAnsi="宋体" w:cs="宋体"/>
                <w:color w:val="000000"/>
                <w:kern w:val="0"/>
                <w:sz w:val="13"/>
                <w:szCs w:val="13"/>
              </w:rPr>
              <w:t>/</w:t>
            </w:r>
            <w:r>
              <w:rPr>
                <w:rFonts w:hint="eastAsia" w:ascii="宋体" w:hAnsi="宋体" w:cs="宋体"/>
                <w:color w:val="000000"/>
                <w:kern w:val="0"/>
                <w:sz w:val="13"/>
                <w:szCs w:val="13"/>
              </w:rPr>
              <w:t>中重度失能</w:t>
            </w:r>
            <w:r>
              <w:rPr>
                <w:rFonts w:ascii="宋体" w:hAnsi="宋体" w:cs="宋体"/>
                <w:color w:val="000000"/>
                <w:kern w:val="0"/>
                <w:sz w:val="13"/>
                <w:szCs w:val="13"/>
              </w:rPr>
              <w:t>/</w:t>
            </w:r>
            <w:r>
              <w:rPr>
                <w:rFonts w:hint="eastAsia" w:ascii="宋体" w:hAnsi="宋体" w:cs="宋体"/>
                <w:color w:val="000000"/>
                <w:kern w:val="0"/>
                <w:sz w:val="13"/>
                <w:szCs w:val="13"/>
              </w:rPr>
              <w:t>重度失能</w:t>
            </w:r>
            <w:r>
              <w:rPr>
                <w:rFonts w:ascii="宋体" w:hAnsi="宋体" w:cs="宋体"/>
                <w:color w:val="000000"/>
                <w:kern w:val="0"/>
                <w:sz w:val="13"/>
                <w:szCs w:val="13"/>
              </w:rPr>
              <w:t>/</w:t>
            </w:r>
            <w:r>
              <w:rPr>
                <w:rFonts w:hint="eastAsia" w:ascii="宋体" w:hAnsi="宋体" w:cs="宋体"/>
                <w:color w:val="000000"/>
                <w:kern w:val="0"/>
                <w:sz w:val="13"/>
                <w:szCs w:val="13"/>
              </w:rPr>
              <w:t>失智）</w:t>
            </w:r>
          </w:p>
        </w:tc>
        <w:tc>
          <w:tcPr>
            <w:tcW w:w="17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监护人姓名</w:t>
            </w:r>
          </w:p>
        </w:tc>
        <w:tc>
          <w:tcPr>
            <w:tcW w:w="26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监护人</w:t>
            </w:r>
            <w:r>
              <w:rPr>
                <w:rFonts w:ascii="宋体" w:hAnsi="宋体" w:cs="宋体"/>
                <w:color w:val="000000"/>
                <w:kern w:val="0"/>
                <w:sz w:val="13"/>
                <w:szCs w:val="13"/>
              </w:rPr>
              <w:t xml:space="preserve">    </w:t>
            </w:r>
            <w:r>
              <w:rPr>
                <w:rFonts w:hint="eastAsia" w:ascii="宋体" w:hAnsi="宋体" w:cs="宋体"/>
                <w:color w:val="000000"/>
                <w:kern w:val="0"/>
                <w:sz w:val="13"/>
                <w:szCs w:val="13"/>
              </w:rPr>
              <w:t>联系电话</w:t>
            </w:r>
          </w:p>
        </w:tc>
        <w:tc>
          <w:tcPr>
            <w:tcW w:w="26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镇</w:t>
            </w:r>
          </w:p>
        </w:tc>
        <w:tc>
          <w:tcPr>
            <w:tcW w:w="4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家庭地址</w:t>
            </w:r>
          </w:p>
        </w:tc>
        <w:tc>
          <w:tcPr>
            <w:tcW w:w="1325" w:type="pct"/>
            <w:gridSpan w:val="10"/>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服务需求</w:t>
            </w:r>
          </w:p>
        </w:tc>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年可支配收入（元）</w:t>
            </w:r>
          </w:p>
        </w:tc>
        <w:tc>
          <w:tcPr>
            <w:tcW w:w="19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是否已享受政府购买上门居家服务</w:t>
            </w:r>
          </w:p>
        </w:tc>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备注</w:t>
            </w:r>
          </w:p>
        </w:tc>
      </w:tr>
      <w:tr>
        <w:tblPrEx>
          <w:tblCellMar>
            <w:top w:w="0" w:type="dxa"/>
            <w:left w:w="108" w:type="dxa"/>
            <w:bottom w:w="0" w:type="dxa"/>
            <w:right w:w="108" w:type="dxa"/>
          </w:tblCellMar>
        </w:tblPrEx>
        <w:trPr>
          <w:trHeight w:val="2017" w:hRule="atLeast"/>
        </w:trPr>
        <w:tc>
          <w:tcPr>
            <w:tcW w:w="171"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3"/>
                <w:szCs w:val="13"/>
              </w:rPr>
            </w:pPr>
          </w:p>
        </w:tc>
        <w:tc>
          <w:tcPr>
            <w:tcW w:w="15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130"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127"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27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3"/>
                <w:szCs w:val="13"/>
              </w:rPr>
            </w:pPr>
          </w:p>
        </w:tc>
        <w:tc>
          <w:tcPr>
            <w:tcW w:w="43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282"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174"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264"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264"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407"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生活照料</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助浴</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助餐</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助洁</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助行</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助医</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代办服务</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精神慰藉</w:t>
            </w:r>
          </w:p>
        </w:tc>
        <w:tc>
          <w:tcPr>
            <w:tcW w:w="132"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康复辅助</w:t>
            </w:r>
          </w:p>
        </w:tc>
        <w:tc>
          <w:tcPr>
            <w:tcW w:w="13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s="Times New Roman"/>
                <w:color w:val="000000"/>
                <w:sz w:val="13"/>
                <w:szCs w:val="13"/>
              </w:rPr>
            </w:pPr>
            <w:r>
              <w:rPr>
                <w:rFonts w:hint="eastAsia" w:ascii="宋体" w:hAnsi="宋体" w:cs="宋体"/>
                <w:color w:val="000000"/>
                <w:kern w:val="0"/>
                <w:sz w:val="13"/>
                <w:szCs w:val="13"/>
              </w:rPr>
              <w:t>助急服务</w:t>
            </w:r>
          </w:p>
        </w:tc>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199"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3"/>
                <w:szCs w:val="13"/>
              </w:rPr>
            </w:pPr>
          </w:p>
        </w:tc>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3"/>
                <w:szCs w:val="13"/>
              </w:rPr>
            </w:pPr>
          </w:p>
        </w:tc>
      </w:tr>
      <w:tr>
        <w:tblPrEx>
          <w:tblCellMar>
            <w:top w:w="0" w:type="dxa"/>
            <w:left w:w="108" w:type="dxa"/>
            <w:bottom w:w="0" w:type="dxa"/>
            <w:right w:w="108" w:type="dxa"/>
          </w:tblCellMar>
        </w:tblPrEx>
        <w:trPr>
          <w:trHeight w:val="478" w:hRule="atLeast"/>
        </w:trPr>
        <w:tc>
          <w:tcPr>
            <w:tcW w:w="17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158"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130"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271"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28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7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13"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9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8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r>
      <w:tr>
        <w:tblPrEx>
          <w:tblCellMar>
            <w:top w:w="0" w:type="dxa"/>
            <w:left w:w="108" w:type="dxa"/>
            <w:bottom w:w="0" w:type="dxa"/>
            <w:right w:w="108" w:type="dxa"/>
          </w:tblCellMar>
        </w:tblPrEx>
        <w:trPr>
          <w:trHeight w:val="478" w:hRule="atLeast"/>
        </w:trPr>
        <w:tc>
          <w:tcPr>
            <w:tcW w:w="17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158"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130"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271"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28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7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13"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9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8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r>
      <w:tr>
        <w:tblPrEx>
          <w:tblCellMar>
            <w:top w:w="0" w:type="dxa"/>
            <w:left w:w="108" w:type="dxa"/>
            <w:bottom w:w="0" w:type="dxa"/>
            <w:right w:w="108" w:type="dxa"/>
          </w:tblCellMar>
        </w:tblPrEx>
        <w:trPr>
          <w:trHeight w:val="478" w:hRule="atLeast"/>
        </w:trPr>
        <w:tc>
          <w:tcPr>
            <w:tcW w:w="17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158"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130"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271"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c>
          <w:tcPr>
            <w:tcW w:w="28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7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6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2"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37"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213"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9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cs="Times New Roman"/>
                <w:color w:val="000000"/>
                <w:sz w:val="10"/>
                <w:szCs w:val="10"/>
              </w:rPr>
            </w:pPr>
          </w:p>
        </w:tc>
        <w:tc>
          <w:tcPr>
            <w:tcW w:w="181"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宋体" w:cs="Times New Roman"/>
                <w:color w:val="000000"/>
                <w:sz w:val="10"/>
                <w:szCs w:val="10"/>
              </w:rPr>
            </w:pPr>
          </w:p>
        </w:tc>
      </w:tr>
    </w:tbl>
    <w:p>
      <w:pPr>
        <w:pStyle w:val="2"/>
        <w:spacing w:before="0" w:beforeAutospacing="0" w:line="560" w:lineRule="exact"/>
        <w:ind w:firstLine="31680"/>
        <w:rPr>
          <w:rFonts w:cs="Times New Roman"/>
        </w:rPr>
        <w:sectPr>
          <w:footerReference r:id="rId5" w:type="default"/>
          <w:pgSz w:w="16838" w:h="11906" w:orient="landscape"/>
          <w:pgMar w:top="1800" w:right="1440" w:bottom="1800" w:left="1440" w:header="1417" w:footer="1417" w:gutter="0"/>
          <w:pgNumType w:fmt="numberInDash"/>
          <w:cols w:space="425" w:num="1"/>
          <w:docGrid w:type="lines" w:linePitch="312" w:charSpace="0"/>
        </w:sectPr>
      </w:pP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520" w:lineRule="exact"/>
        <w:jc w:val="center"/>
        <w:rPr>
          <w:rFonts w:ascii="方正小标宋简体" w:hAnsi="方正小标宋简体" w:eastAsia="方正小标宋简体" w:cs="Times New Roman"/>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家庭养老床位建设和老年用品配置基本清单</w:t>
      </w:r>
      <w:r>
        <w:rPr>
          <w:rFonts w:ascii="方正小标宋简体" w:hAnsi="方正小标宋简体" w:eastAsia="方正小标宋简体" w:cs="方正小标宋简体"/>
          <w:sz w:val="44"/>
          <w:szCs w:val="44"/>
        </w:rPr>
        <w:t>1</w:t>
      </w:r>
    </w:p>
    <w:p>
      <w:pPr>
        <w:spacing w:line="520" w:lineRule="exact"/>
        <w:jc w:val="center"/>
        <w:rPr>
          <w:rFonts w:ascii="楷体_GB2312" w:hAnsi="楷体_GB2312" w:eastAsia="楷体_GB2312" w:cs="Times New Roman"/>
          <w:sz w:val="32"/>
          <w:szCs w:val="32"/>
        </w:rPr>
      </w:pPr>
      <w:r>
        <w:rPr>
          <w:rFonts w:hint="eastAsia" w:ascii="楷体_GB2312" w:hAnsi="楷体_GB2312" w:eastAsia="楷体_GB2312" w:cs="楷体_GB2312"/>
          <w:sz w:val="32"/>
          <w:szCs w:val="32"/>
        </w:rPr>
        <w:t>（试行）</w:t>
      </w:r>
    </w:p>
    <w:tbl>
      <w:tblPr>
        <w:tblStyle w:val="10"/>
        <w:tblpPr w:leftFromText="180" w:rightFromText="180" w:vertAnchor="text" w:horzAnchor="page" w:tblpXSpec="center" w:tblpY="704"/>
        <w:tblOverlap w:val="never"/>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330"/>
        <w:gridCol w:w="1090"/>
        <w:gridCol w:w="2180"/>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85" w:type="dxa"/>
          </w:tcPr>
          <w:p>
            <w:pPr>
              <w:spacing w:line="360" w:lineRule="auto"/>
              <w:jc w:val="center"/>
              <w:rPr>
                <w:rFonts w:ascii="黑体" w:hAnsi="黑体" w:eastAsia="黑体" w:cs="Times New Roman"/>
              </w:rPr>
            </w:pPr>
            <w:r>
              <w:rPr>
                <w:rFonts w:hint="eastAsia" w:ascii="黑体" w:hAnsi="黑体" w:eastAsia="黑体" w:cs="黑体"/>
              </w:rPr>
              <w:t>序号</w:t>
            </w:r>
          </w:p>
        </w:tc>
        <w:tc>
          <w:tcPr>
            <w:tcW w:w="1330" w:type="dxa"/>
          </w:tcPr>
          <w:p>
            <w:pPr>
              <w:spacing w:line="360" w:lineRule="auto"/>
              <w:jc w:val="center"/>
              <w:rPr>
                <w:rFonts w:ascii="黑体" w:hAnsi="黑体" w:eastAsia="黑体" w:cs="Times New Roman"/>
              </w:rPr>
            </w:pPr>
            <w:r>
              <w:rPr>
                <w:rFonts w:hint="eastAsia" w:ascii="黑体" w:hAnsi="黑体" w:eastAsia="黑体" w:cs="黑体"/>
              </w:rPr>
              <w:t>对象类别</w:t>
            </w:r>
          </w:p>
        </w:tc>
        <w:tc>
          <w:tcPr>
            <w:tcW w:w="1090" w:type="dxa"/>
          </w:tcPr>
          <w:p>
            <w:pPr>
              <w:spacing w:line="360" w:lineRule="auto"/>
              <w:jc w:val="center"/>
              <w:rPr>
                <w:rFonts w:ascii="黑体" w:hAnsi="黑体" w:eastAsia="黑体" w:cs="Times New Roman"/>
              </w:rPr>
            </w:pPr>
            <w:r>
              <w:rPr>
                <w:rFonts w:hint="eastAsia" w:ascii="黑体" w:hAnsi="黑体" w:eastAsia="黑体" w:cs="黑体"/>
              </w:rPr>
              <w:t>改造类别</w:t>
            </w:r>
          </w:p>
        </w:tc>
        <w:tc>
          <w:tcPr>
            <w:tcW w:w="2180" w:type="dxa"/>
          </w:tcPr>
          <w:p>
            <w:pPr>
              <w:spacing w:line="360" w:lineRule="auto"/>
              <w:jc w:val="center"/>
              <w:rPr>
                <w:rFonts w:ascii="黑体" w:hAnsi="黑体" w:eastAsia="黑体" w:cs="Times New Roman"/>
              </w:rPr>
            </w:pPr>
            <w:r>
              <w:rPr>
                <w:rFonts w:hint="eastAsia" w:ascii="黑体" w:hAnsi="黑体" w:eastAsia="黑体" w:cs="黑体"/>
              </w:rPr>
              <w:t>项目名称</w:t>
            </w:r>
          </w:p>
        </w:tc>
        <w:tc>
          <w:tcPr>
            <w:tcW w:w="4710" w:type="dxa"/>
          </w:tcPr>
          <w:p>
            <w:pPr>
              <w:spacing w:line="360" w:lineRule="auto"/>
              <w:jc w:val="center"/>
              <w:rPr>
                <w:rFonts w:ascii="黑体" w:hAnsi="黑体" w:eastAsia="黑体" w:cs="Times New Roman"/>
              </w:rPr>
            </w:pPr>
            <w:r>
              <w:rPr>
                <w:rFonts w:hint="eastAsia" w:ascii="黑体" w:hAnsi="黑体" w:eastAsia="黑体" w:cs="黑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1</w:t>
            </w:r>
          </w:p>
        </w:tc>
        <w:tc>
          <w:tcPr>
            <w:tcW w:w="1330" w:type="dxa"/>
            <w:vMerge w:val="restart"/>
            <w:vAlign w:val="center"/>
          </w:tcPr>
          <w:p>
            <w:pPr>
              <w:jc w:val="center"/>
              <w:rPr>
                <w:rFonts w:ascii="仿宋_GB2312" w:hAnsi="仿宋_GB2312" w:eastAsia="仿宋_GB2312" w:cs="Times New Roman"/>
              </w:rPr>
            </w:pPr>
            <w:r>
              <w:rPr>
                <w:rFonts w:hint="eastAsia" w:ascii="仿宋_GB2312" w:hAnsi="仿宋_GB2312" w:eastAsia="仿宋_GB2312" w:cs="仿宋_GB2312"/>
              </w:rPr>
              <w:t>重度失能且长期卧床</w:t>
            </w:r>
          </w:p>
        </w:tc>
        <w:tc>
          <w:tcPr>
            <w:tcW w:w="1090" w:type="dxa"/>
            <w:vMerge w:val="restart"/>
            <w:vAlign w:val="center"/>
          </w:tcPr>
          <w:p>
            <w:pPr>
              <w:jc w:val="center"/>
              <w:rPr>
                <w:rFonts w:ascii="仿宋_GB2312" w:hAnsi="仿宋_GB2312" w:eastAsia="仿宋_GB2312" w:cs="Times New Roman"/>
              </w:rPr>
            </w:pPr>
            <w:r>
              <w:rPr>
                <w:rFonts w:hint="eastAsia" w:ascii="仿宋_GB2312" w:hAnsi="仿宋_GB2312" w:eastAsia="仿宋_GB2312" w:cs="仿宋_GB2312"/>
              </w:rPr>
              <w:t>卧室改造</w:t>
            </w: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配置护理床</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帮助失能老年人完成起身、侧翻、上下床、吃饭等动作，辅助喂食、处理排泄物等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2</w:t>
            </w:r>
          </w:p>
        </w:tc>
        <w:tc>
          <w:tcPr>
            <w:tcW w:w="1330" w:type="dxa"/>
            <w:vMerge w:val="continue"/>
            <w:vAlign w:val="center"/>
          </w:tcPr>
          <w:p>
            <w:pPr>
              <w:jc w:val="center"/>
              <w:rPr>
                <w:rFonts w:ascii="仿宋_GB2312" w:hAnsi="仿宋_GB2312" w:eastAsia="仿宋_GB2312" w:cs="仿宋_GB2312"/>
              </w:rPr>
            </w:pPr>
          </w:p>
        </w:tc>
        <w:tc>
          <w:tcPr>
            <w:tcW w:w="1090" w:type="dxa"/>
            <w:vMerge w:val="continue"/>
            <w:vAlign w:val="center"/>
          </w:tcPr>
          <w:p>
            <w:pPr>
              <w:jc w:val="center"/>
              <w:rPr>
                <w:rFonts w:ascii="仿宋_GB2312" w:hAnsi="仿宋_GB2312" w:eastAsia="仿宋_GB2312" w:cs="仿宋_GB2312"/>
              </w:rPr>
            </w:pP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配置防压疮垫</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避免长期乘坐轮椅或卧床的老年人发生严重压疮，包括防压疮坐垫、靠垫或床垫等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3</w:t>
            </w:r>
          </w:p>
        </w:tc>
        <w:tc>
          <w:tcPr>
            <w:tcW w:w="1330" w:type="dxa"/>
            <w:vMerge w:val="restart"/>
            <w:vAlign w:val="center"/>
          </w:tcPr>
          <w:p>
            <w:pPr>
              <w:jc w:val="center"/>
              <w:rPr>
                <w:rFonts w:ascii="仿宋_GB2312" w:hAnsi="仿宋_GB2312" w:eastAsia="仿宋_GB2312" w:cs="Times New Roman"/>
              </w:rPr>
            </w:pPr>
            <w:r>
              <w:rPr>
                <w:rFonts w:hint="eastAsia" w:ascii="仿宋_GB2312" w:hAnsi="仿宋_GB2312" w:eastAsia="仿宋_GB2312" w:cs="仿宋_GB2312"/>
              </w:rPr>
              <w:t>其他老年人</w:t>
            </w:r>
          </w:p>
        </w:tc>
        <w:tc>
          <w:tcPr>
            <w:tcW w:w="109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门改造</w:t>
            </w: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安装闪光振动门铃</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供听力视力障碍老年人使用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4</w:t>
            </w:r>
          </w:p>
        </w:tc>
        <w:tc>
          <w:tcPr>
            <w:tcW w:w="1330" w:type="dxa"/>
            <w:vMerge w:val="continue"/>
            <w:vAlign w:val="center"/>
          </w:tcPr>
          <w:p>
            <w:pPr>
              <w:jc w:val="center"/>
              <w:rPr>
                <w:rFonts w:ascii="仿宋_GB2312" w:hAnsi="仿宋_GB2312" w:eastAsia="仿宋_GB2312" w:cs="仿宋_GB2312"/>
              </w:rPr>
            </w:pPr>
          </w:p>
        </w:tc>
        <w:tc>
          <w:tcPr>
            <w:tcW w:w="1090" w:type="dxa"/>
            <w:vMerge w:val="restart"/>
            <w:vAlign w:val="center"/>
          </w:tcPr>
          <w:p>
            <w:pPr>
              <w:jc w:val="center"/>
              <w:rPr>
                <w:rFonts w:ascii="仿宋_GB2312" w:hAnsi="仿宋_GB2312" w:eastAsia="仿宋_GB2312" w:cs="Times New Roman"/>
              </w:rPr>
            </w:pPr>
            <w:r>
              <w:rPr>
                <w:rFonts w:hint="eastAsia" w:ascii="仿宋_GB2312" w:hAnsi="仿宋_GB2312" w:eastAsia="仿宋_GB2312" w:cs="仿宋_GB2312"/>
              </w:rPr>
              <w:t>地面改造</w:t>
            </w: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防滑处理</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在卫生间、厨房、卧室等区域铺设防滑砖或者防滑地胶，避免老年人滑倒，提高安全性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5</w:t>
            </w:r>
          </w:p>
        </w:tc>
        <w:tc>
          <w:tcPr>
            <w:tcW w:w="1330" w:type="dxa"/>
            <w:vMerge w:val="continue"/>
            <w:vAlign w:val="center"/>
          </w:tcPr>
          <w:p>
            <w:pPr>
              <w:jc w:val="center"/>
              <w:rPr>
                <w:rFonts w:ascii="仿宋_GB2312" w:hAnsi="仿宋_GB2312" w:eastAsia="仿宋_GB2312" w:cs="仿宋_GB2312"/>
              </w:rPr>
            </w:pPr>
          </w:p>
        </w:tc>
        <w:tc>
          <w:tcPr>
            <w:tcW w:w="1090" w:type="dxa"/>
            <w:vMerge w:val="continue"/>
            <w:vAlign w:val="center"/>
          </w:tcPr>
          <w:p>
            <w:pPr>
              <w:jc w:val="center"/>
              <w:rPr>
                <w:rFonts w:ascii="仿宋_GB2312" w:hAnsi="仿宋_GB2312" w:eastAsia="仿宋_GB2312" w:cs="仿宋_GB2312"/>
              </w:rPr>
            </w:pP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高差处理</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铺设水泥坡道或者加设橡胶等材质的可移动式坡道，保障路面平滑，无高差障碍，方便轮椅进出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6</w:t>
            </w:r>
          </w:p>
        </w:tc>
        <w:tc>
          <w:tcPr>
            <w:tcW w:w="1330" w:type="dxa"/>
            <w:vMerge w:val="continue"/>
            <w:vAlign w:val="center"/>
          </w:tcPr>
          <w:p>
            <w:pPr>
              <w:jc w:val="center"/>
              <w:rPr>
                <w:rFonts w:ascii="仿宋_GB2312" w:hAnsi="仿宋_GB2312" w:eastAsia="仿宋_GB2312" w:cs="仿宋_GB2312"/>
              </w:rPr>
            </w:pPr>
          </w:p>
        </w:tc>
        <w:tc>
          <w:tcPr>
            <w:tcW w:w="109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卧室改造</w:t>
            </w: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安装床边护栏（抓杆）</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辅助老年人起身、上下床，防止翻身滚下床，保障老年人睡眠和活动安全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7</w:t>
            </w:r>
          </w:p>
        </w:tc>
        <w:tc>
          <w:tcPr>
            <w:tcW w:w="1330" w:type="dxa"/>
            <w:vMerge w:val="continue"/>
            <w:vAlign w:val="center"/>
          </w:tcPr>
          <w:p>
            <w:pPr>
              <w:jc w:val="center"/>
              <w:rPr>
                <w:rFonts w:ascii="仿宋_GB2312" w:hAnsi="仿宋_GB2312" w:eastAsia="仿宋_GB2312" w:cs="仿宋_GB2312"/>
              </w:rPr>
            </w:pPr>
          </w:p>
        </w:tc>
        <w:tc>
          <w:tcPr>
            <w:tcW w:w="1090" w:type="dxa"/>
            <w:vMerge w:val="restart"/>
            <w:vAlign w:val="center"/>
          </w:tcPr>
          <w:p>
            <w:pPr>
              <w:jc w:val="center"/>
              <w:rPr>
                <w:rFonts w:ascii="仿宋_GB2312" w:hAnsi="仿宋_GB2312" w:eastAsia="仿宋_GB2312" w:cs="Times New Roman"/>
              </w:rPr>
            </w:pPr>
            <w:r>
              <w:rPr>
                <w:rFonts w:hint="eastAsia" w:ascii="仿宋_GB2312" w:hAnsi="仿宋_GB2312" w:eastAsia="仿宋_GB2312" w:cs="仿宋_GB2312"/>
              </w:rPr>
              <w:t>如厕洗浴设备改造</w:t>
            </w: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安装扶手</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在如厕区或者洗浴区安装扶手，辅助老年人起身、站立、转身和坐下，包括一字形扶手、</w:t>
            </w:r>
            <w:r>
              <w:rPr>
                <w:rFonts w:ascii="仿宋_GB2312" w:hAnsi="仿宋_GB2312" w:eastAsia="仿宋_GB2312" w:cs="仿宋_GB2312"/>
              </w:rPr>
              <w:t>U</w:t>
            </w:r>
            <w:r>
              <w:rPr>
                <w:rFonts w:hint="eastAsia" w:ascii="仿宋_GB2312" w:hAnsi="仿宋_GB2312" w:eastAsia="仿宋_GB2312" w:cs="仿宋_GB2312"/>
              </w:rPr>
              <w:t>形扶手、</w:t>
            </w:r>
            <w:r>
              <w:rPr>
                <w:rFonts w:ascii="仿宋_GB2312" w:hAnsi="仿宋_GB2312" w:eastAsia="仿宋_GB2312" w:cs="仿宋_GB2312"/>
              </w:rPr>
              <w:t>L</w:t>
            </w:r>
            <w:r>
              <w:rPr>
                <w:rFonts w:hint="eastAsia" w:ascii="仿宋_GB2312" w:hAnsi="仿宋_GB2312" w:eastAsia="仿宋_GB2312" w:cs="仿宋_GB2312"/>
              </w:rPr>
              <w:t>形扶手、</w:t>
            </w:r>
            <w:r>
              <w:rPr>
                <w:rFonts w:ascii="仿宋_GB2312" w:hAnsi="仿宋_GB2312" w:eastAsia="仿宋_GB2312" w:cs="仿宋_GB2312"/>
              </w:rPr>
              <w:t>T</w:t>
            </w:r>
            <w:r>
              <w:rPr>
                <w:rFonts w:hint="eastAsia" w:ascii="仿宋_GB2312" w:hAnsi="仿宋_GB2312" w:eastAsia="仿宋_GB2312" w:cs="仿宋_GB2312"/>
              </w:rPr>
              <w:t>形扶手或者助力扶手等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8</w:t>
            </w:r>
          </w:p>
        </w:tc>
        <w:tc>
          <w:tcPr>
            <w:tcW w:w="1330" w:type="dxa"/>
            <w:vMerge w:val="continue"/>
            <w:vAlign w:val="center"/>
          </w:tcPr>
          <w:p>
            <w:pPr>
              <w:jc w:val="center"/>
              <w:rPr>
                <w:rFonts w:ascii="仿宋_GB2312" w:hAnsi="仿宋_GB2312" w:eastAsia="仿宋_GB2312" w:cs="仿宋_GB2312"/>
              </w:rPr>
            </w:pPr>
          </w:p>
        </w:tc>
        <w:tc>
          <w:tcPr>
            <w:tcW w:w="1090" w:type="dxa"/>
            <w:vMerge w:val="continue"/>
            <w:vAlign w:val="center"/>
          </w:tcPr>
          <w:p>
            <w:pPr>
              <w:jc w:val="center"/>
              <w:rPr>
                <w:rFonts w:ascii="仿宋_GB2312" w:hAnsi="仿宋_GB2312" w:eastAsia="仿宋_GB2312" w:cs="仿宋_GB2312"/>
              </w:rPr>
            </w:pP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配置坐便椅</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辅助卫生间无蹲便设施的老年人如厕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9</w:t>
            </w:r>
          </w:p>
        </w:tc>
        <w:tc>
          <w:tcPr>
            <w:tcW w:w="1330" w:type="dxa"/>
            <w:vMerge w:val="continue"/>
            <w:vAlign w:val="center"/>
          </w:tcPr>
          <w:p>
            <w:pPr>
              <w:jc w:val="center"/>
              <w:rPr>
                <w:rFonts w:ascii="仿宋_GB2312" w:hAnsi="仿宋_GB2312" w:eastAsia="仿宋_GB2312" w:cs="仿宋_GB2312"/>
              </w:rPr>
            </w:pPr>
          </w:p>
        </w:tc>
        <w:tc>
          <w:tcPr>
            <w:tcW w:w="1090" w:type="dxa"/>
            <w:vMerge w:val="continue"/>
            <w:vAlign w:val="center"/>
          </w:tcPr>
          <w:p>
            <w:pPr>
              <w:jc w:val="center"/>
              <w:rPr>
                <w:rFonts w:ascii="仿宋_GB2312" w:hAnsi="仿宋_GB2312" w:eastAsia="仿宋_GB2312" w:cs="仿宋_GB2312"/>
              </w:rPr>
            </w:pP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配置淋浴椅</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辅助老年人洗澡，避免老年人滑倒，提高安全性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10</w:t>
            </w:r>
          </w:p>
        </w:tc>
        <w:tc>
          <w:tcPr>
            <w:tcW w:w="1330" w:type="dxa"/>
            <w:vMerge w:val="continue"/>
            <w:vAlign w:val="center"/>
          </w:tcPr>
          <w:p>
            <w:pPr>
              <w:jc w:val="center"/>
              <w:rPr>
                <w:rFonts w:ascii="仿宋_GB2312" w:hAnsi="仿宋_GB2312" w:eastAsia="仿宋_GB2312" w:cs="仿宋_GB2312"/>
              </w:rPr>
            </w:pPr>
          </w:p>
        </w:tc>
        <w:tc>
          <w:tcPr>
            <w:tcW w:w="1090" w:type="dxa"/>
            <w:vMerge w:val="restart"/>
            <w:vAlign w:val="center"/>
          </w:tcPr>
          <w:p>
            <w:pPr>
              <w:jc w:val="center"/>
              <w:rPr>
                <w:rFonts w:ascii="仿宋_GB2312" w:hAnsi="仿宋_GB2312" w:eastAsia="仿宋_GB2312" w:cs="Times New Roman"/>
              </w:rPr>
            </w:pPr>
            <w:r>
              <w:rPr>
                <w:rFonts w:hint="eastAsia" w:ascii="仿宋_GB2312" w:hAnsi="仿宋_GB2312" w:eastAsia="仿宋_GB2312" w:cs="仿宋_GB2312"/>
              </w:rPr>
              <w:t>老年用品配置</w:t>
            </w: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手杖</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辅助老年人平稳站立和行走，包含三角、四脚手杖或带凳拐杖等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85" w:type="dxa"/>
            <w:vAlign w:val="center"/>
          </w:tcPr>
          <w:p>
            <w:pPr>
              <w:jc w:val="center"/>
              <w:rPr>
                <w:rFonts w:ascii="仿宋_GB2312" w:hAnsi="仿宋_GB2312" w:eastAsia="仿宋_GB2312" w:cs="仿宋_GB2312"/>
              </w:rPr>
            </w:pPr>
            <w:r>
              <w:rPr>
                <w:rFonts w:ascii="仿宋_GB2312" w:hAnsi="仿宋_GB2312" w:eastAsia="仿宋_GB2312" w:cs="仿宋_GB2312"/>
              </w:rPr>
              <w:t>11</w:t>
            </w:r>
          </w:p>
        </w:tc>
        <w:tc>
          <w:tcPr>
            <w:tcW w:w="1330" w:type="dxa"/>
            <w:vMerge w:val="continue"/>
            <w:vAlign w:val="center"/>
          </w:tcPr>
          <w:p>
            <w:pPr>
              <w:jc w:val="center"/>
              <w:rPr>
                <w:rFonts w:ascii="仿宋_GB2312" w:hAnsi="仿宋_GB2312" w:eastAsia="仿宋_GB2312" w:cs="仿宋_GB2312"/>
              </w:rPr>
            </w:pPr>
          </w:p>
        </w:tc>
        <w:tc>
          <w:tcPr>
            <w:tcW w:w="1090" w:type="dxa"/>
            <w:vMerge w:val="continue"/>
            <w:vAlign w:val="center"/>
          </w:tcPr>
          <w:p>
            <w:pPr>
              <w:jc w:val="center"/>
              <w:rPr>
                <w:rFonts w:ascii="仿宋_GB2312" w:hAnsi="仿宋_GB2312" w:eastAsia="仿宋_GB2312" w:cs="仿宋_GB2312"/>
              </w:rPr>
            </w:pPr>
          </w:p>
        </w:tc>
        <w:tc>
          <w:tcPr>
            <w:tcW w:w="218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轮椅或助行器</w:t>
            </w:r>
          </w:p>
        </w:tc>
        <w:tc>
          <w:tcPr>
            <w:tcW w:w="471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辅助家人、照护人员推行或帮助老年人站立行走，扩大老年人活动空间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015" w:type="dxa"/>
            <w:gridSpan w:val="2"/>
            <w:vAlign w:val="center"/>
          </w:tcPr>
          <w:p>
            <w:pPr>
              <w:jc w:val="center"/>
              <w:rPr>
                <w:rFonts w:ascii="仿宋_GB2312" w:hAnsi="仿宋_GB2312" w:eastAsia="仿宋_GB2312" w:cs="Times New Roman"/>
              </w:rPr>
            </w:pPr>
            <w:r>
              <w:rPr>
                <w:rFonts w:hint="eastAsia" w:ascii="仿宋_GB2312" w:hAnsi="仿宋_GB2312" w:eastAsia="仿宋_GB2312" w:cs="仿宋_GB2312"/>
              </w:rPr>
              <w:t>其他自费项目</w:t>
            </w:r>
          </w:p>
        </w:tc>
        <w:tc>
          <w:tcPr>
            <w:tcW w:w="7980" w:type="dxa"/>
            <w:gridSpan w:val="3"/>
            <w:vAlign w:val="center"/>
          </w:tcPr>
          <w:p>
            <w:pPr>
              <w:jc w:val="center"/>
              <w:rPr>
                <w:rFonts w:ascii="仿宋_GB2312" w:hAnsi="仿宋_GB2312" w:eastAsia="仿宋_GB2312" w:cs="Times New Roman"/>
              </w:rPr>
            </w:pPr>
            <w:r>
              <w:rPr>
                <w:rFonts w:hint="eastAsia" w:ascii="仿宋_GB2312" w:hAnsi="仿宋_GB2312" w:eastAsia="仿宋_GB2312" w:cs="仿宋_GB2312"/>
              </w:rPr>
              <w:t>经与服务对象协商后，双方确定的其他服务于老年人日常生活的适老化改造项目及相关设施设备</w:t>
            </w:r>
          </w:p>
        </w:tc>
      </w:tr>
    </w:tbl>
    <w:p>
      <w:pPr>
        <w:spacing w:line="520" w:lineRule="exact"/>
        <w:jc w:val="center"/>
        <w:rPr>
          <w:rFonts w:ascii="方正小标宋简体" w:hAnsi="方正小标宋简体" w:eastAsia="方正小标宋简体" w:cs="Times New Roman"/>
          <w:sz w:val="44"/>
          <w:szCs w:val="44"/>
        </w:rPr>
      </w:pPr>
    </w:p>
    <w:p>
      <w:pPr>
        <w:spacing w:line="520" w:lineRule="exact"/>
        <w:jc w:val="center"/>
        <w:rPr>
          <w:rFonts w:ascii="方正小标宋简体" w:hAnsi="方正小标宋简体" w:eastAsia="方正小标宋简体" w:cs="Times New Roman"/>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家庭养老床位建设和老年用品配置基本清单</w:t>
      </w:r>
      <w:r>
        <w:rPr>
          <w:rFonts w:ascii="方正小标宋简体" w:hAnsi="方正小标宋简体" w:eastAsia="方正小标宋简体" w:cs="方正小标宋简体"/>
          <w:sz w:val="44"/>
          <w:szCs w:val="44"/>
        </w:rPr>
        <w:t>2</w:t>
      </w:r>
    </w:p>
    <w:p>
      <w:pPr>
        <w:spacing w:line="520" w:lineRule="exact"/>
        <w:jc w:val="center"/>
        <w:rPr>
          <w:rFonts w:ascii="楷体_GB2312" w:hAnsi="楷体_GB2312" w:eastAsia="楷体_GB2312" w:cs="Times New Roman"/>
          <w:sz w:val="32"/>
          <w:szCs w:val="32"/>
        </w:rPr>
      </w:pPr>
      <w:r>
        <w:rPr>
          <w:rFonts w:hint="eastAsia" w:ascii="楷体_GB2312" w:hAnsi="楷体_GB2312" w:eastAsia="楷体_GB2312" w:cs="楷体_GB2312"/>
          <w:sz w:val="32"/>
          <w:szCs w:val="32"/>
        </w:rPr>
        <w:t>（试行）</w:t>
      </w:r>
    </w:p>
    <w:tbl>
      <w:tblPr>
        <w:tblStyle w:val="10"/>
        <w:tblpPr w:leftFromText="180" w:rightFromText="180" w:vertAnchor="text" w:horzAnchor="page" w:tblpXSpec="center" w:tblpY="424"/>
        <w:tblOverlap w:val="never"/>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2319"/>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29" w:type="dxa"/>
            <w:vAlign w:val="center"/>
          </w:tcPr>
          <w:p>
            <w:pPr>
              <w:spacing w:line="360" w:lineRule="auto"/>
              <w:jc w:val="center"/>
              <w:rPr>
                <w:rFonts w:ascii="黑体" w:hAnsi="黑体" w:eastAsia="黑体" w:cs="Times New Roman"/>
              </w:rPr>
            </w:pPr>
            <w:r>
              <w:rPr>
                <w:rFonts w:hint="eastAsia" w:ascii="黑体" w:hAnsi="黑体" w:eastAsia="黑体" w:cs="黑体"/>
              </w:rPr>
              <w:t>基础服务</w:t>
            </w:r>
          </w:p>
        </w:tc>
        <w:tc>
          <w:tcPr>
            <w:tcW w:w="2319" w:type="dxa"/>
            <w:vAlign w:val="center"/>
          </w:tcPr>
          <w:p>
            <w:pPr>
              <w:spacing w:line="360" w:lineRule="auto"/>
              <w:jc w:val="center"/>
              <w:rPr>
                <w:rFonts w:ascii="黑体" w:hAnsi="黑体" w:eastAsia="黑体" w:cs="Times New Roman"/>
              </w:rPr>
            </w:pPr>
            <w:r>
              <w:rPr>
                <w:rFonts w:hint="eastAsia" w:ascii="黑体" w:hAnsi="黑体" w:eastAsia="黑体" w:cs="黑体"/>
              </w:rPr>
              <w:t>相关设备指导目录</w:t>
            </w:r>
          </w:p>
        </w:tc>
        <w:tc>
          <w:tcPr>
            <w:tcW w:w="6001" w:type="dxa"/>
            <w:vAlign w:val="center"/>
          </w:tcPr>
          <w:p>
            <w:pPr>
              <w:spacing w:line="360" w:lineRule="auto"/>
              <w:jc w:val="center"/>
              <w:rPr>
                <w:rFonts w:ascii="黑体" w:hAnsi="黑体" w:eastAsia="黑体" w:cs="Times New Roman"/>
              </w:rPr>
            </w:pPr>
            <w:r>
              <w:rPr>
                <w:rFonts w:hint="eastAsia" w:ascii="黑体" w:hAnsi="黑体" w:eastAsia="黑体" w:cs="黑体"/>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29" w:type="dxa"/>
            <w:vMerge w:val="restart"/>
            <w:vAlign w:val="center"/>
          </w:tcPr>
          <w:p>
            <w:pPr>
              <w:jc w:val="center"/>
              <w:rPr>
                <w:rFonts w:ascii="仿宋_GB2312" w:hAnsi="仿宋_GB2312" w:eastAsia="仿宋_GB2312" w:cs="Times New Roman"/>
              </w:rPr>
            </w:pPr>
            <w:r>
              <w:rPr>
                <w:rFonts w:hint="eastAsia" w:ascii="仿宋_GB2312" w:hAnsi="仿宋_GB2312" w:eastAsia="仿宋_GB2312" w:cs="仿宋_GB2312"/>
              </w:rPr>
              <w:t>针对全体服务对象</w:t>
            </w: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数据网关设备</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用于串联所有智能设备，实现各设备与平台稳定互联，保障数据传输稳定。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29" w:type="dxa"/>
            <w:vMerge w:val="continue"/>
            <w:vAlign w:val="center"/>
          </w:tcPr>
          <w:p>
            <w:pPr>
              <w:jc w:val="center"/>
              <w:rPr>
                <w:rFonts w:ascii="仿宋_GB2312" w:hAnsi="仿宋_GB2312" w:eastAsia="仿宋_GB2312"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语音或视频互联设备</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用于开展日常主动关爱服务，包括呼叫应答、天气提醒、防范宣传、心理疏导、政策解答、出行路线协助等服务。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29" w:type="dxa"/>
            <w:vMerge w:val="continue"/>
            <w:vAlign w:val="center"/>
          </w:tcPr>
          <w:p>
            <w:pPr>
              <w:jc w:val="center"/>
              <w:rPr>
                <w:rFonts w:ascii="仿宋_GB2312" w:hAnsi="仿宋_GB2312" w:eastAsia="仿宋_GB2312"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紧急呼叫设备</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支持一键呼入服务中心调度室；服务中心根据老人需求进行解答、指导；代为联系子女及其他紧急联系人，必要时进行</w:t>
            </w:r>
            <w:r>
              <w:rPr>
                <w:rFonts w:ascii="仿宋_GB2312" w:hAnsi="仿宋_GB2312" w:eastAsia="仿宋_GB2312" w:cs="仿宋_GB2312"/>
              </w:rPr>
              <w:t>120</w:t>
            </w:r>
            <w:r>
              <w:rPr>
                <w:rFonts w:hint="eastAsia" w:ascii="仿宋_GB2312" w:hAnsi="仿宋_GB2312" w:eastAsia="仿宋_GB2312" w:cs="仿宋_GB2312"/>
              </w:rPr>
              <w:t>代叫服务。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29" w:type="dxa"/>
            <w:vMerge w:val="continue"/>
            <w:vAlign w:val="center"/>
          </w:tcPr>
          <w:p>
            <w:pPr>
              <w:jc w:val="center"/>
              <w:rPr>
                <w:rFonts w:ascii="仿宋_GB2312" w:hAnsi="仿宋_GB2312" w:eastAsia="仿宋_GB2312"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烟感报警、燃气报警、浸没报警。</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根据设备功能选择安装于客厅、卧室、厨房等场所，实时烟雾火情检测、燃气泄漏检测、满水报警检测，防止危险发生。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29" w:type="dxa"/>
            <w:vMerge w:val="continue"/>
            <w:vAlign w:val="center"/>
          </w:tcPr>
          <w:p>
            <w:pPr>
              <w:jc w:val="center"/>
              <w:rPr>
                <w:rFonts w:ascii="仿宋_GB2312" w:hAnsi="仿宋_GB2312" w:eastAsia="仿宋_GB2312"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健康情况数字化管理</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上传老年人能力评估结果及日常体检数据等，掌握老年人身体状况，进行用药提醒。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29" w:type="dxa"/>
            <w:vAlign w:val="center"/>
          </w:tcPr>
          <w:p>
            <w:pPr>
              <w:jc w:val="center"/>
              <w:rPr>
                <w:rFonts w:ascii="仿宋_GB2312" w:hAnsi="仿宋_GB2312" w:eastAsia="仿宋_GB2312" w:cs="Times New Roman"/>
              </w:rPr>
            </w:pPr>
            <w:r>
              <w:rPr>
                <w:rFonts w:hint="eastAsia" w:ascii="黑体" w:hAnsi="黑体" w:eastAsia="黑体" w:cs="黑体"/>
              </w:rPr>
              <w:t>个性服务</w:t>
            </w:r>
          </w:p>
        </w:tc>
        <w:tc>
          <w:tcPr>
            <w:tcW w:w="2319" w:type="dxa"/>
            <w:vAlign w:val="center"/>
          </w:tcPr>
          <w:p>
            <w:pPr>
              <w:spacing w:line="360" w:lineRule="auto"/>
              <w:jc w:val="center"/>
              <w:rPr>
                <w:rFonts w:ascii="仿宋_GB2312" w:hAnsi="仿宋_GB2312" w:eastAsia="仿宋_GB2312" w:cs="Times New Roman"/>
              </w:rPr>
            </w:pPr>
            <w:r>
              <w:rPr>
                <w:rFonts w:hint="eastAsia" w:ascii="黑体" w:hAnsi="黑体" w:eastAsia="黑体" w:cs="黑体"/>
              </w:rPr>
              <w:t>相关设备指导目录</w:t>
            </w:r>
          </w:p>
        </w:tc>
        <w:tc>
          <w:tcPr>
            <w:tcW w:w="6001" w:type="dxa"/>
            <w:vAlign w:val="center"/>
          </w:tcPr>
          <w:p>
            <w:pPr>
              <w:spacing w:line="360" w:lineRule="auto"/>
              <w:jc w:val="center"/>
              <w:rPr>
                <w:rFonts w:ascii="仿宋_GB2312" w:hAnsi="仿宋_GB2312" w:eastAsia="仿宋_GB2312" w:cs="Times New Roman"/>
              </w:rPr>
            </w:pPr>
            <w:r>
              <w:rPr>
                <w:rFonts w:hint="eastAsia" w:ascii="黑体" w:hAnsi="黑体" w:eastAsia="黑体" w:cs="黑体"/>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529" w:type="dxa"/>
            <w:vMerge w:val="restart"/>
            <w:vAlign w:val="center"/>
          </w:tcPr>
          <w:p>
            <w:pPr>
              <w:jc w:val="center"/>
              <w:rPr>
                <w:rFonts w:ascii="黑体" w:hAnsi="黑体" w:eastAsia="黑体" w:cs="Times New Roman"/>
              </w:rPr>
            </w:pPr>
            <w:r>
              <w:rPr>
                <w:rFonts w:hint="eastAsia" w:ascii="仿宋_GB2312" w:hAnsi="仿宋_GB2312" w:eastAsia="仿宋_GB2312" w:cs="仿宋_GB2312"/>
              </w:rPr>
              <w:t>服务对象根据综合能力评估情况自主选择</w:t>
            </w: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生命体征监护设备</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对服务对象生命体征进行实时检测，包括心率、呼吸频率、睡眠检测、异常报警，进行应急干预等服务。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29" w:type="dxa"/>
            <w:vMerge w:val="continue"/>
            <w:vAlign w:val="center"/>
          </w:tcPr>
          <w:p>
            <w:pPr>
              <w:spacing w:line="360" w:lineRule="auto"/>
              <w:jc w:val="center"/>
              <w:rPr>
                <w:rFonts w:ascii="黑体" w:hAnsi="黑体" w:eastAsia="黑体"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电子围栏（主要针对有轻度、中度、重度失智老人）</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通过智能穿戴设备，主要针对失智老人设置电子围栏和定位，防止老人意外走失。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529" w:type="dxa"/>
            <w:vMerge w:val="continue"/>
            <w:vAlign w:val="center"/>
          </w:tcPr>
          <w:p>
            <w:pPr>
              <w:spacing w:line="360" w:lineRule="auto"/>
              <w:jc w:val="center"/>
              <w:rPr>
                <w:rFonts w:ascii="黑体" w:hAnsi="黑体" w:eastAsia="黑体"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红外人体感应设备（有同住人的不适用）</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感应人体活动，采集行动数据，分析久卧不起、摔倒等异常状态进行应急干预等服务。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29" w:type="dxa"/>
            <w:vMerge w:val="continue"/>
            <w:vAlign w:val="center"/>
          </w:tcPr>
          <w:p>
            <w:pPr>
              <w:spacing w:line="360" w:lineRule="auto"/>
              <w:jc w:val="center"/>
              <w:rPr>
                <w:rFonts w:ascii="黑体" w:hAnsi="黑体" w:eastAsia="黑体"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睡眠检测设备</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对服务对象睡眠时的生命体征进行实时监测，采集心跳或呼吸率，打鼾、离床或在床等数据，异常报警，进行应急干预等服务。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29" w:type="dxa"/>
            <w:vMerge w:val="continue"/>
            <w:vAlign w:val="center"/>
          </w:tcPr>
          <w:p>
            <w:pPr>
              <w:spacing w:line="360" w:lineRule="auto"/>
              <w:jc w:val="center"/>
              <w:rPr>
                <w:rFonts w:ascii="黑体" w:hAnsi="黑体" w:eastAsia="黑体" w:cs="Times New Roman"/>
              </w:rPr>
            </w:pPr>
          </w:p>
        </w:tc>
        <w:tc>
          <w:tcPr>
            <w:tcW w:w="2319" w:type="dxa"/>
            <w:vAlign w:val="center"/>
          </w:tcPr>
          <w:p>
            <w:pPr>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门磁感应设备</w:t>
            </w:r>
          </w:p>
        </w:tc>
        <w:tc>
          <w:tcPr>
            <w:tcW w:w="6001" w:type="dxa"/>
            <w:vAlign w:val="center"/>
          </w:tcPr>
          <w:p>
            <w:pPr>
              <w:rPr>
                <w:rFonts w:ascii="仿宋_GB2312" w:hAnsi="仿宋_GB2312" w:eastAsia="仿宋_GB2312" w:cs="Times New Roman"/>
              </w:rPr>
            </w:pPr>
            <w:r>
              <w:rPr>
                <w:rFonts w:hint="eastAsia" w:ascii="仿宋_GB2312" w:hAnsi="仿宋_GB2312" w:eastAsia="仿宋_GB2312" w:cs="仿宋_GB2312"/>
              </w:rPr>
              <w:t>感应入户出入情况，开门超时报警，分析异常状况，进行应急干预等服务。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9" w:type="dxa"/>
            <w:vAlign w:val="center"/>
          </w:tcPr>
          <w:p>
            <w:pPr>
              <w:spacing w:line="360" w:lineRule="auto"/>
              <w:jc w:val="center"/>
              <w:rPr>
                <w:rFonts w:ascii="黑体" w:hAnsi="黑体" w:eastAsia="黑体" w:cs="Times New Roman"/>
              </w:rPr>
            </w:pPr>
            <w:r>
              <w:rPr>
                <w:rFonts w:hint="eastAsia" w:ascii="仿宋_GB2312" w:hAnsi="仿宋_GB2312" w:eastAsia="仿宋_GB2312" w:cs="仿宋_GB2312"/>
              </w:rPr>
              <w:t>其他自费项目</w:t>
            </w:r>
          </w:p>
        </w:tc>
        <w:tc>
          <w:tcPr>
            <w:tcW w:w="8320" w:type="dxa"/>
            <w:gridSpan w:val="2"/>
            <w:vAlign w:val="center"/>
          </w:tcPr>
          <w:p>
            <w:pPr>
              <w:spacing w:line="360" w:lineRule="auto"/>
              <w:rPr>
                <w:rFonts w:ascii="黑体" w:hAnsi="黑体" w:eastAsia="黑体" w:cs="Times New Roman"/>
              </w:rPr>
            </w:pPr>
            <w:r>
              <w:rPr>
                <w:rFonts w:hint="eastAsia" w:ascii="仿宋_GB2312" w:hAnsi="仿宋_GB2312" w:eastAsia="仿宋_GB2312" w:cs="仿宋_GB2312"/>
              </w:rPr>
              <w:t>经与服务对象协商后，双方确定的其他服务于老年人日常生活的设施设备。</w:t>
            </w:r>
          </w:p>
        </w:tc>
      </w:tr>
    </w:tbl>
    <w:p>
      <w:pPr>
        <w:spacing w:line="580" w:lineRule="exact"/>
        <w:rPr>
          <w:rFonts w:ascii="黑体" w:hAnsi="黑体" w:eastAsia="黑体" w:cs="Times New Roman"/>
          <w:sz w:val="32"/>
          <w:szCs w:val="32"/>
        </w:rPr>
      </w:pPr>
    </w:p>
    <w:p>
      <w:pPr>
        <w:spacing w:line="580" w:lineRule="exact"/>
        <w:rPr>
          <w:rFonts w:ascii="黑体" w:hAnsi="黑体" w:eastAsia="黑体" w:cs="Times New Roman"/>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居家养老上门服务项目指导目录</w:t>
      </w:r>
    </w:p>
    <w:p>
      <w:pPr>
        <w:spacing w:line="520" w:lineRule="exact"/>
        <w:jc w:val="center"/>
        <w:rPr>
          <w:rFonts w:ascii="楷体_GB2312" w:hAnsi="楷体_GB2312" w:eastAsia="楷体_GB2312" w:cs="Times New Roman"/>
          <w:sz w:val="32"/>
          <w:szCs w:val="32"/>
        </w:rPr>
      </w:pPr>
      <w:r>
        <w:rPr>
          <w:rFonts w:hint="eastAsia" w:ascii="楷体_GB2312" w:hAnsi="楷体_GB2312" w:eastAsia="楷体_GB2312" w:cs="楷体_GB2312"/>
          <w:sz w:val="32"/>
          <w:szCs w:val="32"/>
        </w:rPr>
        <w:t>（试行）</w:t>
      </w:r>
    </w:p>
    <w:tbl>
      <w:tblPr>
        <w:tblStyle w:val="10"/>
        <w:tblpPr w:leftFromText="180" w:rightFromText="180" w:vertAnchor="text" w:horzAnchor="page" w:tblpXSpec="center" w:tblpY="435"/>
        <w:tblOverlap w:val="never"/>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640"/>
        <w:gridCol w:w="4738"/>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06" w:type="dxa"/>
            <w:vAlign w:val="center"/>
          </w:tcPr>
          <w:p>
            <w:pPr>
              <w:jc w:val="center"/>
              <w:rPr>
                <w:rFonts w:ascii="仿宋_GB2312" w:hAnsi="仿宋_GB2312" w:eastAsia="仿宋_GB2312" w:cs="Times New Roman"/>
                <w:sz w:val="32"/>
                <w:szCs w:val="32"/>
              </w:rPr>
            </w:pPr>
            <w:r>
              <w:rPr>
                <w:rFonts w:hint="eastAsia" w:ascii="黑体" w:hAnsi="黑体" w:eastAsia="黑体" w:cs="黑体"/>
              </w:rPr>
              <w:t>序号</w:t>
            </w:r>
          </w:p>
        </w:tc>
        <w:tc>
          <w:tcPr>
            <w:tcW w:w="1640" w:type="dxa"/>
            <w:vAlign w:val="center"/>
          </w:tcPr>
          <w:p>
            <w:pPr>
              <w:jc w:val="center"/>
              <w:rPr>
                <w:rFonts w:ascii="黑体" w:hAnsi="黑体" w:eastAsia="黑体" w:cs="Times New Roman"/>
              </w:rPr>
            </w:pPr>
            <w:r>
              <w:rPr>
                <w:rFonts w:hint="eastAsia" w:ascii="黑体" w:hAnsi="黑体" w:eastAsia="黑体" w:cs="黑体"/>
              </w:rPr>
              <w:t>项目名称</w:t>
            </w:r>
          </w:p>
        </w:tc>
        <w:tc>
          <w:tcPr>
            <w:tcW w:w="4738" w:type="dxa"/>
            <w:vAlign w:val="center"/>
          </w:tcPr>
          <w:p>
            <w:pPr>
              <w:jc w:val="center"/>
              <w:rPr>
                <w:rFonts w:ascii="黑体" w:hAnsi="黑体" w:eastAsia="黑体" w:cs="Times New Roman"/>
              </w:rPr>
            </w:pPr>
            <w:r>
              <w:rPr>
                <w:rFonts w:hint="eastAsia" w:ascii="黑体" w:hAnsi="黑体" w:eastAsia="黑体" w:cs="黑体"/>
              </w:rPr>
              <w:t>服务项目内容</w:t>
            </w:r>
          </w:p>
        </w:tc>
        <w:tc>
          <w:tcPr>
            <w:tcW w:w="2193" w:type="dxa"/>
            <w:vAlign w:val="center"/>
          </w:tcPr>
          <w:p>
            <w:pPr>
              <w:jc w:val="center"/>
              <w:rPr>
                <w:rFonts w:ascii="黑体" w:hAnsi="黑体" w:eastAsia="黑体" w:cs="Times New Roman"/>
              </w:rPr>
            </w:pPr>
            <w:r>
              <w:rPr>
                <w:rFonts w:hint="eastAsia" w:ascii="黑体" w:hAnsi="黑体" w:eastAsia="黑体" w:cs="黑体"/>
              </w:rPr>
              <w:t>结算工时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1</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生活照料</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老年人刷牙、洗脸、洗脚、洗头、梳头、修剪指（趾）甲、剃胡须、理发等。</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2</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助浴服务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擦浴、淋浴等，并更换衣物。</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1.5</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3</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助餐服务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协助用餐，将餐饮送到指定地点，入户为老年人制作“两菜一汤”套餐（不含食材）。</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4</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助洁服务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老年人居室的地面、桌椅、餐具等清洁整理（不含擦玻璃）。</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5</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助行服务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陪同老年人在住宅附件周边区域户外散步，陪同老年人就近购物、探访。</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6</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助洗服务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清洁、整理床和衣物等</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7</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助医服务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陪同服务对象就医</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8</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代办服务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代理缴纳各种费用，处理信函文件，代买物品。</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9</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精神慰藉</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陪同聊天、读书看报、心理疏导、协助正确使用智能手机。</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10</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康复辅助（保健）</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服务对象测血压、体温，提醒服务对象吃药，提供预防保健、康复护理及老年人营养、心理健康等知识，协助老年人正确使用康复、保健仪器，协助老年人进行康复训练等。</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11</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日间照料</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安排护理人员上门或者将老人接到服务机构进行替代照料，为老人家属提供休息时间。</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6" w:type="dxa"/>
            <w:vAlign w:val="center"/>
          </w:tcPr>
          <w:p>
            <w:pPr>
              <w:jc w:val="center"/>
              <w:rPr>
                <w:rFonts w:ascii="仿宋_GB2312" w:hAnsi="仿宋_GB2312" w:eastAsia="仿宋_GB2312" w:cs="仿宋_GB2312"/>
              </w:rPr>
            </w:pPr>
            <w:r>
              <w:rPr>
                <w:rFonts w:ascii="仿宋_GB2312" w:hAnsi="仿宋_GB2312" w:eastAsia="仿宋_GB2312" w:cs="仿宋_GB2312"/>
              </w:rPr>
              <w:t>12</w:t>
            </w:r>
          </w:p>
        </w:tc>
        <w:tc>
          <w:tcPr>
            <w:tcW w:w="1640" w:type="dxa"/>
            <w:vAlign w:val="center"/>
          </w:tcPr>
          <w:p>
            <w:pPr>
              <w:jc w:val="center"/>
              <w:rPr>
                <w:rFonts w:ascii="仿宋_GB2312" w:hAnsi="仿宋_GB2312" w:eastAsia="仿宋_GB2312" w:cs="Times New Roman"/>
              </w:rPr>
            </w:pPr>
            <w:r>
              <w:rPr>
                <w:rFonts w:hint="eastAsia" w:ascii="仿宋_GB2312" w:hAnsi="仿宋_GB2312" w:eastAsia="仿宋_GB2312" w:cs="仿宋_GB2312"/>
              </w:rPr>
              <w:t>助急服务</w:t>
            </w:r>
          </w:p>
        </w:tc>
        <w:tc>
          <w:tcPr>
            <w:tcW w:w="4738" w:type="dxa"/>
            <w:vAlign w:val="center"/>
          </w:tcPr>
          <w:p>
            <w:pPr>
              <w:rPr>
                <w:rFonts w:ascii="仿宋_GB2312" w:hAnsi="仿宋_GB2312" w:eastAsia="仿宋_GB2312" w:cs="Times New Roman"/>
              </w:rPr>
            </w:pPr>
            <w:r>
              <w:rPr>
                <w:rFonts w:hint="eastAsia" w:ascii="仿宋_GB2312" w:hAnsi="仿宋_GB2312" w:eastAsia="仿宋_GB2312" w:cs="仿宋_GB2312"/>
              </w:rPr>
              <w:t>配合信息化智能康复系统，为有需求的老年人家庭提供相应助急服务。</w:t>
            </w:r>
          </w:p>
        </w:tc>
        <w:tc>
          <w:tcPr>
            <w:tcW w:w="2193" w:type="dxa"/>
            <w:vAlign w:val="center"/>
          </w:tcPr>
          <w:p>
            <w:pPr>
              <w:jc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小时</w:t>
            </w:r>
            <w:r>
              <w:rPr>
                <w:rFonts w:ascii="仿宋_GB2312" w:hAnsi="仿宋_GB2312" w:eastAsia="仿宋_GB2312" w:cs="仿宋_GB2312"/>
              </w:rPr>
              <w:t>/</w:t>
            </w:r>
            <w:r>
              <w:rPr>
                <w:rFonts w:hint="eastAsia" w:ascii="仿宋_GB2312" w:hAnsi="仿宋_GB2312" w:eastAsia="仿宋_GB2312" w:cs="仿宋_GB2312"/>
              </w:rPr>
              <w:t>次</w:t>
            </w:r>
          </w:p>
        </w:tc>
      </w:tr>
    </w:tbl>
    <w:p>
      <w:pPr>
        <w:rPr>
          <w:rFonts w:cs="Times New Roman"/>
        </w:rPr>
      </w:pPr>
    </w:p>
    <w:p>
      <w:pPr>
        <w:pStyle w:val="2"/>
        <w:spacing w:before="0" w:beforeAutospacing="0" w:line="560" w:lineRule="exact"/>
        <w:ind w:firstLine="0" w:firstLineChars="0"/>
        <w:rPr>
          <w:rFonts w:cs="Times New Roman"/>
        </w:rPr>
      </w:pPr>
    </w:p>
    <w:p>
      <w:pPr>
        <w:ind w:right="227" w:rightChars="108" w:firstLine="280" w:firstLineChars="100"/>
        <w:rPr>
          <w:rFonts w:ascii="仿宋_GB2312" w:hAnsi="Times New Roman" w:eastAsia="仿宋_GB2312" w:cs="Times New Roman"/>
          <w:sz w:val="28"/>
          <w:szCs w:val="28"/>
        </w:rPr>
        <w:sectPr>
          <w:footerReference r:id="rId6" w:type="default"/>
          <w:pgSz w:w="11906" w:h="16838"/>
          <w:pgMar w:top="1440" w:right="1633" w:bottom="1440" w:left="1633" w:header="851" w:footer="992" w:gutter="0"/>
          <w:pgNumType w:fmt="numberInDash"/>
          <w:cols w:space="425" w:num="1"/>
          <w:docGrid w:type="lines" w:linePitch="312" w:charSpace="0"/>
        </w:sectPr>
      </w:pPr>
    </w:p>
    <w:tbl>
      <w:tblPr>
        <w:tblStyle w:val="10"/>
        <w:tblpPr w:leftFromText="181" w:rightFromText="181" w:vertAnchor="page" w:horzAnchor="page" w:tblpX="1721" w:tblpY="13295"/>
        <w:tblOverlap w:val="never"/>
        <w:tblW w:w="0" w:type="auto"/>
        <w:tblInd w:w="0" w:type="dxa"/>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024"/>
        <w:gridCol w:w="4699"/>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473" w:hRule="atLeast"/>
        </w:trPr>
        <w:tc>
          <w:tcPr>
            <w:tcW w:w="8723" w:type="dxa"/>
            <w:gridSpan w:val="2"/>
            <w:tcBorders>
              <w:top w:val="single" w:color="auto" w:sz="12" w:space="0"/>
            </w:tcBorders>
          </w:tcPr>
          <w:p>
            <w:pPr>
              <w:ind w:right="227" w:rightChars="108" w:firstLine="280" w:firstLineChars="100"/>
              <w:rPr>
                <w:rFonts w:ascii="仿宋_GB2312" w:hAnsi="Times New Roman" w:eastAsia="仿宋_GB2312" w:cs="Times New Roman"/>
                <w:sz w:val="28"/>
                <w:szCs w:val="28"/>
              </w:rPr>
            </w:pPr>
            <w:r>
              <w:rPr>
                <w:rFonts w:hint="eastAsia" w:ascii="仿宋_GB2312" w:hAnsi="Times New Roman" w:eastAsia="仿宋_GB2312" w:cs="仿宋_GB2312"/>
                <w:sz w:val="28"/>
                <w:szCs w:val="28"/>
              </w:rPr>
              <w:t>抄送：县委办，县人大办，县政协办。</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490" w:hRule="atLeast"/>
        </w:trPr>
        <w:tc>
          <w:tcPr>
            <w:tcW w:w="4024" w:type="dxa"/>
          </w:tcPr>
          <w:p>
            <w:pPr>
              <w:ind w:firstLine="280" w:firstLineChars="100"/>
              <w:rPr>
                <w:rFonts w:ascii="仿宋_GB2312" w:hAnsi="Times New Roman" w:eastAsia="仿宋_GB2312" w:cs="Times New Roman"/>
                <w:sz w:val="28"/>
                <w:szCs w:val="28"/>
              </w:rPr>
            </w:pPr>
            <w:r>
              <w:rPr>
                <w:rFonts w:hint="eastAsia" w:ascii="仿宋_GB2312" w:hAnsi="Times New Roman" w:eastAsia="仿宋_GB2312" w:cs="仿宋_GB2312"/>
                <w:sz w:val="28"/>
                <w:szCs w:val="28"/>
              </w:rPr>
              <w:t>公开属性：主动公开</w:t>
            </w:r>
          </w:p>
        </w:tc>
        <w:tc>
          <w:tcPr>
            <w:tcW w:w="4699" w:type="dxa"/>
            <w:vAlign w:val="center"/>
          </w:tcPr>
          <w:p>
            <w:pPr>
              <w:ind w:right="227" w:rightChars="108" w:firstLine="280" w:firstLineChars="100"/>
              <w:jc w:val="center"/>
              <w:rPr>
                <w:rFonts w:ascii="仿宋_GB2312"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489" w:hRule="atLeast"/>
        </w:trPr>
        <w:tc>
          <w:tcPr>
            <w:tcW w:w="4024" w:type="dxa"/>
            <w:tcBorders>
              <w:bottom w:val="single" w:color="auto" w:sz="12" w:space="0"/>
            </w:tcBorders>
          </w:tcPr>
          <w:p>
            <w:pPr>
              <w:ind w:firstLine="280" w:firstLineChars="100"/>
              <w:rPr>
                <w:rFonts w:ascii="仿宋_GB2312" w:hAnsi="Times New Roman" w:eastAsia="仿宋_GB2312" w:cs="Times New Roman"/>
                <w:sz w:val="28"/>
                <w:szCs w:val="28"/>
              </w:rPr>
            </w:pPr>
            <w:r>
              <w:rPr>
                <w:rFonts w:hint="eastAsia" w:ascii="仿宋_GB2312" w:hAnsi="Times New Roman" w:eastAsia="仿宋_GB2312" w:cs="仿宋_GB2312"/>
                <w:sz w:val="28"/>
                <w:szCs w:val="28"/>
              </w:rPr>
              <w:t>高台县人民政府办公室</w:t>
            </w:r>
          </w:p>
        </w:tc>
        <w:tc>
          <w:tcPr>
            <w:tcW w:w="4699" w:type="dxa"/>
            <w:tcBorders>
              <w:bottom w:val="single" w:color="auto" w:sz="12" w:space="0"/>
            </w:tcBorders>
            <w:vAlign w:val="center"/>
          </w:tcPr>
          <w:p>
            <w:pPr>
              <w:ind w:right="227" w:rightChars="108" w:firstLine="280" w:firstLineChars="100"/>
              <w:jc w:val="right"/>
              <w:rPr>
                <w:rFonts w:ascii="仿宋_GB2312" w:hAnsi="Times New Roman" w:eastAsia="仿宋_GB2312" w:cs="Times New Roman"/>
                <w:sz w:val="28"/>
                <w:szCs w:val="28"/>
              </w:rPr>
            </w:pPr>
            <w:r>
              <w:rPr>
                <w:rFonts w:ascii="仿宋_GB2312" w:hAnsi="Times New Roman" w:eastAsia="仿宋_GB2312" w:cs="仿宋_GB2312"/>
                <w:sz w:val="28"/>
                <w:szCs w:val="28"/>
              </w:rPr>
              <w:t xml:space="preserve">     2022</w:t>
            </w:r>
            <w:r>
              <w:rPr>
                <w:rFonts w:hint="eastAsia" w:ascii="仿宋_GB2312" w:hAnsi="Times New Roman" w:eastAsia="仿宋_GB2312" w:cs="仿宋_GB2312"/>
                <w:sz w:val="28"/>
                <w:szCs w:val="28"/>
              </w:rPr>
              <w:t>年</w:t>
            </w:r>
            <w:r>
              <w:rPr>
                <w:rFonts w:ascii="仿宋_GB2312" w:hAnsi="Times New Roman" w:eastAsia="仿宋_GB2312" w:cs="仿宋_GB2312"/>
                <w:sz w:val="28"/>
                <w:szCs w:val="28"/>
              </w:rPr>
              <w:t>11</w:t>
            </w:r>
            <w:r>
              <w:rPr>
                <w:rFonts w:hint="eastAsia" w:ascii="仿宋_GB2312" w:hAnsi="Times New Roman" w:eastAsia="仿宋_GB2312" w:cs="仿宋_GB2312"/>
                <w:sz w:val="28"/>
                <w:szCs w:val="28"/>
              </w:rPr>
              <w:t>月</w:t>
            </w:r>
            <w:r>
              <w:rPr>
                <w:rFonts w:ascii="仿宋_GB2312" w:hAnsi="Times New Roman" w:eastAsia="仿宋_GB2312" w:cs="仿宋_GB2312"/>
                <w:sz w:val="28"/>
                <w:szCs w:val="28"/>
              </w:rPr>
              <w:t>15</w:t>
            </w:r>
            <w:r>
              <w:rPr>
                <w:rFonts w:hint="eastAsia" w:ascii="仿宋_GB2312" w:hAnsi="Times New Roman" w:eastAsia="仿宋_GB2312" w:cs="仿宋_GB2312"/>
                <w:sz w:val="28"/>
                <w:szCs w:val="28"/>
              </w:rPr>
              <w:t>日印发</w:t>
            </w:r>
          </w:p>
        </w:tc>
      </w:tr>
    </w:tbl>
    <w:p>
      <w:pPr>
        <w:pStyle w:val="2"/>
        <w:spacing w:before="0" w:beforeAutospacing="0" w:line="560" w:lineRule="exact"/>
        <w:ind w:firstLine="0" w:firstLineChars="0"/>
        <w:rPr>
          <w:rFonts w:cs="Times New Roma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cs="Times New Roman"/>
        <w:sz w:val="28"/>
        <w:szCs w:val="28"/>
      </w:rPr>
    </w:pPr>
    <w:r>
      <w:pict>
        <v:shape id="_x0000_s2049" o:spid="_x0000_s2049"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weight="0.5pt" joinstyle="miter"/>
          <v:imagedata o:title=""/>
          <o:lock v:ext="edit"/>
          <v:textbox inset="0mm,0mm,0mm,0mm" style="mso-fit-shape-to-text:t;">
            <w:txbxContent>
              <w:p>
                <w:pPr>
                  <w:pStyle w:val="6"/>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cs="Times New Roman"/>
        <w:sz w:val="28"/>
        <w:szCs w:val="28"/>
      </w:rPr>
    </w:pPr>
    <w:r>
      <w:pict>
        <v:shape id="_x0000_s2050" o:spid="_x0000_s205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weight="0.5pt" joinstyle="miter"/>
          <v:imagedata o:title=""/>
          <o:lock v:ext="edit"/>
          <v:textbox inset="0mm,0mm,0mm,0mm" style="mso-fit-shape-to-text:t;">
            <w:txbxContent>
              <w:p>
                <w:pPr>
                  <w:pStyle w:val="6"/>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- 15 -</w:t>
                </w:r>
                <w:r>
                  <w:rPr>
                    <w:rFonts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cs="Times New Roman"/>
        <w:sz w:val="28"/>
        <w:szCs w:val="28"/>
      </w:rPr>
    </w:pPr>
    <w:r>
      <w:pict>
        <v:shape id="_x0000_s2051" o:spid="_x0000_s2051"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0.5pt" joinstyle="miter"/>
          <v:imagedata o:title=""/>
          <o:lock v:ext="edit"/>
          <v:textbox inset="0mm,0mm,0mm,0mm" style="mso-fit-shape-to-text:t;">
            <w:txbxContent>
              <w:p>
                <w:pPr>
                  <w:pStyle w:val="6"/>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- 16 -</w:t>
                </w:r>
                <w:r>
                  <w:rPr>
                    <w:rFonts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cs="Times New Roman"/>
        <w:sz w:val="28"/>
        <w:szCs w:val="28"/>
      </w:rPr>
    </w:pPr>
    <w:r>
      <w:pict>
        <v:shape id="_x0000_s2052" o:spid="_x0000_s2052" o:spt="202" type="#_x0000_t202" style="position:absolute;left:0pt;margin-top:0pt;height:144pt;width:144pt;mso-position-horizontal:outside;mso-position-horizontal-relative:margin;mso-wrap-style:none;z-index:251672576;mso-width-relative:page;mso-height-relative:page;" filled="f" stroked="f" coordsize="21600,21600">
          <v:path/>
          <v:fill on="f" focussize="0,0"/>
          <v:stroke on="f" weight="0.5pt" joinstyle="miter"/>
          <v:imagedata o:title=""/>
          <o:lock v:ext="edit"/>
          <v:textbox inset="0mm,0mm,0mm,0mm" style="mso-fit-shape-to-text:t;">
            <w:txbxContent>
              <w:p>
                <w:pPr>
                  <w:pStyle w:val="6"/>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- 19 -</w:t>
                </w:r>
                <w:r>
                  <w:rPr>
                    <w:rFonts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72A85"/>
    <w:multiLevelType w:val="singleLevel"/>
    <w:tmpl w:val="D8872A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1" w:cryptProviderType="rsaFull" w:cryptAlgorithmClass="hash" w:cryptAlgorithmType="typeAny" w:cryptAlgorithmSid="4" w:cryptSpinCount="0" w:hash="JWYQr0nbWIg2oMimmHAXTFl2+u0=" w:salt="VTLO7tWiSnxboPNoGBzbDQ=="/>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VhOTJlOGU3ZGZhNzgzZmU2MjczYTM3ZWU3NmUwYTkifQ=="/>
  </w:docVars>
  <w:rsids>
    <w:rsidRoot w:val="51BD0FC3"/>
    <w:rsid w:val="0017537D"/>
    <w:rsid w:val="001F41B6"/>
    <w:rsid w:val="00211B9D"/>
    <w:rsid w:val="00290E9D"/>
    <w:rsid w:val="0041097C"/>
    <w:rsid w:val="005D147B"/>
    <w:rsid w:val="007535DE"/>
    <w:rsid w:val="007D4C49"/>
    <w:rsid w:val="0087084D"/>
    <w:rsid w:val="00C21BB6"/>
    <w:rsid w:val="03A79B2D"/>
    <w:rsid w:val="0ADD081A"/>
    <w:rsid w:val="0B043FF8"/>
    <w:rsid w:val="0D1B6BF4"/>
    <w:rsid w:val="0ECA57B2"/>
    <w:rsid w:val="142D486C"/>
    <w:rsid w:val="16CC3B78"/>
    <w:rsid w:val="1AEB6F83"/>
    <w:rsid w:val="1B244243"/>
    <w:rsid w:val="1CA1280A"/>
    <w:rsid w:val="20A9590B"/>
    <w:rsid w:val="20E91E77"/>
    <w:rsid w:val="218F1AAA"/>
    <w:rsid w:val="29C453CE"/>
    <w:rsid w:val="32FE2786"/>
    <w:rsid w:val="33482A24"/>
    <w:rsid w:val="38A261D7"/>
    <w:rsid w:val="398377B4"/>
    <w:rsid w:val="3D141F11"/>
    <w:rsid w:val="3FFFC275"/>
    <w:rsid w:val="4219793D"/>
    <w:rsid w:val="442D10FB"/>
    <w:rsid w:val="45D06734"/>
    <w:rsid w:val="4E035DB6"/>
    <w:rsid w:val="4F604851"/>
    <w:rsid w:val="51BD0FC3"/>
    <w:rsid w:val="545967DD"/>
    <w:rsid w:val="57E977C8"/>
    <w:rsid w:val="6CD14A94"/>
    <w:rsid w:val="6F37951A"/>
    <w:rsid w:val="6F7BD026"/>
    <w:rsid w:val="6FFF11F9"/>
    <w:rsid w:val="77FF1BA4"/>
    <w:rsid w:val="77FF5DF5"/>
    <w:rsid w:val="7A4468D0"/>
    <w:rsid w:val="7BD9CC3D"/>
    <w:rsid w:val="7DBF3FA9"/>
    <w:rsid w:val="7DBF5728"/>
    <w:rsid w:val="7DDF76DE"/>
    <w:rsid w:val="7DF737AD"/>
    <w:rsid w:val="7DFFE525"/>
    <w:rsid w:val="7E3B3C65"/>
    <w:rsid w:val="BDDF55CD"/>
    <w:rsid w:val="CF2078B9"/>
    <w:rsid w:val="CFEE37B1"/>
    <w:rsid w:val="DF779EB0"/>
    <w:rsid w:val="DFF962DE"/>
    <w:rsid w:val="F3FFD30F"/>
    <w:rsid w:val="F681B6FA"/>
    <w:rsid w:val="FDC352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uiPriority w:val="99"/>
    <w:pPr>
      <w:spacing w:before="100" w:beforeAutospacing="1" w:line="500" w:lineRule="exact"/>
      <w:ind w:firstLine="420" w:firstLineChars="200"/>
    </w:pPr>
    <w:rPr>
      <w:rFonts w:ascii="楷体_GB2312" w:hAnsi="宋体" w:eastAsia="楷体_GB2312" w:cs="楷体_GB2312"/>
    </w:rPr>
  </w:style>
  <w:style w:type="paragraph" w:styleId="3">
    <w:name w:val="Body Text Indent"/>
    <w:basedOn w:val="1"/>
    <w:link w:val="13"/>
    <w:uiPriority w:val="99"/>
    <w:pPr>
      <w:spacing w:line="660" w:lineRule="exact"/>
      <w:ind w:firstLine="707" w:firstLineChars="221"/>
    </w:pPr>
    <w:rPr>
      <w:rFonts w:eastAsia="黑体"/>
      <w:sz w:val="32"/>
      <w:szCs w:val="32"/>
    </w:rPr>
  </w:style>
  <w:style w:type="paragraph" w:styleId="4">
    <w:name w:val="Plain Text"/>
    <w:basedOn w:val="1"/>
    <w:link w:val="19"/>
    <w:qFormat/>
    <w:uiPriority w:val="99"/>
    <w:rPr>
      <w:rFonts w:ascii="宋体" w:hAnsi="Courier New" w:cs="宋体"/>
    </w:rPr>
  </w:style>
  <w:style w:type="paragraph" w:styleId="5">
    <w:name w:val="Date"/>
    <w:basedOn w:val="1"/>
    <w:next w:val="1"/>
    <w:link w:val="20"/>
    <w:qFormat/>
    <w:uiPriority w:val="99"/>
    <w:pPr>
      <w:ind w:left="100" w:leftChars="2500"/>
    </w:p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HTML Preformatted"/>
    <w:basedOn w:val="1"/>
    <w:link w:val="1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iPriority w:val="99"/>
    <w:pPr>
      <w:spacing w:beforeAutospacing="1" w:afterAutospacing="1"/>
      <w:jc w:val="left"/>
    </w:pPr>
    <w:rPr>
      <w:kern w:val="0"/>
      <w:sz w:val="24"/>
      <w:szCs w:val="24"/>
    </w:rPr>
  </w:style>
  <w:style w:type="table" w:styleId="11">
    <w:name w:val="Table Grid"/>
    <w:basedOn w:val="1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Body Text Indent Char"/>
    <w:basedOn w:val="12"/>
    <w:link w:val="3"/>
    <w:semiHidden/>
    <w:uiPriority w:val="99"/>
    <w:rPr>
      <w:rFonts w:ascii="Calibri" w:hAnsi="Calibri" w:cs="Calibri"/>
      <w:szCs w:val="21"/>
    </w:rPr>
  </w:style>
  <w:style w:type="character" w:customStyle="1" w:styleId="14">
    <w:name w:val="Body Text First Indent 2 Char"/>
    <w:basedOn w:val="13"/>
    <w:link w:val="2"/>
    <w:semiHidden/>
    <w:uiPriority w:val="99"/>
  </w:style>
  <w:style w:type="character" w:customStyle="1" w:styleId="15">
    <w:name w:val="Footer Char"/>
    <w:basedOn w:val="12"/>
    <w:link w:val="6"/>
    <w:semiHidden/>
    <w:uiPriority w:val="99"/>
    <w:rPr>
      <w:rFonts w:ascii="Calibri" w:hAnsi="Calibri" w:cs="Calibri"/>
      <w:sz w:val="18"/>
      <w:szCs w:val="18"/>
    </w:rPr>
  </w:style>
  <w:style w:type="character" w:customStyle="1" w:styleId="16">
    <w:name w:val="Header Char"/>
    <w:basedOn w:val="12"/>
    <w:link w:val="7"/>
    <w:semiHidden/>
    <w:uiPriority w:val="99"/>
    <w:rPr>
      <w:rFonts w:ascii="Calibri" w:hAnsi="Calibri" w:cs="Calibri"/>
      <w:sz w:val="18"/>
      <w:szCs w:val="18"/>
    </w:rPr>
  </w:style>
  <w:style w:type="character" w:customStyle="1" w:styleId="17">
    <w:name w:val="HTML Preformatted Char"/>
    <w:basedOn w:val="12"/>
    <w:link w:val="8"/>
    <w:semiHidden/>
    <w:uiPriority w:val="99"/>
    <w:rPr>
      <w:rFonts w:ascii="Courier New" w:hAnsi="Courier New" w:cs="Courier New"/>
      <w:sz w:val="20"/>
      <w:szCs w:val="20"/>
    </w:rPr>
  </w:style>
  <w:style w:type="character" w:customStyle="1" w:styleId="18">
    <w:name w:val="Plain Text Char"/>
    <w:basedOn w:val="12"/>
    <w:link w:val="4"/>
    <w:semiHidden/>
    <w:uiPriority w:val="99"/>
    <w:rPr>
      <w:rFonts w:ascii="宋体" w:hAnsi="Courier New" w:cs="Courier New"/>
      <w:szCs w:val="21"/>
    </w:rPr>
  </w:style>
  <w:style w:type="character" w:customStyle="1" w:styleId="19">
    <w:name w:val="Plain Text Char1"/>
    <w:basedOn w:val="12"/>
    <w:link w:val="4"/>
    <w:locked/>
    <w:uiPriority w:val="99"/>
    <w:rPr>
      <w:rFonts w:ascii="宋体" w:hAnsi="Courier New" w:eastAsia="宋体" w:cs="宋体"/>
      <w:kern w:val="2"/>
      <w:sz w:val="21"/>
      <w:szCs w:val="21"/>
      <w:lang w:val="en-US" w:eastAsia="zh-CN"/>
    </w:rPr>
  </w:style>
  <w:style w:type="character" w:customStyle="1" w:styleId="20">
    <w:name w:val="Date Char"/>
    <w:basedOn w:val="12"/>
    <w:link w:val="5"/>
    <w:semiHidden/>
    <w:uiPriority w:val="99"/>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8611</Words>
  <Characters>8771</Characters>
  <Lines>0</Lines>
  <Paragraphs>0</Paragraphs>
  <TotalTime>4</TotalTime>
  <ScaleCrop>false</ScaleCrop>
  <LinksUpToDate>false</LinksUpToDate>
  <CharactersWithSpaces>8918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2022-10-20T18:36:00Z</dcterms:created>
  <dc:creator>one piece</dc:creator>
  <cp:lastModifiedBy>演示</cp:lastModifiedBy>
  <cp:lastPrinted>2022-12-06T01:42:00Z</cp:lastPrinted>
  <dcterms:modified xsi:type="dcterms:W3CDTF">2023-02-03T01:19:51Z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8B1F0C360F6B483295F17CDBA5332A5A</vt:lpwstr>
  </property>
</Properties>
</file>