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474"/>
        </w:tabs>
        <w:spacing w:line="400" w:lineRule="exact"/>
        <w:ind w:leftChars="0" w:right="-145" w:rightChars="-69" w:firstLine="420" w:firstLineChars="200"/>
        <w:rPr>
          <w:rFonts w:ascii="楷体_GB2312" w:eastAsia="楷体_GB2312"/>
        </w:rPr>
      </w:pPr>
    </w:p>
    <w:p>
      <w:pPr>
        <w:pStyle w:val="4"/>
        <w:tabs>
          <w:tab w:val="left" w:pos="474"/>
        </w:tabs>
        <w:spacing w:line="400" w:lineRule="exact"/>
        <w:ind w:leftChars="0" w:right="-145" w:rightChars="-69" w:firstLine="388" w:firstLineChars="200"/>
        <w:rPr>
          <w:rFonts w:ascii="楷体_GB2312" w:eastAsia="楷体_GB2312"/>
          <w:spacing w:val="-8"/>
        </w:rPr>
      </w:pPr>
    </w:p>
    <w:p>
      <w:pPr>
        <w:pStyle w:val="4"/>
        <w:tabs>
          <w:tab w:val="left" w:pos="474"/>
        </w:tabs>
        <w:spacing w:line="400" w:lineRule="exact"/>
        <w:ind w:leftChars="0" w:right="-145" w:rightChars="-69" w:firstLine="388" w:firstLineChars="200"/>
        <w:rPr>
          <w:rFonts w:ascii="楷体_GB2312" w:eastAsia="楷体_GB2312"/>
          <w:spacing w:val="-8"/>
        </w:rPr>
      </w:pPr>
    </w:p>
    <w:p>
      <w:pPr>
        <w:pStyle w:val="5"/>
        <w:adjustRightInd w:val="0"/>
        <w:spacing w:line="1600" w:lineRule="exact"/>
        <w:ind w:right="-155" w:rightChars="-74"/>
        <w:jc w:val="center"/>
        <w:rPr>
          <w:rFonts w:ascii="仿宋_GB2312" w:eastAsia="仿宋_GB2312" w:cs="Times New Roman"/>
          <w:w w:val="80"/>
          <w:sz w:val="116"/>
          <w:szCs w:val="116"/>
        </w:rPr>
      </w:pPr>
      <w:r>
        <w:rPr>
          <w:rFonts w:hint="eastAsia" w:ascii="方正小标宋简体" w:eastAsia="方正小标宋简体" w:cs="方正小标宋简体"/>
          <w:color w:val="FF0000"/>
          <w:w w:val="80"/>
          <w:sz w:val="116"/>
          <w:szCs w:val="116"/>
        </w:rPr>
        <w:t>高台县人民政府文件</w:t>
      </w:r>
    </w:p>
    <w:p>
      <w:pPr>
        <w:tabs>
          <w:tab w:val="left" w:pos="474"/>
        </w:tabs>
        <w:spacing w:line="400" w:lineRule="exact"/>
        <w:jc w:val="center"/>
        <w:rPr>
          <w:rFonts w:ascii="仿宋_GB2312"/>
          <w:color w:val="000000"/>
        </w:rPr>
      </w:pPr>
    </w:p>
    <w:p>
      <w:pPr>
        <w:tabs>
          <w:tab w:val="left" w:pos="474"/>
        </w:tabs>
        <w:spacing w:line="400" w:lineRule="exact"/>
        <w:jc w:val="center"/>
        <w:rPr>
          <w:rFonts w:ascii="仿宋_GB2312"/>
          <w:color w:val="000000"/>
        </w:rPr>
      </w:pPr>
    </w:p>
    <w:p>
      <w:pPr>
        <w:pStyle w:val="19"/>
        <w:ind w:right="24" w:firstLine="0" w:firstLineChars="0"/>
        <w:jc w:val="center"/>
        <w:rPr>
          <w:rFonts w:cs="Times New Roman"/>
        </w:rPr>
      </w:pPr>
      <w:bookmarkStart w:id="1" w:name="_GoBack"/>
      <w:r>
        <w:rPr>
          <w:rFonts w:hint="eastAsia"/>
        </w:rPr>
        <w:t>高政发〔</w:t>
      </w:r>
      <w:r>
        <w:t>2022</w:t>
      </w:r>
      <w:r>
        <w:rPr>
          <w:rFonts w:hint="eastAsia"/>
        </w:rPr>
        <w:t>〕</w:t>
      </w:r>
      <w:r>
        <w:t>48</w:t>
      </w:r>
      <w:r>
        <w:rPr>
          <w:rFonts w:hint="eastAsia"/>
        </w:rPr>
        <w:t>号</w:t>
      </w:r>
    </w:p>
    <w:p>
      <w:pPr>
        <w:tabs>
          <w:tab w:val="left" w:pos="474"/>
        </w:tabs>
        <w:spacing w:line="20" w:lineRule="exact"/>
        <w:jc w:val="center"/>
        <w:rPr>
          <w:rFonts w:ascii="仿宋_GB2312"/>
          <w:color w:val="000000"/>
        </w:rPr>
      </w:pPr>
    </w:p>
    <w:p>
      <w:pPr>
        <w:spacing w:line="240" w:lineRule="exact"/>
        <w:ind w:firstLine="472" w:firstLineChars="225"/>
        <w:rPr>
          <w:rFonts w:ascii="楷体_GB2312" w:eastAsia="楷体_GB2312"/>
        </w:rPr>
      </w:pPr>
      <w: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85725</wp:posOffset>
                </wp:positionV>
                <wp:extent cx="5618480" cy="0"/>
                <wp:effectExtent l="0" t="13970" r="1270" b="24130"/>
                <wp:wrapNone/>
                <wp:docPr id="1" name="直线 2"/>
                <wp:cNvGraphicFramePr/>
                <a:graphic xmlns:a="http://schemas.openxmlformats.org/drawingml/2006/main">
                  <a:graphicData uri="http://schemas.microsoft.com/office/word/2010/wordprocessingShape">
                    <wps:wsp>
                      <wps:cNvSpPr/>
                      <wps:spPr>
                        <a:xfrm>
                          <a:off x="0" y="0"/>
                          <a:ext cx="56184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6.75pt;height:0pt;width:442.4pt;z-index:-251657216;mso-width-relative:page;mso-height-relative:page;" filled="f" stroked="t" coordsize="21600,21600" o:gfxdata="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ZtBsdQA&#10;AAAGAQAADwAAAAAAAAABACAAAAAiAAAAZHJzL2Rvd25yZXYueG1sUEsBAhQAFAAAAAgAh07iQD/9&#10;I8fqAQAA3AMAAA4AAAAAAAAAAQAgAAAAIwEAAGRycy9lMm9Eb2MueG1sUEsFBgAAAAAGAAYAWQEA&#10;AH8FAAAAAA==&#10;">
                <v:fill on="f" focussize="0,0"/>
                <v:stroke weight="2.25pt" color="#FF0000" joinstyle="round"/>
                <v:imagedata o:title=""/>
                <o:lock v:ext="edit" aspectratio="f"/>
              </v:line>
            </w:pict>
          </mc:Fallback>
        </mc:AlternateContent>
      </w:r>
    </w:p>
    <w:p>
      <w:pPr>
        <w:spacing w:line="500" w:lineRule="exact"/>
        <w:jc w:val="center"/>
        <w:rPr>
          <w:rFonts w:ascii="方正小标宋简体" w:eastAsia="方正小标宋简体"/>
          <w:color w:val="000000"/>
          <w:w w:val="80"/>
          <w:sz w:val="48"/>
          <w:szCs w:val="48"/>
        </w:rPr>
      </w:pPr>
    </w:p>
    <w:p>
      <w:pPr>
        <w:pStyle w:val="3"/>
        <w:spacing w:line="500" w:lineRule="exact"/>
        <w:ind w:left="31680"/>
        <w:rPr>
          <w:rFonts w:cs="Times New Roman"/>
        </w:rPr>
      </w:pPr>
    </w:p>
    <w:p>
      <w:pPr>
        <w:spacing w:line="62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高台县人民政府</w:t>
      </w:r>
    </w:p>
    <w:p>
      <w:pPr>
        <w:spacing w:line="600" w:lineRule="exact"/>
        <w:jc w:val="center"/>
        <w:rPr>
          <w:rFonts w:ascii="方正小标宋简体" w:eastAsia="方正小标宋简体"/>
          <w:color w:val="000000"/>
          <w:sz w:val="44"/>
          <w:szCs w:val="44"/>
        </w:rPr>
      </w:pPr>
      <w:r>
        <w:rPr>
          <w:rFonts w:hint="eastAsia" w:ascii="方正小标宋简体" w:hAnsi="???" w:eastAsia="方正小标宋简体" w:cs="方正小标宋简体"/>
          <w:kern w:val="0"/>
          <w:sz w:val="44"/>
          <w:szCs w:val="44"/>
        </w:rPr>
        <w:t>关于</w:t>
      </w:r>
      <w:r>
        <w:rPr>
          <w:rFonts w:hint="eastAsia" w:ascii="方正小标宋简体" w:eastAsia="方正小标宋简体" w:cs="方正小标宋简体"/>
          <w:sz w:val="44"/>
          <w:szCs w:val="44"/>
        </w:rPr>
        <w:t>印发</w:t>
      </w:r>
      <w:r>
        <w:rPr>
          <w:rFonts w:hint="eastAsia" w:ascii="方正小标宋简体" w:eastAsia="方正小标宋简体" w:cs="方正小标宋简体"/>
          <w:color w:val="000000"/>
          <w:sz w:val="44"/>
          <w:szCs w:val="44"/>
        </w:rPr>
        <w:t>高台县全民健身</w:t>
      </w:r>
    </w:p>
    <w:p>
      <w:pPr>
        <w:spacing w:line="60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实施计划（</w:t>
      </w:r>
      <w:r>
        <w:rPr>
          <w:rFonts w:ascii="方正小标宋简体" w:eastAsia="方正小标宋简体" w:cs="方正小标宋简体"/>
          <w:color w:val="000000"/>
          <w:sz w:val="44"/>
          <w:szCs w:val="44"/>
        </w:rPr>
        <w:t>2021</w:t>
      </w:r>
      <w:r>
        <w:rPr>
          <w:rFonts w:ascii="方正小标宋简体" w:eastAsia="方正小标宋简体"/>
          <w:color w:val="000000"/>
          <w:sz w:val="44"/>
          <w:szCs w:val="44"/>
        </w:rPr>
        <w:t>—</w:t>
      </w:r>
      <w:r>
        <w:rPr>
          <w:rFonts w:ascii="方正小标宋简体" w:eastAsia="方正小标宋简体" w:cs="方正小标宋简体"/>
          <w:color w:val="000000"/>
          <w:sz w:val="44"/>
          <w:szCs w:val="44"/>
        </w:rPr>
        <w:t>2025</w:t>
      </w:r>
      <w:r>
        <w:rPr>
          <w:rFonts w:hint="eastAsia" w:ascii="方正小标宋简体" w:eastAsia="方正小标宋简体" w:cs="方正小标宋简体"/>
          <w:color w:val="000000"/>
          <w:sz w:val="44"/>
          <w:szCs w:val="44"/>
        </w:rPr>
        <w:t>年）</w:t>
      </w:r>
      <w:r>
        <w:rPr>
          <w:rFonts w:hint="eastAsia" w:ascii="方正小标宋简体" w:eastAsia="方正小标宋简体" w:cs="方正小标宋简体"/>
          <w:sz w:val="44"/>
          <w:szCs w:val="44"/>
        </w:rPr>
        <w:t>的通知</w:t>
      </w:r>
    </w:p>
    <w:p>
      <w:pPr>
        <w:widowControl/>
        <w:spacing w:line="700" w:lineRule="exact"/>
        <w:rPr>
          <w:kern w:val="0"/>
          <w:sz w:val="32"/>
          <w:szCs w:val="32"/>
        </w:rPr>
      </w:pPr>
    </w:p>
    <w:p>
      <w:pPr>
        <w:spacing w:line="560" w:lineRule="exact"/>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各镇人民政府，县政府各部门，省市驻高各单位：</w:t>
      </w:r>
    </w:p>
    <w:p>
      <w:pPr>
        <w:spacing w:line="560" w:lineRule="exact"/>
        <w:ind w:firstLine="640" w:firstLineChars="200"/>
        <w:jc w:val="left"/>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《高台县全民健身实施计划（</w:t>
      </w:r>
      <w:r>
        <w:rPr>
          <w:rFonts w:ascii="仿宋_GB2312" w:hAnsi="仿宋_GB2312" w:eastAsia="仿宋_GB2312" w:cs="仿宋_GB2312"/>
          <w:color w:val="000000"/>
          <w:sz w:val="32"/>
          <w:szCs w:val="32"/>
        </w:rPr>
        <w:t>2021—2025</w:t>
      </w:r>
      <w:r>
        <w:rPr>
          <w:rFonts w:hint="eastAsia" w:ascii="仿宋_GB2312" w:hAnsi="仿宋_GB2312" w:eastAsia="仿宋_GB2312" w:cs="仿宋_GB2312"/>
          <w:color w:val="000000"/>
          <w:sz w:val="32"/>
          <w:szCs w:val="32"/>
        </w:rPr>
        <w:t>年）》已经县政府同意，现印发你们，请结合各自实际，认真抓好组织实施。</w:t>
      </w:r>
    </w:p>
    <w:p>
      <w:pPr>
        <w:ind w:firstLine="645"/>
        <w:rPr>
          <w:rFonts w:ascii="仿宋_GB2312" w:eastAsia="仿宋_GB2312"/>
          <w:sz w:val="32"/>
          <w:szCs w:val="32"/>
        </w:rPr>
      </w:pPr>
    </w:p>
    <w:p>
      <w:pPr>
        <w:ind w:firstLine="645"/>
        <w:rPr>
          <w:rFonts w:ascii="仿宋_GB2312" w:eastAsia="仿宋_GB2312"/>
          <w:sz w:val="32"/>
          <w:szCs w:val="32"/>
        </w:rPr>
      </w:pPr>
    </w:p>
    <w:p>
      <w:pPr>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高台县人民政府</w:t>
      </w:r>
    </w:p>
    <w:p>
      <w:pPr>
        <w:spacing w:line="540" w:lineRule="exact"/>
        <w:rPr>
          <w:rFonts w:ascii="仿宋_GB2312" w:eastAsia="仿宋_GB2312"/>
          <w:sz w:val="32"/>
          <w:szCs w:val="32"/>
        </w:rPr>
      </w:pPr>
      <w:r>
        <w:rPr>
          <w:rFonts w:ascii="仿宋_GB2312" w:eastAsia="仿宋_GB2312" w:cs="仿宋_GB2312"/>
          <w:sz w:val="32"/>
          <w:szCs w:val="32"/>
        </w:rPr>
        <w:t xml:space="preserve">                                2022</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25</w:t>
      </w:r>
      <w:r>
        <w:rPr>
          <w:rFonts w:hint="eastAsia" w:ascii="仿宋_GB2312" w:eastAsia="仿宋_GB2312" w:cs="仿宋_GB2312"/>
          <w:sz w:val="32"/>
          <w:szCs w:val="32"/>
        </w:rPr>
        <w:t>日</w:t>
      </w:r>
    </w:p>
    <w:p>
      <w:pPr>
        <w:spacing w:line="560" w:lineRule="exact"/>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高台县全民健身实施计划（</w:t>
      </w:r>
      <w:r>
        <w:rPr>
          <w:rFonts w:ascii="方正小标宋简体" w:eastAsia="方正小标宋简体" w:cs="方正小标宋简体"/>
          <w:sz w:val="44"/>
          <w:szCs w:val="44"/>
        </w:rPr>
        <w:t>2021</w:t>
      </w:r>
      <w:r>
        <w:rPr>
          <w:rFonts w:ascii="方正小标宋简体" w:eastAsia="方正小标宋简体"/>
          <w:sz w:val="44"/>
          <w:szCs w:val="44"/>
        </w:rPr>
        <w:t>—</w:t>
      </w:r>
      <w:r>
        <w:rPr>
          <w:rFonts w:ascii="方正小标宋简体" w:eastAsia="方正小标宋简体" w:cs="方正小标宋简体"/>
          <w:sz w:val="44"/>
          <w:szCs w:val="44"/>
        </w:rPr>
        <w:t>2025</w:t>
      </w:r>
      <w:r>
        <w:rPr>
          <w:rFonts w:hint="eastAsia" w:ascii="方正小标宋简体" w:eastAsia="方正小标宋简体" w:cs="方正小标宋简体"/>
          <w:sz w:val="44"/>
          <w:szCs w:val="44"/>
        </w:rPr>
        <w:t>年）</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为贯彻落实全民健身国家战略，加快构建更高水平全民健身公共服务体系，更好满足人民群众日益增长的多元健身和健康需求，根据《甘肃省人民政府关于印发甘肃省全民健身实施计划（</w:t>
      </w:r>
      <w:r>
        <w:rPr>
          <w:rFonts w:ascii="仿宋_GB2312" w:eastAsia="仿宋_GB2312" w:cs="仿宋_GB2312"/>
          <w:sz w:val="32"/>
          <w:szCs w:val="32"/>
        </w:rPr>
        <w:t>2021</w:t>
      </w:r>
      <w:r>
        <w:rPr>
          <w:rFonts w:ascii="仿宋_GB2312" w:eastAsia="仿宋_GB2312"/>
          <w:sz w:val="32"/>
          <w:szCs w:val="32"/>
        </w:rPr>
        <w:t>—</w:t>
      </w:r>
      <w:r>
        <w:rPr>
          <w:rFonts w:ascii="仿宋_GB2312" w:eastAsia="仿宋_GB2312" w:cs="仿宋_GB2312"/>
          <w:sz w:val="32"/>
          <w:szCs w:val="32"/>
        </w:rPr>
        <w:t>2025</w:t>
      </w:r>
      <w:r>
        <w:rPr>
          <w:rFonts w:hint="eastAsia" w:ascii="仿宋_GB2312" w:eastAsia="仿宋_GB2312" w:cs="仿宋_GB2312"/>
          <w:sz w:val="32"/>
          <w:szCs w:val="32"/>
        </w:rPr>
        <w:t>年）的通知》（甘政发〔</w:t>
      </w:r>
      <w:r>
        <w:rPr>
          <w:rFonts w:ascii="仿宋_GB2312" w:eastAsia="仿宋_GB2312" w:cs="仿宋_GB2312"/>
          <w:sz w:val="32"/>
          <w:szCs w:val="32"/>
        </w:rPr>
        <w:t>2021</w:t>
      </w:r>
      <w:r>
        <w:rPr>
          <w:rFonts w:hint="eastAsia" w:ascii="仿宋_GB2312" w:eastAsia="仿宋_GB2312" w:cs="仿宋_GB2312"/>
          <w:sz w:val="32"/>
          <w:szCs w:val="32"/>
        </w:rPr>
        <w:t>〕</w:t>
      </w:r>
      <w:r>
        <w:rPr>
          <w:rFonts w:ascii="仿宋_GB2312" w:eastAsia="仿宋_GB2312" w:cs="仿宋_GB2312"/>
          <w:sz w:val="32"/>
          <w:szCs w:val="32"/>
        </w:rPr>
        <w:t>92</w:t>
      </w:r>
      <w:r>
        <w:rPr>
          <w:rFonts w:hint="eastAsia" w:ascii="仿宋_GB2312" w:eastAsia="仿宋_GB2312" w:cs="仿宋_GB2312"/>
          <w:sz w:val="32"/>
          <w:szCs w:val="32"/>
        </w:rPr>
        <w:t>号）和《张掖市全民健身实施计划（</w:t>
      </w:r>
      <w:r>
        <w:rPr>
          <w:rFonts w:ascii="仿宋_GB2312" w:eastAsia="仿宋_GB2312" w:cs="仿宋_GB2312"/>
          <w:sz w:val="32"/>
          <w:szCs w:val="32"/>
        </w:rPr>
        <w:t>2021</w:t>
      </w:r>
      <w:r>
        <w:rPr>
          <w:rFonts w:ascii="仿宋_GB2312" w:eastAsia="仿宋_GB2312"/>
          <w:sz w:val="32"/>
          <w:szCs w:val="32"/>
        </w:rPr>
        <w:t>—</w:t>
      </w:r>
      <w:r>
        <w:rPr>
          <w:rFonts w:ascii="仿宋_GB2312" w:eastAsia="仿宋_GB2312" w:cs="仿宋_GB2312"/>
          <w:sz w:val="32"/>
          <w:szCs w:val="32"/>
        </w:rPr>
        <w:t>2025</w:t>
      </w:r>
      <w:r>
        <w:rPr>
          <w:rFonts w:hint="eastAsia" w:ascii="仿宋_GB2312" w:eastAsia="仿宋_GB2312" w:cs="仿宋_GB2312"/>
          <w:sz w:val="32"/>
          <w:szCs w:val="32"/>
        </w:rPr>
        <w:t>年）》（张政发〔</w:t>
      </w:r>
      <w:r>
        <w:rPr>
          <w:rFonts w:ascii="仿宋_GB2312" w:eastAsia="仿宋_GB2312" w:cs="仿宋_GB2312"/>
          <w:sz w:val="32"/>
          <w:szCs w:val="32"/>
        </w:rPr>
        <w:t>2022</w:t>
      </w:r>
      <w:r>
        <w:rPr>
          <w:rFonts w:hint="eastAsia" w:ascii="仿宋_GB2312" w:eastAsia="仿宋_GB2312" w:cs="仿宋_GB2312"/>
          <w:sz w:val="32"/>
          <w:szCs w:val="32"/>
        </w:rPr>
        <w:t>〕</w:t>
      </w:r>
      <w:r>
        <w:rPr>
          <w:rFonts w:ascii="仿宋_GB2312" w:eastAsia="仿宋_GB2312" w:cs="仿宋_GB2312"/>
          <w:sz w:val="32"/>
          <w:szCs w:val="32"/>
        </w:rPr>
        <w:t>31</w:t>
      </w:r>
      <w:r>
        <w:rPr>
          <w:rFonts w:hint="eastAsia" w:ascii="仿宋_GB2312" w:eastAsia="仿宋_GB2312" w:cs="仿宋_GB2312"/>
          <w:sz w:val="32"/>
          <w:szCs w:val="32"/>
        </w:rPr>
        <w:t>号），结合我县实际，制定本实施计划。</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一、指导思想</w:t>
      </w:r>
    </w:p>
    <w:p>
      <w:pPr>
        <w:spacing w:line="560" w:lineRule="exact"/>
        <w:ind w:firstLine="640" w:firstLineChars="200"/>
        <w:rPr>
          <w:rFonts w:ascii="仿宋_GB2312" w:hAnsi="仿宋_GB2312" w:eastAsia="仿宋_GB2312"/>
          <w:sz w:val="32"/>
          <w:szCs w:val="32"/>
        </w:rPr>
      </w:pPr>
      <w:r>
        <w:rPr>
          <w:rFonts w:hint="eastAsia" w:ascii="仿宋_GB2312" w:eastAsia="仿宋_GB2312" w:cs="仿宋_GB2312"/>
          <w:sz w:val="32"/>
          <w:szCs w:val="32"/>
        </w:rPr>
        <w:t>以习近平新时代中国特色社会主义思想为指导，全面贯彻党的十九大和十九届历次全会精神，深入贯彻落实习近平总书记关于全民健身工作的重要论述，全面贯彻新发展理念，构建新发展格局，</w:t>
      </w:r>
      <w:r>
        <w:rPr>
          <w:rFonts w:hint="eastAsia" w:ascii="仿宋_GB2312" w:hAnsi="仿宋_GB2312" w:eastAsia="仿宋_GB2312" w:cs="仿宋_GB2312"/>
          <w:sz w:val="32"/>
          <w:szCs w:val="32"/>
        </w:rPr>
        <w:t>以满足人民群众对美好生活的向往为目标，以构建更高水平全民健身公共服务体系</w:t>
      </w:r>
      <w:r>
        <w:rPr>
          <w:rFonts w:hint="eastAsia" w:ascii="仿宋_GB2312" w:eastAsia="仿宋_GB2312" w:cs="仿宋_GB2312"/>
          <w:sz w:val="32"/>
          <w:szCs w:val="32"/>
        </w:rPr>
        <w:t>为核心，以“打造红色文化名城，建设绿色生态家园”为抓手，全面落实全民健身国家战略，全方位推进全民健身工作高质量发展，努力实现全</w:t>
      </w:r>
      <w:r>
        <w:rPr>
          <w:rFonts w:hint="eastAsia" w:ascii="仿宋_GB2312" w:hAnsi="仿宋_GB2312" w:eastAsia="仿宋_GB2312" w:cs="仿宋_GB2312"/>
          <w:sz w:val="32"/>
          <w:szCs w:val="32"/>
        </w:rPr>
        <w:t>民健身共建共治共享，为加快建设幸福美好新高台贡献力量。</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二、发展目标</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到</w:t>
      </w:r>
      <w:r>
        <w:rPr>
          <w:rFonts w:ascii="仿宋_GB2312" w:eastAsia="仿宋_GB2312" w:cs="仿宋_GB2312"/>
          <w:sz w:val="32"/>
          <w:szCs w:val="32"/>
        </w:rPr>
        <w:t>2025</w:t>
      </w:r>
      <w:r>
        <w:rPr>
          <w:rFonts w:hint="eastAsia" w:ascii="仿宋_GB2312" w:eastAsia="仿宋_GB2312" w:cs="仿宋_GB2312"/>
          <w:sz w:val="32"/>
          <w:szCs w:val="32"/>
        </w:rPr>
        <w:t>年，全县人民群众的体育健身素养和体质健康水平持续提高，全民健身公共服务体系更加完善，全民健身场地设施规划布局更加合理，科学健身指导服务更加丰富，群众健身更加便利，人民群众参与体育健身的获得感、幸福感进一步提高。经常参加体育锻炼的人数达到</w:t>
      </w:r>
      <w:r>
        <w:rPr>
          <w:rFonts w:ascii="仿宋_GB2312" w:eastAsia="仿宋_GB2312" w:cs="仿宋_GB2312"/>
          <w:sz w:val="32"/>
          <w:szCs w:val="32"/>
        </w:rPr>
        <w:t>38.5%</w:t>
      </w:r>
      <w:r>
        <w:rPr>
          <w:rFonts w:hint="eastAsia" w:ascii="仿宋_GB2312" w:eastAsia="仿宋_GB2312" w:cs="仿宋_GB2312"/>
          <w:sz w:val="32"/>
          <w:szCs w:val="32"/>
        </w:rPr>
        <w:t>以上，国民体质监测合格率达到</w:t>
      </w:r>
      <w:r>
        <w:rPr>
          <w:rFonts w:ascii="仿宋_GB2312" w:eastAsia="仿宋_GB2312" w:cs="仿宋_GB2312"/>
          <w:sz w:val="32"/>
          <w:szCs w:val="32"/>
        </w:rPr>
        <w:t>92%</w:t>
      </w:r>
      <w:r>
        <w:rPr>
          <w:rFonts w:hint="eastAsia" w:ascii="仿宋_GB2312" w:eastAsia="仿宋_GB2312" w:cs="仿宋_GB2312"/>
          <w:sz w:val="32"/>
          <w:szCs w:val="32"/>
        </w:rPr>
        <w:t>以上；行政村公共体育设施和城镇社区“</w:t>
      </w:r>
      <w:r>
        <w:rPr>
          <w:rFonts w:ascii="仿宋_GB2312" w:eastAsia="仿宋_GB2312" w:cs="仿宋_GB2312"/>
          <w:sz w:val="32"/>
          <w:szCs w:val="32"/>
        </w:rPr>
        <w:t>15</w:t>
      </w:r>
      <w:r>
        <w:rPr>
          <w:rFonts w:hint="eastAsia" w:ascii="仿宋_GB2312" w:eastAsia="仿宋_GB2312" w:cs="仿宋_GB2312"/>
          <w:sz w:val="32"/>
          <w:szCs w:val="32"/>
        </w:rPr>
        <w:t>分钟健身圈”基本实现全覆盖，人均体育场地面积达到</w:t>
      </w:r>
      <w:r>
        <w:rPr>
          <w:rFonts w:ascii="仿宋_GB2312" w:eastAsia="仿宋_GB2312" w:cs="仿宋_GB2312"/>
          <w:sz w:val="32"/>
          <w:szCs w:val="32"/>
        </w:rPr>
        <w:t>2.75</w:t>
      </w:r>
      <w:r>
        <w:rPr>
          <w:rFonts w:hint="eastAsia" w:ascii="仿宋_GB2312" w:eastAsia="仿宋_GB2312" w:cs="仿宋_GB2312"/>
          <w:sz w:val="32"/>
          <w:szCs w:val="32"/>
        </w:rPr>
        <w:t>平方米以上，每千人拥有社会体育指导员</w:t>
      </w:r>
      <w:r>
        <w:rPr>
          <w:rFonts w:ascii="仿宋_GB2312" w:eastAsia="仿宋_GB2312" w:cs="仿宋_GB2312"/>
          <w:sz w:val="32"/>
          <w:szCs w:val="32"/>
        </w:rPr>
        <w:t>3</w:t>
      </w:r>
      <w:r>
        <w:rPr>
          <w:rFonts w:hint="eastAsia" w:ascii="仿宋_GB2312" w:eastAsia="仿宋_GB2312" w:cs="仿宋_GB2312"/>
          <w:sz w:val="32"/>
          <w:szCs w:val="32"/>
        </w:rPr>
        <w:t>人。</w:t>
      </w:r>
    </w:p>
    <w:p>
      <w:pPr>
        <w:spacing w:line="560" w:lineRule="exact"/>
        <w:ind w:firstLine="640" w:firstLineChars="200"/>
        <w:rPr>
          <w:rFonts w:ascii="黑体" w:hAnsi="黑体" w:eastAsia="黑体"/>
          <w:sz w:val="32"/>
          <w:szCs w:val="32"/>
        </w:rPr>
      </w:pPr>
      <w:r>
        <w:rPr>
          <w:rFonts w:hint="eastAsia" w:ascii="黑体" w:hAnsi="黑体" w:eastAsia="黑体" w:cs="黑体"/>
          <w:sz w:val="32"/>
          <w:szCs w:val="32"/>
        </w:rPr>
        <w:t>三、主要任务</w:t>
      </w:r>
    </w:p>
    <w:p>
      <w:pPr>
        <w:pStyle w:val="9"/>
        <w:spacing w:line="560" w:lineRule="exact"/>
        <w:ind w:left="0" w:leftChars="0" w:firstLine="630" w:firstLineChars="0"/>
        <w:rPr>
          <w:rFonts w:ascii="楷体_GB2312" w:eastAsia="楷体_GB2312"/>
          <w:b/>
          <w:bCs/>
          <w:sz w:val="32"/>
          <w:szCs w:val="32"/>
        </w:rPr>
      </w:pPr>
      <w:r>
        <w:rPr>
          <w:rFonts w:hint="eastAsia" w:ascii="楷体_GB2312" w:eastAsia="楷体_GB2312" w:cs="楷体_GB2312"/>
          <w:b/>
          <w:bCs/>
          <w:sz w:val="32"/>
          <w:szCs w:val="32"/>
        </w:rPr>
        <w:t>（一）建设更加便利的全民健身场地设施</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开展全民健身设施建设补短板五年行动。</w:t>
      </w:r>
      <w:r>
        <w:rPr>
          <w:rFonts w:hint="eastAsia" w:ascii="仿宋_GB2312" w:eastAsia="仿宋_GB2312" w:cs="仿宋_GB2312"/>
          <w:sz w:val="32"/>
          <w:szCs w:val="32"/>
        </w:rPr>
        <w:t>加快完善全民健身场地设施总体规划，统筹安排、合理布局全民健身场地设施建设选址，因地制宜补足城镇全民健身场地设施短板。支持有条件的镇及社区建设全民健身中心，鼓励共建共享共用，避免重复建设和资源浪费。新建或改扩建一批多功能运动场、健身步道、健身广场、智能健身路径等健身设施。加快推进高台县城关全民健身中心、高台县月牙湖体育公园全民健身运动场（滑冰场）等重点体育项目建设。</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调动各方资源参与健身场地设施建设。</w:t>
      </w:r>
      <w:r>
        <w:rPr>
          <w:rFonts w:hint="eastAsia" w:ascii="仿宋_GB2312" w:eastAsia="仿宋_GB2312" w:cs="仿宋_GB2312"/>
          <w:sz w:val="32"/>
          <w:szCs w:val="32"/>
        </w:rPr>
        <w:t>盘活城镇空闲用地、公益性用地，支持以租赁方式供地，鼓励复合用地，规划建设贴近社区、方便可达的场地设施。鼓励利用城镇空闲地、边角地、公园空地等空间资源建设三人篮球、非标准足球场、晨晚练点等场地设施。依托自然资源特色、城镇更新等，建设与城镇功能相融合的城市绿道、健身步道、自行车道等休闲步道网络体系。鼓励社会资本加大户外运动营地、冰雪场地等体育设施建设。城镇新建社区和居住区要严格按照“室内人均建筑面积不低于</w:t>
      </w:r>
      <w:r>
        <w:rPr>
          <w:rFonts w:ascii="仿宋_GB2312" w:eastAsia="仿宋_GB2312" w:cs="仿宋_GB2312"/>
          <w:sz w:val="32"/>
          <w:szCs w:val="32"/>
        </w:rPr>
        <w:t>0.1</w:t>
      </w:r>
      <w:r>
        <w:rPr>
          <w:rFonts w:hint="eastAsia" w:ascii="仿宋_GB2312" w:eastAsia="仿宋_GB2312" w:cs="仿宋_GB2312"/>
          <w:sz w:val="32"/>
          <w:szCs w:val="32"/>
        </w:rPr>
        <w:t>平方米或室外人均用地不低于</w:t>
      </w:r>
      <w:r>
        <w:rPr>
          <w:rFonts w:ascii="仿宋_GB2312" w:eastAsia="仿宋_GB2312" w:cs="仿宋_GB2312"/>
          <w:sz w:val="32"/>
          <w:szCs w:val="32"/>
        </w:rPr>
        <w:t>0.3</w:t>
      </w:r>
      <w:r>
        <w:rPr>
          <w:rFonts w:hint="eastAsia" w:ascii="仿宋_GB2312" w:eastAsia="仿宋_GB2312" w:cs="仿宋_GB2312"/>
          <w:sz w:val="32"/>
          <w:szCs w:val="32"/>
        </w:rPr>
        <w:t>平方米”的标准配建全民健身场地设施。</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完善公共体育场馆运营管理服务机制。</w:t>
      </w:r>
      <w:r>
        <w:rPr>
          <w:rFonts w:hint="eastAsia" w:ascii="仿宋_GB2312" w:eastAsia="仿宋_GB2312" w:cs="仿宋_GB2312"/>
          <w:sz w:val="32"/>
          <w:szCs w:val="32"/>
        </w:rPr>
        <w:t>加快推进体育场馆设施智慧化建设和改造，加强对公共体育场馆开放使用和运营管理的评估督导。做好体育场馆在重大疫情防控、应急避难（险）时的功能转换预案，提升场馆使用效益。落实公共体育场馆免费或低收费开放补助政策，每年免费或低收费开放不少于</w:t>
      </w:r>
      <w:r>
        <w:rPr>
          <w:rFonts w:ascii="仿宋_GB2312" w:eastAsia="仿宋_GB2312" w:cs="仿宋_GB2312"/>
          <w:sz w:val="32"/>
          <w:szCs w:val="32"/>
        </w:rPr>
        <w:t>330</w:t>
      </w:r>
      <w:r>
        <w:rPr>
          <w:rFonts w:hint="eastAsia" w:ascii="仿宋_GB2312" w:eastAsia="仿宋_GB2312" w:cs="仿宋_GB2312"/>
          <w:sz w:val="32"/>
          <w:szCs w:val="32"/>
        </w:rPr>
        <w:t>天，加大向青少年、老年人、残疾人开放的绩效考核激励力度，提高适老化程度，全面提升全民健身场地设施服务功能。落实疫情防控措施，推动有条件的机关、企事业单位和学校体育场馆安全有序向社会开放，鼓励委托专业机构集中运营符合对外开放条件的学校体育场地，鼓励社会力量承接公共体育场馆的运营管理。</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（二）组织更加丰富的全民健身赛事活动</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持续开展主题示范赛事活动。</w:t>
      </w:r>
      <w:r>
        <w:rPr>
          <w:rFonts w:hint="eastAsia" w:ascii="仿宋_GB2312" w:eastAsia="仿宋_GB2312" w:cs="仿宋_GB2312"/>
          <w:sz w:val="32"/>
          <w:szCs w:val="32"/>
        </w:rPr>
        <w:t>以全民健身日、中国农民丰收节、群众冬季运动推广普及月等重要时间节点为主题，</w:t>
      </w:r>
      <w:r>
        <w:rPr>
          <w:rFonts w:hint="eastAsia" w:ascii="仿宋_GB2312" w:hAnsi="仿宋_GB2312" w:eastAsia="仿宋_GB2312" w:cs="仿宋_GB2312"/>
          <w:sz w:val="32"/>
          <w:szCs w:val="32"/>
        </w:rPr>
        <w:t>组织开展形式多样、贴近生活、方便参与的展示展演、比赛交流、辅导培训等体育活动，</w:t>
      </w:r>
      <w:r>
        <w:rPr>
          <w:rFonts w:hint="eastAsia" w:ascii="仿宋_GB2312" w:eastAsia="仿宋_GB2312" w:cs="仿宋_GB2312"/>
          <w:sz w:val="32"/>
          <w:szCs w:val="32"/>
        </w:rPr>
        <w:t>丰富群众节庆体育生活。</w:t>
      </w:r>
    </w:p>
    <w:p>
      <w:pPr>
        <w:spacing w:line="560" w:lineRule="exact"/>
        <w:ind w:firstLine="643" w:firstLineChars="200"/>
        <w:rPr>
          <w:rFonts w:ascii="仿宋_GB2312" w:hAnsi="宋体"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全力打造品牌健身赛事活动。</w:t>
      </w:r>
      <w:r>
        <w:rPr>
          <w:rFonts w:hint="eastAsia" w:ascii="仿宋_GB2312" w:hAnsi="宋体" w:eastAsia="仿宋_GB2312" w:cs="仿宋_GB2312"/>
          <w:sz w:val="32"/>
          <w:szCs w:val="32"/>
        </w:rPr>
        <w:t>依托高台地域文化和自然资源，打造一批具有本地特色的体育品牌赛事活动，实现具有</w:t>
      </w:r>
      <w:r>
        <w:rPr>
          <w:rFonts w:ascii="仿宋_GB2312" w:hAnsi="宋体" w:eastAsia="仿宋_GB2312" w:cs="仿宋_GB2312"/>
          <w:sz w:val="32"/>
          <w:szCs w:val="32"/>
        </w:rPr>
        <w:t>1-2</w:t>
      </w:r>
      <w:r>
        <w:rPr>
          <w:rFonts w:hint="eastAsia" w:ascii="仿宋_GB2312" w:hAnsi="宋体" w:eastAsia="仿宋_GB2312" w:cs="仿宋_GB2312"/>
          <w:sz w:val="32"/>
          <w:szCs w:val="32"/>
        </w:rPr>
        <w:t>个省市级特色体育品牌赛事，每个镇和社区（行政村）形成</w:t>
      </w:r>
      <w:r>
        <w:rPr>
          <w:rFonts w:ascii="仿宋_GB2312" w:hAnsi="宋体" w:eastAsia="仿宋_GB2312" w:cs="仿宋_GB2312"/>
          <w:sz w:val="32"/>
          <w:szCs w:val="32"/>
        </w:rPr>
        <w:t>1</w:t>
      </w:r>
      <w:r>
        <w:rPr>
          <w:rFonts w:hint="eastAsia" w:ascii="仿宋_GB2312" w:hAnsi="宋体" w:eastAsia="仿宋_GB2312" w:cs="仿宋_GB2312"/>
          <w:sz w:val="32"/>
          <w:szCs w:val="32"/>
        </w:rPr>
        <w:t>项固定体育赛事活动</w:t>
      </w:r>
      <w:r>
        <w:rPr>
          <w:rFonts w:hint="eastAsia" w:ascii="仿宋_GB2312" w:eastAsia="仿宋_GB2312" w:cs="仿宋_GB2312"/>
          <w:sz w:val="32"/>
          <w:szCs w:val="32"/>
        </w:rPr>
        <w:t>的发展格局。</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积极组织民俗民间赛事活动。</w:t>
      </w:r>
      <w:r>
        <w:rPr>
          <w:rFonts w:hint="eastAsia" w:ascii="仿宋_GB2312" w:eastAsia="仿宋_GB2312" w:cs="仿宋_GB2312"/>
          <w:sz w:val="32"/>
          <w:szCs w:val="32"/>
        </w:rPr>
        <w:t>结合实际</w:t>
      </w:r>
      <w:r>
        <w:rPr>
          <w:rFonts w:hint="eastAsia" w:ascii="仿宋_GB2312" w:hAnsi="宋体" w:eastAsia="仿宋_GB2312" w:cs="仿宋_GB2312"/>
          <w:sz w:val="32"/>
          <w:szCs w:val="32"/>
        </w:rPr>
        <w:t>举办不同层次和类型的全民健身运动会。利用</w:t>
      </w:r>
      <w:r>
        <w:rPr>
          <w:rFonts w:hint="eastAsia" w:ascii="仿宋_GB2312" w:eastAsia="仿宋_GB2312" w:cs="仿宋_GB2312"/>
          <w:sz w:val="32"/>
          <w:szCs w:val="32"/>
        </w:rPr>
        <w:t>干部职工运动会、</w:t>
      </w:r>
      <w:r>
        <w:rPr>
          <w:rFonts w:hint="eastAsia" w:ascii="仿宋_GB2312" w:hAnsi="宋体" w:eastAsia="仿宋_GB2312" w:cs="仿宋_GB2312"/>
          <w:sz w:val="32"/>
          <w:szCs w:val="32"/>
        </w:rPr>
        <w:t>农民运动会、学生运动会、社区居民运动会</w:t>
      </w:r>
      <w:r>
        <w:rPr>
          <w:rFonts w:hint="eastAsia" w:ascii="仿宋_GB2312" w:eastAsia="仿宋_GB2312" w:cs="仿宋_GB2312"/>
          <w:sz w:val="32"/>
          <w:szCs w:val="32"/>
        </w:rPr>
        <w:t>等群众赛事活动</w:t>
      </w:r>
      <w:r>
        <w:rPr>
          <w:rFonts w:hint="eastAsia" w:ascii="仿宋_GB2312" w:hAnsi="宋体" w:eastAsia="仿宋_GB2312" w:cs="仿宋_GB2312"/>
          <w:sz w:val="32"/>
          <w:szCs w:val="32"/>
        </w:rPr>
        <w:t>，</w:t>
      </w:r>
      <w:r>
        <w:rPr>
          <w:rFonts w:hint="eastAsia" w:ascii="仿宋_GB2312" w:eastAsia="仿宋_GB2312" w:cs="仿宋_GB2312"/>
          <w:sz w:val="32"/>
          <w:szCs w:val="32"/>
        </w:rPr>
        <w:t>广泛组织群众开展便于参与的赛事项目，积极推广拔河、传统武术、健身气功等民间民俗赛事活动，</w:t>
      </w:r>
      <w:r>
        <w:rPr>
          <w:rFonts w:hint="eastAsia" w:ascii="仿宋_GB2312" w:hAnsi="宋体" w:eastAsia="仿宋_GB2312" w:cs="仿宋_GB2312"/>
          <w:sz w:val="32"/>
          <w:szCs w:val="32"/>
        </w:rPr>
        <w:t>促进全民健身与全民健康融合发展。</w:t>
      </w:r>
      <w:r>
        <w:rPr>
          <w:rFonts w:hint="eastAsia" w:ascii="仿宋_GB2312" w:eastAsia="仿宋_GB2312" w:cs="仿宋_GB2312"/>
          <w:sz w:val="32"/>
          <w:szCs w:val="32"/>
        </w:rPr>
        <w:t>在确保办赛安全的前提下，科学规范组织冰雪、自行车、龙舟等时尚休闲赛事活动。</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开拓全民健身线上线下互动新模式。</w:t>
      </w:r>
      <w:r>
        <w:rPr>
          <w:rFonts w:hint="eastAsia" w:ascii="仿宋_GB2312" w:eastAsia="仿宋_GB2312" w:cs="仿宋_GB2312"/>
          <w:sz w:val="32"/>
          <w:szCs w:val="32"/>
        </w:rPr>
        <w:t>积极打造线上线下结合、全社会参与、多项目覆盖、多层级联动的全民健身赛事活动，推动线上和线下智能体育赛事活动开展。依托互联网、大数据、</w:t>
      </w:r>
      <w:r>
        <w:rPr>
          <w:rFonts w:ascii="仿宋_GB2312" w:eastAsia="仿宋_GB2312" w:cs="仿宋_GB2312"/>
          <w:sz w:val="32"/>
          <w:szCs w:val="32"/>
        </w:rPr>
        <w:t>5G</w:t>
      </w:r>
      <w:r>
        <w:rPr>
          <w:rFonts w:hint="eastAsia" w:ascii="仿宋_GB2312" w:eastAsia="仿宋_GB2312" w:cs="仿宋_GB2312"/>
          <w:sz w:val="32"/>
          <w:szCs w:val="32"/>
        </w:rPr>
        <w:t>、人工智能等新技术，支持开展智能健身、云赛事、虚拟运动等新兴体育运动，大力推广居家健身和全民健身网络赛事活动，开拓全民健身线上线下互动新模式。</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（三）发展更具活力的体育社会组织</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加强体育社会组织建设。</w:t>
      </w:r>
      <w:r>
        <w:rPr>
          <w:rFonts w:hint="eastAsia" w:ascii="仿宋_GB2312" w:eastAsia="仿宋_GB2312" w:cs="仿宋_GB2312"/>
          <w:sz w:val="32"/>
          <w:szCs w:val="32"/>
        </w:rPr>
        <w:t>完善以体育总会为枢纽，各级各类单项、行业和人群体育协会为支撑的全民健身组织网络，切实发挥体育社团组织在全民健身工作中的带动引领作用。鼓励体育总会向镇和社区延伸，各类体育社会组织下沉行政村，推动社会体育蓬勃发展。</w:t>
      </w:r>
    </w:p>
    <w:p>
      <w:pPr>
        <w:spacing w:line="560" w:lineRule="exact"/>
        <w:ind w:firstLine="643" w:firstLineChars="200"/>
        <w:rPr>
          <w:rFonts w:ascii="仿宋_GB2312" w:eastAsia="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发挥体育社会组织作用。</w:t>
      </w:r>
      <w:r>
        <w:rPr>
          <w:rFonts w:hint="eastAsia" w:ascii="仿宋_GB2312" w:eastAsia="仿宋_GB2312" w:cs="仿宋_GB2312"/>
          <w:sz w:val="32"/>
          <w:szCs w:val="32"/>
        </w:rPr>
        <w:t>支持体育社团组织举办全民健身赛事活动，加大政府购买体育社会组织服务力度，引导体育社团组织承接政府购买全民健身公共服务。对基础好、发展快、受众多、辐射大、参与广的自发性全民健身社会组织给予教练、培训、等级评定等方面的支持。</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（四）提供更加科学的健身指导服务</w:t>
      </w:r>
    </w:p>
    <w:p>
      <w:pPr>
        <w:spacing w:line="560" w:lineRule="exact"/>
        <w:ind w:firstLine="643" w:firstLineChars="200"/>
        <w:rPr>
          <w:rFonts w:eastAsia="仿宋_GB2312"/>
          <w:sz w:val="32"/>
          <w:szCs w:val="32"/>
        </w:rPr>
      </w:pPr>
      <w:r>
        <w:rPr>
          <w:rFonts w:ascii="仿宋_GB2312" w:eastAsia="仿宋_GB2312" w:cs="仿宋_GB2312"/>
          <w:b/>
          <w:bCs/>
          <w:sz w:val="32"/>
          <w:szCs w:val="32"/>
        </w:rPr>
        <w:t>1.</w:t>
      </w:r>
      <w:r>
        <w:rPr>
          <w:rFonts w:hint="eastAsia" w:eastAsia="仿宋_GB2312" w:cs="仿宋_GB2312"/>
          <w:b/>
          <w:bCs/>
          <w:sz w:val="31"/>
          <w:szCs w:val="31"/>
        </w:rPr>
        <w:t>建立健全科学健身服务平台。</w:t>
      </w:r>
      <w:r>
        <w:rPr>
          <w:rFonts w:hint="eastAsia" w:eastAsia="仿宋_GB2312" w:cs="仿宋_GB2312"/>
          <w:sz w:val="32"/>
          <w:szCs w:val="32"/>
        </w:rPr>
        <w:t>建立健全县级国民体质监测站点，</w:t>
      </w:r>
      <w:r>
        <w:rPr>
          <w:rFonts w:hint="eastAsia" w:ascii="仿宋_GB2312" w:eastAsia="仿宋_GB2312" w:cs="仿宋_GB2312"/>
          <w:sz w:val="32"/>
          <w:szCs w:val="32"/>
        </w:rPr>
        <w:t>定期开展国民体质监测、《国家体育锻炼标准》达标测验活动和全民健身活动状况调查。</w:t>
      </w:r>
      <w:r>
        <w:rPr>
          <w:rFonts w:hint="eastAsia" w:eastAsia="仿宋_GB2312" w:cs="仿宋_GB2312"/>
          <w:sz w:val="32"/>
          <w:szCs w:val="32"/>
        </w:rPr>
        <w:t>加强体医融合的体质测试点建设提升，推广个人健康档案和运动健身服务。</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促进科学健身知识研究普及。</w:t>
      </w:r>
      <w:r>
        <w:rPr>
          <w:rFonts w:hint="eastAsia" w:ascii="仿宋_GB2312" w:eastAsia="仿宋_GB2312" w:cs="仿宋_GB2312"/>
          <w:sz w:val="32"/>
          <w:szCs w:val="32"/>
        </w:rPr>
        <w:t>加强对不同体质健康状态、不同年龄段人群运动促进健康、运动伤病防治、体质健康干预等指导方法的研究。建立科学健身方法库，征集推广体育科普作品，促进科学健身知识、方法的研究和普及。</w:t>
      </w:r>
    </w:p>
    <w:p>
      <w:pPr>
        <w:spacing w:line="560" w:lineRule="exact"/>
        <w:ind w:firstLine="643" w:firstLineChars="200"/>
        <w:rPr>
          <w:rFonts w:ascii="仿宋_GB2312" w:eastAsia="仿宋_GB2312"/>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开展全民健身志愿服务活动。</w:t>
      </w:r>
      <w:r>
        <w:rPr>
          <w:rFonts w:hint="eastAsia" w:ascii="仿宋_GB2312" w:eastAsia="仿宋_GB2312" w:cs="仿宋_GB2312"/>
          <w:sz w:val="32"/>
          <w:szCs w:val="32"/>
        </w:rPr>
        <w:t>深化社会体育指导员管理培训制度改革，扩大规模、培养骨干，建立社会体育指导员考核、评价、激励机制。组织社会体育指导员深入基层开展全民健身志愿服务活动，提高志愿服务者的服务率和服务水平，建立全民健身志愿服务长效机制。</w:t>
      </w:r>
    </w:p>
    <w:p>
      <w:pPr>
        <w:spacing w:line="560" w:lineRule="exact"/>
        <w:ind w:firstLine="643" w:firstLineChars="200"/>
        <w:rPr>
          <w:rFonts w:ascii="楷体_GB2312" w:eastAsia="楷体_GB2312"/>
          <w:b/>
          <w:bCs/>
          <w:sz w:val="32"/>
          <w:szCs w:val="32"/>
        </w:rPr>
      </w:pPr>
      <w:r>
        <w:rPr>
          <w:rFonts w:hint="eastAsia" w:ascii="楷体_GB2312" w:eastAsia="楷体_GB2312" w:cs="楷体_GB2312"/>
          <w:b/>
          <w:bCs/>
          <w:sz w:val="32"/>
          <w:szCs w:val="32"/>
        </w:rPr>
        <w:t>（五）推动更为均衡的重点人群参与</w:t>
      </w:r>
    </w:p>
    <w:p>
      <w:pPr>
        <w:autoSpaceDN w:val="0"/>
        <w:spacing w:line="560" w:lineRule="exact"/>
        <w:ind w:firstLine="643" w:firstLineChars="200"/>
        <w:rPr>
          <w:rFonts w:ascii="仿宋_GB2312" w:hAnsi="仿宋_GB2312" w:eastAsia="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关注重视青少年成长。</w:t>
      </w:r>
      <w:r>
        <w:rPr>
          <w:rFonts w:hint="eastAsia" w:ascii="仿宋_GB2312" w:hAnsi="仿宋_GB2312" w:eastAsia="仿宋_GB2312" w:cs="仿宋_GB2312"/>
          <w:sz w:val="32"/>
          <w:szCs w:val="32"/>
        </w:rPr>
        <w:t>建全完善学校、社区、家庭、体育俱乐部“四方联动”青少年体育活动机制，实施青少年体育活动促进计划，加强青少年体质提升和不良形态预防干预，建立健全分学段、跨区域青少年体育赛事体系，推动青少年体育俱乐部和传统项目学校体育活动有效开展。</w:t>
      </w:r>
    </w:p>
    <w:p>
      <w:pPr>
        <w:autoSpaceDN w:val="0"/>
        <w:spacing w:line="560" w:lineRule="exact"/>
        <w:ind w:firstLine="643" w:firstLineChars="200"/>
        <w:rPr>
          <w:rFonts w:ascii="仿宋_GB2312" w:hAnsi="仿宋_GB2312" w:eastAsia="仿宋_GB2312"/>
          <w:sz w:val="32"/>
          <w:szCs w:val="32"/>
          <w:shd w:val="clear" w:color="auto" w:fill="FFFFFF"/>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协同发展重点人群。</w:t>
      </w:r>
      <w:r>
        <w:rPr>
          <w:rFonts w:hint="eastAsia" w:ascii="仿宋_GB2312" w:hAnsi="仿宋_GB2312" w:eastAsia="仿宋_GB2312" w:cs="仿宋_GB2312"/>
          <w:sz w:val="32"/>
          <w:szCs w:val="32"/>
        </w:rPr>
        <w:t>推动各类重点人群均衡发展，引导妇女、儿童、军人、残疾人、老年人、少数民族等重点人群参与健身、乐于健身、受益健身。关爱农村留守妇女儿童体育生活，开展老年人体育活动，促进残疾人体育康复，组织职工体育趣味比赛，挖掘少数民族传统体育项目，全面推行工间健身制度。</w:t>
      </w:r>
    </w:p>
    <w:p>
      <w:pPr>
        <w:autoSpaceDN w:val="0"/>
        <w:spacing w:line="560" w:lineRule="exact"/>
        <w:ind w:firstLine="643" w:firstLineChars="200"/>
        <w:rPr>
          <w:rFonts w:ascii="楷体_GB2312" w:hAnsi="仿宋_GB2312" w:eastAsia="楷体_GB2312"/>
          <w:b/>
          <w:bCs/>
          <w:sz w:val="32"/>
          <w:szCs w:val="32"/>
          <w:shd w:val="clear" w:color="auto" w:fill="FFFFFF"/>
        </w:rPr>
      </w:pPr>
      <w:r>
        <w:rPr>
          <w:rFonts w:hint="eastAsia" w:ascii="楷体_GB2312" w:eastAsia="楷体_GB2312" w:cs="楷体_GB2312"/>
          <w:b/>
          <w:bCs/>
          <w:sz w:val="32"/>
          <w:szCs w:val="32"/>
        </w:rPr>
        <w:t>（六）促进更为多元的全民健身融合</w:t>
      </w:r>
    </w:p>
    <w:p>
      <w:pPr>
        <w:autoSpaceDN w:val="0"/>
        <w:spacing w:line="560" w:lineRule="exact"/>
        <w:ind w:firstLine="643" w:firstLineChars="200"/>
        <w:rPr>
          <w:rFonts w:ascii="楷体_GB2312" w:hAnsi="仿宋_GB2312" w:eastAsia="楷体_GB2312"/>
          <w:b/>
          <w:bCs/>
          <w:sz w:val="32"/>
          <w:szCs w:val="32"/>
          <w:shd w:val="clear" w:color="auto" w:fill="FFFFFF"/>
        </w:rPr>
      </w:pPr>
      <w:r>
        <w:rPr>
          <w:rFonts w:ascii="仿宋_GB2312" w:eastAsia="仿宋_GB2312" w:cs="仿宋_GB2312"/>
          <w:b/>
          <w:bCs/>
          <w:sz w:val="32"/>
          <w:szCs w:val="32"/>
        </w:rPr>
        <w:t>1.</w:t>
      </w:r>
      <w:r>
        <w:rPr>
          <w:rFonts w:hint="eastAsia" w:ascii="仿宋_GB2312" w:eastAsia="仿宋_GB2312" w:cs="仿宋_GB2312"/>
          <w:b/>
          <w:bCs/>
          <w:sz w:val="32"/>
          <w:szCs w:val="32"/>
        </w:rPr>
        <w:t>深化体教融合。</w:t>
      </w:r>
      <w:r>
        <w:rPr>
          <w:rFonts w:hint="eastAsia" w:ascii="仿宋_GB2312" w:eastAsia="仿宋_GB2312" w:cs="仿宋_GB2312"/>
          <w:sz w:val="32"/>
          <w:szCs w:val="32"/>
        </w:rPr>
        <w:t>推进学校体育课程改革，完善学校体育“健康知识</w:t>
      </w:r>
      <w:r>
        <w:rPr>
          <w:rFonts w:ascii="仿宋_GB2312" w:eastAsia="仿宋_GB2312" w:cs="仿宋_GB2312"/>
          <w:sz w:val="32"/>
          <w:szCs w:val="32"/>
        </w:rPr>
        <w:t>+</w:t>
      </w:r>
      <w:r>
        <w:rPr>
          <w:rFonts w:hint="eastAsia" w:ascii="仿宋_GB2312" w:eastAsia="仿宋_GB2312" w:cs="仿宋_GB2312"/>
          <w:sz w:val="32"/>
          <w:szCs w:val="32"/>
        </w:rPr>
        <w:t>基本运动技能</w:t>
      </w:r>
      <w:r>
        <w:rPr>
          <w:rFonts w:ascii="仿宋_GB2312" w:eastAsia="仿宋_GB2312" w:cs="仿宋_GB2312"/>
          <w:sz w:val="32"/>
          <w:szCs w:val="32"/>
        </w:rPr>
        <w:t>+</w:t>
      </w:r>
      <w:r>
        <w:rPr>
          <w:rFonts w:hint="eastAsia" w:ascii="仿宋_GB2312" w:eastAsia="仿宋_GB2312" w:cs="仿宋_GB2312"/>
          <w:sz w:val="32"/>
          <w:szCs w:val="32"/>
        </w:rPr>
        <w:t>专项运动技能”的体育教学模式，保障学生每天校内、校外各</w:t>
      </w:r>
      <w:r>
        <w:rPr>
          <w:rFonts w:ascii="仿宋_GB2312" w:eastAsia="仿宋_GB2312" w:cs="仿宋_GB2312"/>
          <w:sz w:val="32"/>
          <w:szCs w:val="32"/>
        </w:rPr>
        <w:t>1</w:t>
      </w:r>
      <w:r>
        <w:rPr>
          <w:rFonts w:hint="eastAsia" w:ascii="仿宋_GB2312" w:eastAsia="仿宋_GB2312" w:cs="仿宋_GB2312"/>
          <w:sz w:val="32"/>
          <w:szCs w:val="32"/>
        </w:rPr>
        <w:t>小时体育活动时间。针对中考必考体育项目，共建田径、足球、篮球等校园运动设施。加大体育传统特色学校运动队建设力度，大力培养体育教师和学校专兼职教练员队伍。支持青少年体育俱乐部建设，鼓励和规范社会体育俱乐部进校园提供专业体育教学、训练服务。</w:t>
      </w:r>
    </w:p>
    <w:p>
      <w:pPr>
        <w:autoSpaceDN w:val="0"/>
        <w:spacing w:line="560" w:lineRule="exact"/>
        <w:ind w:firstLine="643" w:firstLineChars="200"/>
        <w:rPr>
          <w:rFonts w:ascii="仿宋_GB2312" w:eastAsia="仿宋_GB2312"/>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推动体医融合。</w:t>
      </w:r>
      <w:r>
        <w:rPr>
          <w:rFonts w:hint="eastAsia" w:ascii="仿宋_GB2312" w:eastAsia="仿宋_GB2312" w:cs="仿宋_GB2312"/>
          <w:sz w:val="32"/>
          <w:szCs w:val="32"/>
        </w:rPr>
        <w:t>建立体育与卫生、健康等部门协同、全社会共同参与的运动促进健康模式，推动体育健身与养老、保健、康复、医疗、养生等融合发展。推广集运动营养、科学健身、运动康复、心理调适为一体的主动健康服务模式，为各类人群提供体质健康检测、评估、干预三位一体的综合指导服务。</w:t>
      </w:r>
    </w:p>
    <w:p>
      <w:pPr>
        <w:autoSpaceDN w:val="0"/>
        <w:spacing w:line="560" w:lineRule="exact"/>
        <w:ind w:firstLine="643" w:firstLineChars="200"/>
        <w:rPr>
          <w:rFonts w:ascii="仿宋_GB2312" w:hAnsi="仿宋_GB2312" w:eastAsia="仿宋_GB2312"/>
          <w:sz w:val="32"/>
          <w:szCs w:val="32"/>
          <w:shd w:val="clear" w:color="auto" w:fill="FFFFFF"/>
        </w:rPr>
      </w:pPr>
      <w:r>
        <w:rPr>
          <w:rFonts w:ascii="仿宋_GB2312" w:eastAsia="仿宋_GB2312" w:cs="仿宋_GB2312"/>
          <w:b/>
          <w:bCs/>
          <w:sz w:val="32"/>
          <w:szCs w:val="32"/>
        </w:rPr>
        <w:t>3.</w:t>
      </w:r>
      <w:r>
        <w:rPr>
          <w:rFonts w:hint="eastAsia" w:ascii="仿宋_GB2312" w:eastAsia="仿宋_GB2312" w:cs="仿宋_GB2312"/>
          <w:b/>
          <w:bCs/>
          <w:sz w:val="32"/>
          <w:szCs w:val="32"/>
        </w:rPr>
        <w:t>促进体旅融合。</w:t>
      </w:r>
      <w:r>
        <w:rPr>
          <w:rFonts w:hint="eastAsia" w:ascii="仿宋_GB2312" w:eastAsia="仿宋_GB2312" w:cs="仿宋_GB2312"/>
          <w:sz w:val="32"/>
          <w:szCs w:val="32"/>
        </w:rPr>
        <w:t>依托</w:t>
      </w:r>
      <w:r>
        <w:rPr>
          <w:rFonts w:hint="eastAsia" w:ascii="仿宋_GB2312" w:hAnsi="宋体" w:eastAsia="仿宋_GB2312" w:cs="仿宋_GB2312"/>
          <w:sz w:val="32"/>
          <w:szCs w:val="32"/>
        </w:rPr>
        <w:t>高台地域文化和</w:t>
      </w:r>
      <w:r>
        <w:rPr>
          <w:rFonts w:hint="eastAsia" w:ascii="仿宋_GB2312" w:eastAsia="仿宋_GB2312" w:cs="仿宋_GB2312"/>
          <w:sz w:val="32"/>
          <w:szCs w:val="32"/>
        </w:rPr>
        <w:t>山水湖林草沙等</w:t>
      </w:r>
      <w:r>
        <w:rPr>
          <w:rFonts w:hint="eastAsia" w:ascii="仿宋_GB2312" w:hAnsi="宋体" w:eastAsia="仿宋_GB2312" w:cs="仿宋_GB2312"/>
          <w:sz w:val="32"/>
          <w:szCs w:val="32"/>
        </w:rPr>
        <w:t>自然资源</w:t>
      </w:r>
      <w:r>
        <w:rPr>
          <w:rFonts w:hint="eastAsia" w:ascii="仿宋_GB2312" w:eastAsia="仿宋_GB2312" w:cs="仿宋_GB2312"/>
          <w:sz w:val="32"/>
          <w:szCs w:val="32"/>
        </w:rPr>
        <w:t>，发挥户外运动、水上运动、冰雪运动三大运动产业带功能，因地制宜开发登山步道、骑行绿道、汽车露营营地、水上运动基地、滑冰场馆等户外健身配套设施，实现全民健身与文化旅游和谐共生。</w:t>
      </w:r>
    </w:p>
    <w:p>
      <w:pPr>
        <w:autoSpaceDN w:val="0"/>
        <w:spacing w:line="560" w:lineRule="exact"/>
        <w:ind w:firstLine="640" w:firstLineChars="200"/>
        <w:rPr>
          <w:rFonts w:ascii="仿宋_GB2312" w:hAnsi="仿宋_GB2312" w:eastAsia="仿宋_GB2312"/>
          <w:sz w:val="32"/>
          <w:szCs w:val="32"/>
          <w:shd w:val="clear" w:color="auto" w:fill="FFFFFF"/>
        </w:rPr>
      </w:pPr>
      <w:r>
        <w:rPr>
          <w:rFonts w:hint="eastAsia" w:ascii="黑体" w:hAnsi="黑体" w:eastAsia="黑体" w:cs="黑体"/>
          <w:sz w:val="32"/>
          <w:szCs w:val="32"/>
        </w:rPr>
        <w:t>四、保障措施</w:t>
      </w:r>
    </w:p>
    <w:p>
      <w:pPr>
        <w:autoSpaceDN w:val="0"/>
        <w:spacing w:line="560" w:lineRule="exact"/>
        <w:ind w:firstLine="643" w:firstLineChars="200"/>
        <w:rPr>
          <w:rFonts w:ascii="仿宋_GB2312" w:eastAsia="仿宋_GB2312"/>
          <w:sz w:val="32"/>
          <w:szCs w:val="32"/>
        </w:rPr>
      </w:pPr>
      <w:r>
        <w:rPr>
          <w:rFonts w:hint="eastAsia" w:ascii="楷体_GB2312" w:eastAsia="楷体_GB2312" w:cs="楷体_GB2312"/>
          <w:b/>
          <w:bCs/>
          <w:sz w:val="32"/>
          <w:szCs w:val="32"/>
        </w:rPr>
        <w:t>（一）加强组织领导。</w:t>
      </w:r>
      <w:r>
        <w:rPr>
          <w:rFonts w:hint="eastAsia" w:ascii="仿宋_GB2312" w:eastAsia="仿宋_GB2312" w:cs="仿宋_GB2312"/>
          <w:sz w:val="32"/>
          <w:szCs w:val="32"/>
        </w:rPr>
        <w:t>健全完善全民健身工作联席会议机制，定期研究统筹解决全民健身发展中的重大问题，推动落实全民健身各项政策措施。坚持把全民健身高质量发展纳入本县国民经济和社会发展规划及基本公共服务发展规划。严格落实全民健身“三纳入”工作要求，积极开展“体育机关、体育学校、体育社区、体育企业、体育乡镇”五创活动，推动全社会共享体育发展成果。</w:t>
      </w:r>
    </w:p>
    <w:p>
      <w:pPr>
        <w:autoSpaceDN w:val="0"/>
        <w:spacing w:line="560" w:lineRule="exact"/>
        <w:ind w:firstLine="643" w:firstLineChars="200"/>
        <w:rPr>
          <w:rFonts w:ascii="仿宋_GB2312" w:eastAsia="仿宋_GB2312"/>
          <w:sz w:val="32"/>
          <w:szCs w:val="32"/>
        </w:rPr>
      </w:pPr>
      <w:r>
        <w:rPr>
          <w:rFonts w:hint="eastAsia" w:ascii="楷体_GB2312" w:eastAsia="楷体_GB2312" w:cs="楷体_GB2312"/>
          <w:b/>
          <w:bCs/>
          <w:sz w:val="32"/>
          <w:szCs w:val="32"/>
        </w:rPr>
        <w:t>（二）</w:t>
      </w:r>
      <w:r>
        <w:rPr>
          <w:rFonts w:hint="eastAsia" w:ascii="楷体_GB2312" w:hAnsi="楷体_GB2312" w:eastAsia="楷体_GB2312" w:cs="楷体_GB2312"/>
          <w:b/>
          <w:bCs/>
          <w:sz w:val="32"/>
          <w:szCs w:val="32"/>
        </w:rPr>
        <w:t>加大资金投入。</w:t>
      </w:r>
      <w:r>
        <w:rPr>
          <w:rFonts w:hint="eastAsia" w:ascii="仿宋_GB2312" w:eastAsia="仿宋_GB2312" w:cs="仿宋_GB2312"/>
          <w:sz w:val="32"/>
          <w:szCs w:val="32"/>
        </w:rPr>
        <w:t>将全民健身工作经费纳入财政预算，在落实体育彩票公益金发展全民健身事业的基础上，逐步加大公共财政对全民健身事业的投入力度，落实金融支持政策，拓宽资金渠道，积极推广政府资本与社会资本合作模式，鼓励社会力量投资建设运营体育场馆设施。不断完善多元资金筹措机制，综合运用财政资金、地方政府专项债券、企业债券、产业投资基金、社会资本投入等多种方式，加强体育资金统筹力度，多渠道吸引资金注入，保障全民健身经费。</w:t>
      </w:r>
    </w:p>
    <w:p>
      <w:pPr>
        <w:autoSpaceDN w:val="0"/>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w:t>
      </w:r>
      <w:r>
        <w:rPr>
          <w:rFonts w:hint="eastAsia" w:ascii="楷体_GB2312" w:eastAsia="楷体_GB2312" w:cs="楷体_GB2312"/>
          <w:b/>
          <w:bCs/>
          <w:sz w:val="32"/>
          <w:szCs w:val="32"/>
        </w:rPr>
        <w:t>加强安全保障。</w:t>
      </w:r>
      <w:r>
        <w:rPr>
          <w:rFonts w:hint="eastAsia" w:ascii="仿宋_GB2312" w:eastAsia="仿宋_GB2312" w:cs="仿宋_GB2312"/>
          <w:sz w:val="32"/>
          <w:szCs w:val="32"/>
        </w:rPr>
        <w:t>全面落实国家体育总局《体育赛事活动管理办法》，坚持底线思维，明确责任主体，强化风险意识，严格履行全民健身赛事活动事前、事中、事后全流程监管责任，建立健全安全防范、应急保障、熔断决策等制度。坚持“防控为先、动态调整”原则，围绕组织运营、服务保障、赛事保险、安全管理、应急救援、疫情防控、地质条件、气象因素等内容，按照“四预案一陈述”要求，科学周密制定赛事活动安全防控工作方案和突发事件处置预案，加强应急演练，提高应急处突能力。</w:t>
      </w:r>
    </w:p>
    <w:p>
      <w:pPr>
        <w:autoSpaceDN w:val="0"/>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（四）</w:t>
      </w:r>
      <w:r>
        <w:rPr>
          <w:rFonts w:hint="eastAsia" w:ascii="楷体_GB2312" w:eastAsia="楷体_GB2312" w:cs="楷体_GB2312"/>
          <w:b/>
          <w:bCs/>
          <w:sz w:val="32"/>
          <w:szCs w:val="32"/>
        </w:rPr>
        <w:t>加大宣传力度。</w:t>
      </w:r>
      <w:r>
        <w:rPr>
          <w:rFonts w:hint="eastAsia" w:ascii="仿宋_GB2312" w:hAnsi="宋体" w:eastAsia="仿宋_GB2312" w:cs="仿宋_GB2312"/>
          <w:sz w:val="32"/>
          <w:szCs w:val="32"/>
        </w:rPr>
        <w:t>弘扬新健康理念，普及科学健身知识，宣传健身方法，丰富精神文化生活。推广全民健身经验，营造全民健身氛围，形成“人人运动、人人健康”的良好社会风尚。将体育文化融入体育健身全周期和全过程，大力宣传体育运动项目文化，弘扬奥林匹克精神和中华体育精神。树立全民健身榜样，讲述全民健身故事，唱响体育主旋律，传播体育正能量，发挥体育在践行社会主义核心价值观、弘扬中华民族传统美德、传承人类优秀文明成果等方面的独特作用和价值。</w:t>
      </w:r>
    </w:p>
    <w:p>
      <w:pPr>
        <w:spacing w:line="540" w:lineRule="exact"/>
        <w:rPr>
          <w:rFonts w:ascii="仿宋_GB2312" w:eastAsia="仿宋_GB2312"/>
          <w:sz w:val="32"/>
          <w:szCs w:val="32"/>
        </w:rPr>
        <w:sectPr>
          <w:footerReference r:id="rId3" w:type="default"/>
          <w:footerReference r:id="rId4" w:type="even"/>
          <w:pgSz w:w="11906" w:h="16838"/>
          <w:pgMar w:top="2098" w:right="1474" w:bottom="1985" w:left="1588" w:header="851" w:footer="1418" w:gutter="0"/>
          <w:pgNumType w:fmt="numberInDash"/>
          <w:cols w:space="425" w:num="1"/>
          <w:docGrid w:type="lines" w:linePitch="312" w:charSpace="0"/>
        </w:sectPr>
      </w:pPr>
    </w:p>
    <w:bookmarkEnd w:id="1"/>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rPr>
          <w:rFonts w:ascii="仿宋_GB2312" w:eastAsia="仿宋_GB2312"/>
          <w:sz w:val="32"/>
          <w:szCs w:val="32"/>
        </w:rPr>
      </w:pPr>
    </w:p>
    <w:tbl>
      <w:tblPr>
        <w:tblStyle w:val="10"/>
        <w:tblpPr w:leftFromText="181" w:rightFromText="181" w:vertAnchor="page" w:horzAnchor="margin" w:tblpX="108" w:tblpY="12766"/>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758"/>
        <w:gridCol w:w="4979"/>
      </w:tblGrid>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5" w:hRule="atLeast"/>
        </w:trPr>
        <w:tc>
          <w:tcPr>
            <w:tcW w:w="8737" w:type="dxa"/>
            <w:gridSpan w:val="2"/>
            <w:tcBorders>
              <w:top w:val="single" w:color="auto" w:sz="12" w:space="0"/>
              <w:bottom w:val="single" w:color="auto" w:sz="2" w:space="0"/>
            </w:tcBorders>
            <w:vAlign w:val="center"/>
          </w:tcPr>
          <w:p>
            <w:pPr>
              <w:spacing w:line="400" w:lineRule="exact"/>
              <w:ind w:left="1121" w:leftChars="134" w:hanging="840" w:hangingChars="300"/>
              <w:rPr>
                <w:rFonts w:ascii="仿宋_GB2312" w:eastAsia="仿宋_GB2312"/>
                <w:b/>
                <w:bCs/>
                <w:kern w:val="0"/>
                <w:sz w:val="28"/>
                <w:szCs w:val="28"/>
              </w:rPr>
            </w:pPr>
            <w:r>
              <w:rPr>
                <w:rFonts w:hint="eastAsia" w:ascii="仿宋_GB2312" w:eastAsia="仿宋_GB2312" w:cs="仿宋_GB2312"/>
                <w:kern w:val="0"/>
                <w:sz w:val="28"/>
                <w:szCs w:val="28"/>
              </w:rPr>
              <w:t>抄送：</w:t>
            </w:r>
            <w:bookmarkStart w:id="0" w:name="string3"/>
            <w:r>
              <w:rPr>
                <w:rFonts w:hint="eastAsia" w:ascii="仿宋_GB2312" w:eastAsia="仿宋_GB2312" w:cs="仿宋_GB2312"/>
                <w:kern w:val="0"/>
                <w:sz w:val="28"/>
                <w:szCs w:val="28"/>
              </w:rPr>
              <w:t>县委，县人大，县政协。</w:t>
            </w:r>
            <w:bookmarkEnd w:id="0"/>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5" w:hRule="atLeast"/>
        </w:trPr>
        <w:tc>
          <w:tcPr>
            <w:tcW w:w="8737" w:type="dxa"/>
            <w:gridSpan w:val="2"/>
            <w:tcBorders>
              <w:top w:val="single" w:color="auto" w:sz="2" w:space="0"/>
              <w:bottom w:val="single" w:color="auto" w:sz="2" w:space="0"/>
            </w:tcBorders>
            <w:vAlign w:val="center"/>
          </w:tcPr>
          <w:p>
            <w:pPr>
              <w:tabs>
                <w:tab w:val="left" w:pos="8505"/>
              </w:tabs>
              <w:spacing w:line="400" w:lineRule="exact"/>
              <w:ind w:firstLine="280" w:firstLineChars="100"/>
              <w:rPr>
                <w:rFonts w:ascii="仿宋_GB2312" w:eastAsia="仿宋_GB2312"/>
                <w:kern w:val="0"/>
                <w:sz w:val="28"/>
                <w:szCs w:val="28"/>
              </w:rPr>
            </w:pPr>
            <w:r>
              <w:rPr>
                <w:rFonts w:hint="eastAsia" w:ascii="仿宋_GB2312" w:eastAsia="仿宋_GB2312" w:cs="仿宋_GB2312"/>
                <w:kern w:val="0"/>
                <w:sz w:val="28"/>
                <w:szCs w:val="28"/>
              </w:rPr>
              <w:t>公开属性：主动公开</w:t>
            </w:r>
          </w:p>
        </w:tc>
      </w:tr>
      <w:tr>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5" w:hRule="atLeast"/>
        </w:trPr>
        <w:tc>
          <w:tcPr>
            <w:tcW w:w="3758" w:type="dxa"/>
            <w:tcBorders>
              <w:top w:val="single" w:color="auto" w:sz="2" w:space="0"/>
              <w:bottom w:val="single" w:color="auto" w:sz="12" w:space="0"/>
            </w:tcBorders>
            <w:vAlign w:val="center"/>
          </w:tcPr>
          <w:p>
            <w:pPr>
              <w:spacing w:line="400" w:lineRule="exact"/>
              <w:ind w:firstLine="280" w:firstLineChars="100"/>
              <w:rPr>
                <w:rFonts w:ascii="仿宋_GB2312" w:eastAsia="仿宋_GB2312"/>
                <w:kern w:val="0"/>
                <w:sz w:val="28"/>
                <w:szCs w:val="28"/>
              </w:rPr>
            </w:pPr>
            <w:r>
              <w:rPr>
                <w:rFonts w:hint="eastAsia" w:ascii="仿宋_GB2312" w:eastAsia="仿宋_GB2312" w:cs="仿宋_GB2312"/>
                <w:kern w:val="0"/>
                <w:sz w:val="28"/>
                <w:szCs w:val="28"/>
              </w:rPr>
              <w:t>高台县人民政府办公室</w:t>
            </w:r>
          </w:p>
        </w:tc>
        <w:tc>
          <w:tcPr>
            <w:tcW w:w="4979" w:type="dxa"/>
            <w:tcBorders>
              <w:top w:val="single" w:color="auto" w:sz="2" w:space="0"/>
              <w:bottom w:val="single" w:color="auto" w:sz="12" w:space="0"/>
            </w:tcBorders>
            <w:vAlign w:val="center"/>
          </w:tcPr>
          <w:p>
            <w:pPr>
              <w:spacing w:line="400" w:lineRule="exact"/>
              <w:ind w:right="153" w:rightChars="73" w:firstLine="280" w:firstLineChars="100"/>
              <w:jc w:val="right"/>
              <w:rPr>
                <w:rFonts w:ascii="仿宋_GB2312" w:eastAsia="仿宋_GB2312"/>
                <w:kern w:val="0"/>
                <w:sz w:val="28"/>
                <w:szCs w:val="28"/>
              </w:rPr>
            </w:pPr>
            <w:r>
              <w:rPr>
                <w:rFonts w:ascii="仿宋_GB2312" w:eastAsia="仿宋_GB2312" w:cs="仿宋_GB2312"/>
                <w:kern w:val="0"/>
                <w:sz w:val="28"/>
                <w:szCs w:val="28"/>
              </w:rPr>
              <w:t>2022</w:t>
            </w:r>
            <w:r>
              <w:rPr>
                <w:rFonts w:hint="eastAsia" w:ascii="仿宋_GB2312" w:eastAsia="仿宋_GB2312" w:cs="仿宋_GB2312"/>
                <w:kern w:val="0"/>
                <w:sz w:val="28"/>
                <w:szCs w:val="28"/>
              </w:rPr>
              <w:t>年</w:t>
            </w:r>
            <w:r>
              <w:rPr>
                <w:rFonts w:ascii="仿宋_GB2312" w:eastAsia="仿宋_GB2312" w:cs="仿宋_GB2312"/>
                <w:kern w:val="0"/>
                <w:sz w:val="28"/>
                <w:szCs w:val="28"/>
              </w:rPr>
              <w:t>7</w:t>
            </w:r>
            <w:r>
              <w:rPr>
                <w:rFonts w:hint="eastAsia" w:ascii="仿宋_GB2312" w:eastAsia="仿宋_GB2312" w:cs="仿宋_GB2312"/>
                <w:kern w:val="0"/>
                <w:sz w:val="28"/>
                <w:szCs w:val="28"/>
              </w:rPr>
              <w:t>月</w:t>
            </w:r>
            <w:r>
              <w:rPr>
                <w:rFonts w:ascii="仿宋_GB2312" w:eastAsia="仿宋_GB2312" w:cs="仿宋_GB2312"/>
                <w:kern w:val="0"/>
                <w:sz w:val="28"/>
                <w:szCs w:val="28"/>
              </w:rPr>
              <w:t>25</w:t>
            </w:r>
            <w:r>
              <w:rPr>
                <w:rFonts w:hint="eastAsia" w:ascii="仿宋_GB2312" w:eastAsia="仿宋_GB2312" w:cs="仿宋_GB2312"/>
                <w:kern w:val="0"/>
                <w:sz w:val="28"/>
                <w:szCs w:val="28"/>
              </w:rPr>
              <w:t>日印发</w:t>
            </w:r>
          </w:p>
        </w:tc>
      </w:tr>
    </w:tbl>
    <w:p/>
    <w:sectPr>
      <w:footerReference r:id="rId5" w:type="even"/>
      <w:pgSz w:w="11906" w:h="16838"/>
      <w:pgMar w:top="2098" w:right="1474" w:bottom="1985" w:left="1588" w:header="851" w:footer="1418"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9 -</w:t>
    </w:r>
    <w:r>
      <w:rPr>
        <w:rFonts w:ascii="宋体" w:hAnsi="宋体" w:cs="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firstLineChars="200"/>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8 -</w:t>
    </w:r>
    <w:r>
      <w:rPr>
        <w:rFonts w:ascii="宋体" w:hAnsi="宋体" w:cs="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MzAxMjNlZDc5MWE2ZTA5NDFjN2NiZTExMjQ0YTgifQ=="/>
  </w:docVars>
  <w:rsids>
    <w:rsidRoot w:val="00F551CB"/>
    <w:rsid w:val="00001597"/>
    <w:rsid w:val="00007923"/>
    <w:rsid w:val="00035839"/>
    <w:rsid w:val="00044836"/>
    <w:rsid w:val="0006592A"/>
    <w:rsid w:val="000A29D4"/>
    <w:rsid w:val="000C72B9"/>
    <w:rsid w:val="000E7A91"/>
    <w:rsid w:val="00115FE8"/>
    <w:rsid w:val="00116C0B"/>
    <w:rsid w:val="0017537D"/>
    <w:rsid w:val="00183172"/>
    <w:rsid w:val="00186C55"/>
    <w:rsid w:val="00190A7D"/>
    <w:rsid w:val="001E1E41"/>
    <w:rsid w:val="0022328E"/>
    <w:rsid w:val="00237714"/>
    <w:rsid w:val="002646AE"/>
    <w:rsid w:val="00265DD8"/>
    <w:rsid w:val="00277A6B"/>
    <w:rsid w:val="002A2FE1"/>
    <w:rsid w:val="002B38B1"/>
    <w:rsid w:val="002C01A6"/>
    <w:rsid w:val="002D1B3E"/>
    <w:rsid w:val="00324888"/>
    <w:rsid w:val="0034461D"/>
    <w:rsid w:val="00344E9E"/>
    <w:rsid w:val="00345EEE"/>
    <w:rsid w:val="0035595F"/>
    <w:rsid w:val="00380A79"/>
    <w:rsid w:val="00385A91"/>
    <w:rsid w:val="0039049B"/>
    <w:rsid w:val="003A0176"/>
    <w:rsid w:val="003A1F8E"/>
    <w:rsid w:val="003E1DE1"/>
    <w:rsid w:val="003F163B"/>
    <w:rsid w:val="00412964"/>
    <w:rsid w:val="0042495A"/>
    <w:rsid w:val="00443E9D"/>
    <w:rsid w:val="00450EC6"/>
    <w:rsid w:val="0045140B"/>
    <w:rsid w:val="00486958"/>
    <w:rsid w:val="004928BB"/>
    <w:rsid w:val="004A1C0F"/>
    <w:rsid w:val="004B642E"/>
    <w:rsid w:val="004C0CC1"/>
    <w:rsid w:val="0051303E"/>
    <w:rsid w:val="0052411A"/>
    <w:rsid w:val="00531EB3"/>
    <w:rsid w:val="0054787C"/>
    <w:rsid w:val="00571B6D"/>
    <w:rsid w:val="0057746A"/>
    <w:rsid w:val="005859E1"/>
    <w:rsid w:val="00587369"/>
    <w:rsid w:val="0059686E"/>
    <w:rsid w:val="005C6B7A"/>
    <w:rsid w:val="00615A9E"/>
    <w:rsid w:val="0065530A"/>
    <w:rsid w:val="006629F8"/>
    <w:rsid w:val="006723A5"/>
    <w:rsid w:val="00691D85"/>
    <w:rsid w:val="006939FD"/>
    <w:rsid w:val="006A1EE9"/>
    <w:rsid w:val="006C10D5"/>
    <w:rsid w:val="006C1BDE"/>
    <w:rsid w:val="006C4A23"/>
    <w:rsid w:val="00713D0B"/>
    <w:rsid w:val="00754E1F"/>
    <w:rsid w:val="00760F35"/>
    <w:rsid w:val="007679AE"/>
    <w:rsid w:val="00795F0C"/>
    <w:rsid w:val="007D35EE"/>
    <w:rsid w:val="007D7F07"/>
    <w:rsid w:val="007E0A96"/>
    <w:rsid w:val="007F1623"/>
    <w:rsid w:val="007F6C28"/>
    <w:rsid w:val="0081203E"/>
    <w:rsid w:val="008B47C6"/>
    <w:rsid w:val="008C43DA"/>
    <w:rsid w:val="008D56E4"/>
    <w:rsid w:val="00931310"/>
    <w:rsid w:val="00933BFC"/>
    <w:rsid w:val="00935B70"/>
    <w:rsid w:val="00962224"/>
    <w:rsid w:val="009A0DDA"/>
    <w:rsid w:val="00AB4E03"/>
    <w:rsid w:val="00AC5960"/>
    <w:rsid w:val="00B0501A"/>
    <w:rsid w:val="00B3107E"/>
    <w:rsid w:val="00B35A5F"/>
    <w:rsid w:val="00B4717E"/>
    <w:rsid w:val="00B866C4"/>
    <w:rsid w:val="00BB2BA5"/>
    <w:rsid w:val="00BC057A"/>
    <w:rsid w:val="00BD0394"/>
    <w:rsid w:val="00BD0454"/>
    <w:rsid w:val="00C02288"/>
    <w:rsid w:val="00C1013A"/>
    <w:rsid w:val="00C21BB6"/>
    <w:rsid w:val="00C7458C"/>
    <w:rsid w:val="00CE5B6A"/>
    <w:rsid w:val="00D23C35"/>
    <w:rsid w:val="00D71B3B"/>
    <w:rsid w:val="00DB0462"/>
    <w:rsid w:val="00E23F07"/>
    <w:rsid w:val="00E2572F"/>
    <w:rsid w:val="00E44C8A"/>
    <w:rsid w:val="00E47622"/>
    <w:rsid w:val="00E61642"/>
    <w:rsid w:val="00E61A1A"/>
    <w:rsid w:val="00E663E5"/>
    <w:rsid w:val="00E865EF"/>
    <w:rsid w:val="00E95DF8"/>
    <w:rsid w:val="00EC7E56"/>
    <w:rsid w:val="00ED67D7"/>
    <w:rsid w:val="00ED7C6E"/>
    <w:rsid w:val="00EE538C"/>
    <w:rsid w:val="00EF564A"/>
    <w:rsid w:val="00F551CB"/>
    <w:rsid w:val="00FE4FD7"/>
    <w:rsid w:val="00FE7535"/>
    <w:rsid w:val="13582BAC"/>
    <w:rsid w:val="212D623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qFormat="1" w:unhideWhenUsed="0"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semiHidden/>
    <w:unhideWhenUsed/>
    <w:uiPriority w:val="99"/>
    <w:pPr>
      <w:spacing w:after="120" w:afterLines="0" w:afterAutospacing="0" w:line="480" w:lineRule="auto"/>
      <w:ind w:left="420" w:leftChars="200"/>
    </w:pPr>
  </w:style>
  <w:style w:type="paragraph" w:styleId="3">
    <w:name w:val="index 6"/>
    <w:basedOn w:val="1"/>
    <w:next w:val="1"/>
    <w:semiHidden/>
    <w:qFormat/>
    <w:uiPriority w:val="99"/>
    <w:pPr>
      <w:ind w:left="1000" w:leftChars="1000"/>
    </w:pPr>
    <w:rPr>
      <w:rFonts w:ascii="Calibri" w:hAnsi="Calibri" w:cs="Calibri"/>
    </w:rPr>
  </w:style>
  <w:style w:type="paragraph" w:styleId="4">
    <w:name w:val="Body Text Indent"/>
    <w:basedOn w:val="1"/>
    <w:link w:val="14"/>
    <w:semiHidden/>
    <w:uiPriority w:val="99"/>
    <w:pPr>
      <w:spacing w:after="120"/>
      <w:ind w:left="420" w:leftChars="200"/>
    </w:pPr>
  </w:style>
  <w:style w:type="paragraph" w:styleId="5">
    <w:name w:val="Plain Text"/>
    <w:basedOn w:val="1"/>
    <w:link w:val="20"/>
    <w:uiPriority w:val="99"/>
    <w:rPr>
      <w:rFonts w:ascii="宋体" w:hAnsi="Courier New" w:cs="宋体"/>
    </w:rPr>
  </w:style>
  <w:style w:type="paragraph" w:styleId="6">
    <w:name w:val="Date"/>
    <w:basedOn w:val="1"/>
    <w:next w:val="1"/>
    <w:link w:val="13"/>
    <w:semiHidden/>
    <w:qFormat/>
    <w:uiPriority w:val="99"/>
    <w:pPr>
      <w:ind w:left="100" w:leftChars="2500"/>
    </w:p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link w:val="15"/>
    <w:uiPriority w:val="99"/>
    <w:pPr>
      <w:spacing w:after="0"/>
      <w:ind w:firstLine="420" w:firstLineChars="200"/>
    </w:pPr>
    <w:rPr>
      <w:rFonts w:eastAsia="仿宋_GB2312"/>
      <w:sz w:val="31"/>
      <w:szCs w:val="31"/>
    </w:rPr>
  </w:style>
  <w:style w:type="table" w:styleId="11">
    <w:name w:val="Table Grid"/>
    <w:basedOn w:val="10"/>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Date Char"/>
    <w:basedOn w:val="12"/>
    <w:link w:val="6"/>
    <w:semiHidden/>
    <w:qFormat/>
    <w:locked/>
    <w:uiPriority w:val="99"/>
    <w:rPr>
      <w:rFonts w:ascii="Times New Roman" w:hAnsi="Times New Roman" w:eastAsia="宋体" w:cs="Times New Roman"/>
      <w:sz w:val="24"/>
      <w:szCs w:val="24"/>
    </w:rPr>
  </w:style>
  <w:style w:type="character" w:customStyle="1" w:styleId="14">
    <w:name w:val="Body Text Indent Char"/>
    <w:basedOn w:val="12"/>
    <w:link w:val="4"/>
    <w:semiHidden/>
    <w:locked/>
    <w:uiPriority w:val="99"/>
    <w:rPr>
      <w:rFonts w:ascii="Times New Roman" w:hAnsi="Times New Roman" w:eastAsia="宋体" w:cs="Times New Roman"/>
      <w:sz w:val="24"/>
      <w:szCs w:val="24"/>
    </w:rPr>
  </w:style>
  <w:style w:type="character" w:customStyle="1" w:styleId="15">
    <w:name w:val="Body Text First Indent 2 Char"/>
    <w:basedOn w:val="14"/>
    <w:link w:val="9"/>
    <w:locked/>
    <w:uiPriority w:val="99"/>
    <w:rPr>
      <w:rFonts w:eastAsia="仿宋_GB2312"/>
      <w:sz w:val="31"/>
      <w:szCs w:val="31"/>
    </w:rPr>
  </w:style>
  <w:style w:type="character" w:customStyle="1" w:styleId="16">
    <w:name w:val="Header Char"/>
    <w:basedOn w:val="12"/>
    <w:link w:val="8"/>
    <w:semiHidden/>
    <w:qFormat/>
    <w:locked/>
    <w:uiPriority w:val="99"/>
    <w:rPr>
      <w:rFonts w:ascii="Times New Roman" w:hAnsi="Times New Roman" w:eastAsia="宋体" w:cs="Times New Roman"/>
      <w:sz w:val="18"/>
      <w:szCs w:val="18"/>
    </w:rPr>
  </w:style>
  <w:style w:type="character" w:customStyle="1" w:styleId="17">
    <w:name w:val="Footer Char"/>
    <w:basedOn w:val="12"/>
    <w:link w:val="7"/>
    <w:qFormat/>
    <w:locked/>
    <w:uiPriority w:val="99"/>
    <w:rPr>
      <w:rFonts w:ascii="Times New Roman" w:hAnsi="Times New Roman" w:eastAsia="宋体" w:cs="Times New Roman"/>
      <w:sz w:val="18"/>
      <w:szCs w:val="18"/>
    </w:rPr>
  </w:style>
  <w:style w:type="paragraph" w:customStyle="1" w:styleId="18">
    <w:name w:val="Char Char Char Char"/>
    <w:basedOn w:val="1"/>
    <w:uiPriority w:val="99"/>
    <w:pPr>
      <w:widowControl/>
      <w:spacing w:after="160" w:line="240" w:lineRule="exact"/>
      <w:jc w:val="left"/>
    </w:pPr>
  </w:style>
  <w:style w:type="paragraph" w:customStyle="1" w:styleId="19">
    <w:name w:val="公文正文"/>
    <w:basedOn w:val="1"/>
    <w:link w:val="21"/>
    <w:qFormat/>
    <w:uiPriority w:val="99"/>
    <w:pPr>
      <w:ind w:firstLine="640" w:firstLineChars="200"/>
    </w:pPr>
    <w:rPr>
      <w:rFonts w:ascii="仿宋_GB2312" w:hAnsi="Calibri" w:eastAsia="仿宋_GB2312" w:cs="仿宋_GB2312"/>
      <w:sz w:val="32"/>
      <w:szCs w:val="32"/>
    </w:rPr>
  </w:style>
  <w:style w:type="character" w:customStyle="1" w:styleId="20">
    <w:name w:val="Plain Text Char"/>
    <w:basedOn w:val="12"/>
    <w:link w:val="5"/>
    <w:semiHidden/>
    <w:qFormat/>
    <w:locked/>
    <w:uiPriority w:val="99"/>
    <w:rPr>
      <w:rFonts w:ascii="宋体" w:hAnsi="Courier New" w:eastAsia="宋体" w:cs="宋体"/>
      <w:kern w:val="2"/>
      <w:sz w:val="21"/>
      <w:szCs w:val="21"/>
      <w:lang w:val="en-US" w:eastAsia="zh-CN"/>
    </w:rPr>
  </w:style>
  <w:style w:type="character" w:customStyle="1" w:styleId="21">
    <w:name w:val="公文正文 Char"/>
    <w:link w:val="19"/>
    <w:locked/>
    <w:uiPriority w:val="99"/>
    <w:rPr>
      <w:rFonts w:ascii="仿宋_GB2312" w:hAnsi="Calibri" w:eastAsia="仿宋_GB2312" w:cs="仿宋_GB2312"/>
      <w:kern w:val="2"/>
      <w:sz w:val="32"/>
      <w:szCs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4186</Words>
  <Characters>4283</Characters>
  <Lines>0</Lines>
  <Paragraphs>0</Paragraphs>
  <TotalTime>427</TotalTime>
  <ScaleCrop>false</ScaleCrop>
  <LinksUpToDate>false</LinksUpToDate>
  <CharactersWithSpaces>4348</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2022-06-27T02:14:00Z</dcterms:created>
  <dc:creator>Administrator</dc:creator>
  <cp:lastModifiedBy>演示</cp:lastModifiedBy>
  <cp:lastPrinted>2022-07-25T08:44:00Z</cp:lastPrinted>
  <dcterms:modified xsi:type="dcterms:W3CDTF">2022-08-30T07:24:26Z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845B9BAFF3AB4E3D92C3133FA17BD47F</vt:lpwstr>
  </property>
</Properties>
</file>