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高台县发展和改革</w:t>
      </w:r>
      <w:r>
        <w:rPr>
          <w:rFonts w:hint="eastAsia" w:eastAsia="方正小标宋简体"/>
          <w:color w:val="000000"/>
          <w:sz w:val="44"/>
          <w:szCs w:val="44"/>
        </w:rPr>
        <w:t>局</w:t>
      </w:r>
      <w:r>
        <w:rPr>
          <w:rFonts w:eastAsia="方正小标宋简体"/>
          <w:color w:val="000000"/>
          <w:sz w:val="44"/>
          <w:szCs w:val="44"/>
        </w:rPr>
        <w:t>政府信</w:t>
      </w: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1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营业执照</w:t>
            </w:r>
          </w:p>
        </w:tc>
        <w:tc>
          <w:tcPr>
            <w:tcW w:w="651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联系人电子邮      箱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获取政府信息的途径(单选)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申请时间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者其他组织提交申请时必须提交统一社会信用代码证复印件，否则不予受理。</w:t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531AF"/>
    <w:rsid w:val="47B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2021-03-24T00:38:00Z</dcterms:created>
  <dc:creator>dell</dc:creator>
  <cp:lastModifiedBy>娟儿</cp:lastModifiedBy>
  <dcterms:modified xsi:type="dcterms:W3CDTF">2021-03-24T07:51:14Z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2A401BBB76C54ECE9796167DBC7DA2E7</vt:lpwstr>
  </property>
</Properties>
</file>